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702D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荥阳市交通运输局郑州市S314线K307+250~K31</w:t>
      </w:r>
    </w:p>
    <w:p w14:paraId="5CDA1B0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1+300段及郑州市S315线K6+000~K17+400段</w:t>
      </w:r>
    </w:p>
    <w:p w14:paraId="4DA77BB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Fonts w:hint="default"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公路安全提升工程项目（二次）</w:t>
      </w:r>
    </w:p>
    <w:p w14:paraId="7692528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Fonts w:hint="eastAsia" w:ascii="仿宋" w:hAnsi="仿宋" w:eastAsia="仿宋" w:cs="仿宋"/>
          <w:b/>
          <w:color w:val="auto"/>
          <w:kern w:val="0"/>
          <w:sz w:val="30"/>
          <w:szCs w:val="30"/>
          <w:highlight w:val="none"/>
          <w:lang w:val="en-US" w:eastAsia="zh-CN"/>
        </w:rPr>
      </w:pPr>
    </w:p>
    <w:p w14:paraId="49EBD5A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84"/>
          <w:szCs w:val="84"/>
          <w:highlight w:val="none"/>
          <w:lang w:val="en-US" w:eastAsia="zh-CN"/>
        </w:rPr>
        <w:t>竞争性磋商</w:t>
      </w:r>
      <w:r>
        <w:rPr>
          <w:rFonts w:hint="eastAsia" w:ascii="仿宋" w:hAnsi="仿宋" w:eastAsia="仿宋" w:cs="仿宋"/>
          <w:b/>
          <w:color w:val="auto"/>
          <w:kern w:val="0"/>
          <w:sz w:val="84"/>
          <w:szCs w:val="84"/>
          <w:highlight w:val="none"/>
        </w:rPr>
        <w:t>文件</w:t>
      </w:r>
    </w:p>
    <w:p w14:paraId="1279B51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b/>
          <w:bCs/>
          <w:color w:val="auto"/>
          <w:kern w:val="0"/>
          <w:sz w:val="30"/>
          <w:szCs w:val="30"/>
          <w:highlight w:val="none"/>
          <w:lang w:val="en-US" w:eastAsia="zh-CN"/>
        </w:rPr>
        <w:t>项目</w:t>
      </w:r>
      <w:r>
        <w:rPr>
          <w:rFonts w:hint="eastAsia" w:ascii="仿宋" w:hAnsi="仿宋" w:eastAsia="仿宋" w:cs="仿宋"/>
          <w:b/>
          <w:bCs/>
          <w:color w:val="auto"/>
          <w:kern w:val="0"/>
          <w:sz w:val="30"/>
          <w:szCs w:val="30"/>
          <w:highlight w:val="none"/>
        </w:rPr>
        <w:t>编号：</w:t>
      </w:r>
      <w:r>
        <w:rPr>
          <w:rFonts w:hint="eastAsia" w:ascii="仿宋" w:hAnsi="仿宋" w:eastAsia="仿宋" w:cs="仿宋"/>
          <w:b/>
          <w:bCs/>
          <w:color w:val="auto"/>
          <w:kern w:val="0"/>
          <w:sz w:val="30"/>
          <w:szCs w:val="30"/>
          <w:highlight w:val="none"/>
          <w:lang w:val="en-US" w:eastAsia="zh-CN"/>
        </w:rPr>
        <w:t>荥财磋商2025-60</w:t>
      </w:r>
    </w:p>
    <w:p w14:paraId="1EECCCA0">
      <w:pPr>
        <w:pStyle w:val="20"/>
        <w:rPr>
          <w:rFonts w:hint="eastAsia" w:ascii="仿宋" w:hAnsi="仿宋" w:eastAsia="仿宋" w:cs="仿宋"/>
          <w:color w:val="auto"/>
          <w:kern w:val="0"/>
          <w:sz w:val="30"/>
          <w:szCs w:val="30"/>
          <w:highlight w:val="none"/>
        </w:rPr>
      </w:pPr>
    </w:p>
    <w:p w14:paraId="0C36BF0E">
      <w:pPr>
        <w:pStyle w:val="20"/>
        <w:rPr>
          <w:rFonts w:hint="eastAsia" w:ascii="仿宋" w:hAnsi="仿宋" w:eastAsia="仿宋" w:cs="仿宋"/>
          <w:color w:val="auto"/>
          <w:kern w:val="0"/>
          <w:sz w:val="30"/>
          <w:szCs w:val="30"/>
          <w:highlight w:val="none"/>
        </w:rPr>
      </w:pPr>
      <w:r>
        <w:rPr>
          <w:rFonts w:ascii="宋体" w:hAnsi="宋体" w:cs="宋体"/>
          <w:b/>
          <w:color w:val="000000"/>
          <w:sz w:val="32"/>
        </w:rPr>
        <w:drawing>
          <wp:anchor distT="0" distB="0" distL="114300" distR="114300" simplePos="0" relativeHeight="251659264" behindDoc="0" locked="0" layoutInCell="1" allowOverlap="1">
            <wp:simplePos x="0" y="0"/>
            <wp:positionH relativeFrom="column">
              <wp:posOffset>2119630</wp:posOffset>
            </wp:positionH>
            <wp:positionV relativeFrom="paragraph">
              <wp:posOffset>1905</wp:posOffset>
            </wp:positionV>
            <wp:extent cx="2428240" cy="2276475"/>
            <wp:effectExtent l="0" t="0" r="10160" b="9525"/>
            <wp:wrapNone/>
            <wp:docPr id="2" name="图片 1" descr="图片1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 副本"/>
                    <pic:cNvPicPr>
                      <a:picLocks noChangeAspect="1"/>
                    </pic:cNvPicPr>
                  </pic:nvPicPr>
                  <pic:blipFill>
                    <a:blip r:embed="rId21"/>
                    <a:stretch>
                      <a:fillRect/>
                    </a:stretch>
                  </pic:blipFill>
                  <pic:spPr>
                    <a:xfrm>
                      <a:off x="0" y="0"/>
                      <a:ext cx="2428240" cy="2276475"/>
                    </a:xfrm>
                    <a:prstGeom prst="rect">
                      <a:avLst/>
                    </a:prstGeom>
                    <a:noFill/>
                    <a:ln>
                      <a:noFill/>
                    </a:ln>
                  </pic:spPr>
                </pic:pic>
              </a:graphicData>
            </a:graphic>
          </wp:anchor>
        </w:drawing>
      </w:r>
    </w:p>
    <w:p w14:paraId="3A120086">
      <w:pPr>
        <w:pStyle w:val="20"/>
        <w:rPr>
          <w:rFonts w:hint="eastAsia" w:ascii="仿宋" w:hAnsi="仿宋" w:eastAsia="仿宋" w:cs="仿宋"/>
          <w:color w:val="auto"/>
          <w:kern w:val="0"/>
          <w:sz w:val="30"/>
          <w:szCs w:val="30"/>
          <w:highlight w:val="none"/>
        </w:rPr>
      </w:pPr>
    </w:p>
    <w:p w14:paraId="5277281B">
      <w:pPr>
        <w:pStyle w:val="20"/>
        <w:rPr>
          <w:rFonts w:hint="eastAsia" w:ascii="仿宋" w:hAnsi="仿宋" w:eastAsia="仿宋" w:cs="仿宋"/>
          <w:color w:val="auto"/>
          <w:kern w:val="0"/>
          <w:sz w:val="30"/>
          <w:szCs w:val="30"/>
          <w:highlight w:val="none"/>
        </w:rPr>
      </w:pPr>
    </w:p>
    <w:p w14:paraId="352EDC9B">
      <w:pPr>
        <w:adjustRightInd w:val="0"/>
        <w:snapToGrid w:val="0"/>
        <w:spacing w:beforeAutospacing="0" w:afterAutospacing="0" w:line="360" w:lineRule="auto"/>
        <w:jc w:val="left"/>
        <w:rPr>
          <w:rFonts w:hint="eastAsia" w:ascii="仿宋" w:hAnsi="仿宋" w:eastAsia="仿宋" w:cs="仿宋"/>
          <w:color w:val="auto"/>
          <w:kern w:val="0"/>
          <w:sz w:val="30"/>
          <w:szCs w:val="30"/>
          <w:highlight w:val="none"/>
        </w:rPr>
      </w:pPr>
    </w:p>
    <w:p w14:paraId="501BF06E">
      <w:pPr>
        <w:adjustRightInd w:val="0"/>
        <w:snapToGrid w:val="0"/>
        <w:spacing w:beforeAutospacing="0" w:afterAutospacing="0" w:line="360" w:lineRule="auto"/>
        <w:jc w:val="left"/>
        <w:rPr>
          <w:rFonts w:hint="eastAsia" w:ascii="仿宋" w:hAnsi="仿宋" w:eastAsia="仿宋" w:cs="仿宋"/>
          <w:color w:val="auto"/>
          <w:kern w:val="0"/>
          <w:sz w:val="30"/>
          <w:szCs w:val="30"/>
          <w:highlight w:val="none"/>
        </w:rPr>
      </w:pPr>
    </w:p>
    <w:tbl>
      <w:tblPr>
        <w:tblStyle w:val="27"/>
        <w:tblpPr w:leftFromText="180" w:rightFromText="180" w:vertAnchor="text" w:horzAnchor="page" w:tblpX="1824" w:tblpY="2213"/>
        <w:tblOverlap w:val="never"/>
        <w:tblW w:w="0" w:type="auto"/>
        <w:tblInd w:w="0" w:type="dxa"/>
        <w:tblLayout w:type="autofit"/>
        <w:tblCellMar>
          <w:top w:w="0" w:type="dxa"/>
          <w:left w:w="108" w:type="dxa"/>
          <w:bottom w:w="0" w:type="dxa"/>
          <w:right w:w="108" w:type="dxa"/>
        </w:tblCellMar>
      </w:tblPr>
      <w:tblGrid>
        <w:gridCol w:w="2731"/>
        <w:gridCol w:w="5608"/>
      </w:tblGrid>
      <w:tr w14:paraId="0FB6E671">
        <w:trPr>
          <w:trHeight w:val="854" w:hRule="atLeast"/>
        </w:trPr>
        <w:tc>
          <w:tcPr>
            <w:tcW w:w="2731" w:type="dxa"/>
            <w:noWrap w:val="0"/>
            <w:vAlign w:val="top"/>
          </w:tcPr>
          <w:p w14:paraId="7B4FB8F7">
            <w:pPr>
              <w:spacing w:before="240" w:beforeLines="100" w:after="240" w:afterLines="100"/>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采   购   人：</w:t>
            </w:r>
          </w:p>
        </w:tc>
        <w:tc>
          <w:tcPr>
            <w:tcW w:w="5608" w:type="dxa"/>
            <w:noWrap w:val="0"/>
            <w:vAlign w:val="top"/>
          </w:tcPr>
          <w:p w14:paraId="1F4F2D40">
            <w:pPr>
              <w:spacing w:before="240" w:beforeLines="100" w:after="240" w:afterLines="100"/>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荥阳市交通运输局</w:t>
            </w:r>
          </w:p>
        </w:tc>
      </w:tr>
      <w:tr w14:paraId="7C67244F">
        <w:tblPrEx>
          <w:tblCellMar>
            <w:top w:w="0" w:type="dxa"/>
            <w:left w:w="108" w:type="dxa"/>
            <w:bottom w:w="0" w:type="dxa"/>
            <w:right w:w="108" w:type="dxa"/>
          </w:tblCellMar>
        </w:tblPrEx>
        <w:trPr>
          <w:trHeight w:val="854" w:hRule="atLeast"/>
        </w:trPr>
        <w:tc>
          <w:tcPr>
            <w:tcW w:w="2731" w:type="dxa"/>
            <w:noWrap w:val="0"/>
            <w:vAlign w:val="top"/>
          </w:tcPr>
          <w:p w14:paraId="4E0ECCD3">
            <w:pPr>
              <w:spacing w:before="240" w:beforeLines="100" w:after="240" w:afterLines="100"/>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采购代理机构：</w:t>
            </w:r>
          </w:p>
        </w:tc>
        <w:tc>
          <w:tcPr>
            <w:tcW w:w="5608" w:type="dxa"/>
            <w:noWrap w:val="0"/>
            <w:vAlign w:val="top"/>
          </w:tcPr>
          <w:p w14:paraId="3DCFBC56">
            <w:pPr>
              <w:spacing w:before="240" w:beforeLines="100" w:after="240" w:afterLines="100"/>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柏诚工程管理有限公司</w:t>
            </w:r>
          </w:p>
        </w:tc>
      </w:tr>
      <w:tr w14:paraId="07EC6668">
        <w:tblPrEx>
          <w:tblCellMar>
            <w:top w:w="0" w:type="dxa"/>
            <w:left w:w="108" w:type="dxa"/>
            <w:bottom w:w="0" w:type="dxa"/>
            <w:right w:w="108" w:type="dxa"/>
          </w:tblCellMar>
        </w:tblPrEx>
        <w:trPr>
          <w:trHeight w:val="854" w:hRule="atLeast"/>
        </w:trPr>
        <w:tc>
          <w:tcPr>
            <w:tcW w:w="2731" w:type="dxa"/>
            <w:noWrap w:val="0"/>
            <w:vAlign w:val="top"/>
          </w:tcPr>
          <w:p w14:paraId="670B46BB">
            <w:pPr>
              <w:spacing w:before="240" w:beforeLines="100" w:after="240" w:afterLines="100"/>
              <w:jc w:val="right"/>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日        期：</w:t>
            </w:r>
          </w:p>
        </w:tc>
        <w:tc>
          <w:tcPr>
            <w:tcW w:w="5608" w:type="dxa"/>
            <w:noWrap w:val="0"/>
            <w:vAlign w:val="top"/>
          </w:tcPr>
          <w:p w14:paraId="372C9FC1">
            <w:pPr>
              <w:spacing w:before="240" w:beforeLines="100" w:after="240" w:afterLines="100"/>
              <w:jc w:val="left"/>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eastAsia="zh-CN"/>
              </w:rPr>
              <w:t>二〇二</w:t>
            </w:r>
            <w:r>
              <w:rPr>
                <w:rFonts w:hint="eastAsia" w:ascii="仿宋" w:hAnsi="仿宋" w:eastAsia="仿宋" w:cs="仿宋"/>
                <w:b/>
                <w:bCs/>
                <w:color w:val="auto"/>
                <w:sz w:val="36"/>
                <w:szCs w:val="36"/>
                <w:highlight w:val="none"/>
                <w:lang w:val="en-US" w:eastAsia="zh-CN"/>
              </w:rPr>
              <w:t>六年一</w:t>
            </w:r>
            <w:r>
              <w:rPr>
                <w:rFonts w:hint="eastAsia" w:ascii="仿宋" w:hAnsi="仿宋" w:eastAsia="仿宋" w:cs="仿宋"/>
                <w:b/>
                <w:bCs/>
                <w:color w:val="auto"/>
                <w:sz w:val="36"/>
                <w:szCs w:val="36"/>
                <w:highlight w:val="none"/>
                <w:lang w:eastAsia="zh-CN"/>
              </w:rPr>
              <w:t>月</w:t>
            </w:r>
          </w:p>
        </w:tc>
      </w:tr>
    </w:tbl>
    <w:p w14:paraId="27613591">
      <w:pPr>
        <w:pStyle w:val="45"/>
        <w:jc w:val="center"/>
        <w:rPr>
          <w:rFonts w:hint="eastAsia" w:ascii="仿宋" w:hAnsi="仿宋" w:eastAsia="仿宋" w:cs="仿宋"/>
          <w:b/>
          <w:bCs/>
          <w:color w:val="auto"/>
          <w:sz w:val="56"/>
          <w:szCs w:val="56"/>
          <w:highlight w:val="none"/>
          <w:lang w:eastAsia="zh-CN"/>
        </w:rPr>
      </w:pPr>
    </w:p>
    <w:p w14:paraId="034D62A4">
      <w:pPr>
        <w:spacing w:line="400" w:lineRule="exact"/>
        <w:jc w:val="center"/>
        <w:rPr>
          <w:rFonts w:hint="eastAsia" w:ascii="仿宋" w:hAnsi="仿宋" w:eastAsia="仿宋" w:cs="仿宋"/>
          <w:b/>
          <w:bCs/>
          <w:color w:val="auto"/>
          <w:sz w:val="36"/>
          <w:highlight w:val="none"/>
        </w:rPr>
      </w:pPr>
    </w:p>
    <w:p w14:paraId="06507DE4">
      <w:pPr>
        <w:spacing w:line="400" w:lineRule="exact"/>
        <w:jc w:val="center"/>
        <w:rPr>
          <w:rFonts w:hint="eastAsia" w:ascii="仿宋" w:hAnsi="仿宋" w:eastAsia="仿宋" w:cs="仿宋"/>
          <w:b/>
          <w:bCs/>
          <w:color w:val="auto"/>
          <w:sz w:val="36"/>
          <w:highlight w:val="none"/>
        </w:rPr>
      </w:pPr>
    </w:p>
    <w:p w14:paraId="72AD3718">
      <w:pPr>
        <w:spacing w:line="400" w:lineRule="exact"/>
        <w:jc w:val="both"/>
        <w:rPr>
          <w:rFonts w:hint="eastAsia" w:ascii="仿宋" w:hAnsi="仿宋" w:eastAsia="仿宋" w:cs="仿宋"/>
          <w:b/>
          <w:bCs/>
          <w:color w:val="auto"/>
          <w:sz w:val="36"/>
          <w:highlight w:val="none"/>
        </w:rPr>
      </w:pPr>
    </w:p>
    <w:p w14:paraId="2EF408AE">
      <w:pPr>
        <w:spacing w:line="400" w:lineRule="exact"/>
        <w:jc w:val="center"/>
        <w:rPr>
          <w:rFonts w:hint="eastAsia" w:ascii="仿宋" w:hAnsi="仿宋" w:eastAsia="仿宋" w:cs="仿宋"/>
          <w:b/>
          <w:bCs/>
          <w:color w:val="auto"/>
          <w:sz w:val="36"/>
          <w:highlight w:val="none"/>
        </w:rPr>
      </w:pPr>
    </w:p>
    <w:p w14:paraId="5EB254A0">
      <w:pPr>
        <w:spacing w:line="400" w:lineRule="exact"/>
        <w:jc w:val="center"/>
        <w:rPr>
          <w:rFonts w:hint="eastAsia" w:ascii="仿宋" w:hAnsi="仿宋" w:eastAsia="仿宋" w:cs="仿宋"/>
          <w:b/>
          <w:bCs/>
          <w:color w:val="auto"/>
          <w:sz w:val="36"/>
          <w:highlight w:val="none"/>
        </w:rPr>
      </w:pPr>
    </w:p>
    <w:p w14:paraId="6C0D4BCE">
      <w:pPr>
        <w:spacing w:line="400" w:lineRule="exact"/>
        <w:jc w:val="center"/>
        <w:rPr>
          <w:rFonts w:hint="eastAsia" w:ascii="仿宋" w:hAnsi="仿宋" w:eastAsia="仿宋" w:cs="仿宋"/>
          <w:b/>
          <w:bCs/>
          <w:color w:val="auto"/>
          <w:sz w:val="36"/>
          <w:highlight w:val="none"/>
        </w:rPr>
      </w:pPr>
    </w:p>
    <w:p w14:paraId="465976C9">
      <w:pPr>
        <w:spacing w:line="400" w:lineRule="exact"/>
        <w:jc w:val="center"/>
        <w:rPr>
          <w:rFonts w:hint="eastAsia" w:ascii="仿宋" w:hAnsi="仿宋" w:eastAsia="仿宋" w:cs="仿宋"/>
          <w:b/>
          <w:bCs/>
          <w:color w:val="auto"/>
          <w:sz w:val="36"/>
          <w:highlight w:val="none"/>
        </w:rPr>
      </w:pPr>
    </w:p>
    <w:p w14:paraId="3A55640B">
      <w:pPr>
        <w:spacing w:line="400" w:lineRule="exact"/>
        <w:jc w:val="center"/>
        <w:rPr>
          <w:rFonts w:hint="eastAsia" w:ascii="仿宋" w:hAnsi="仿宋" w:eastAsia="仿宋" w:cs="仿宋"/>
          <w:b/>
          <w:bCs/>
          <w:color w:val="auto"/>
          <w:sz w:val="36"/>
          <w:highlight w:val="none"/>
        </w:rPr>
      </w:pPr>
    </w:p>
    <w:p w14:paraId="5BBC1BF5">
      <w:pPr>
        <w:spacing w:line="400" w:lineRule="exact"/>
        <w:jc w:val="center"/>
        <w:rPr>
          <w:rFonts w:hint="eastAsia" w:ascii="仿宋" w:hAnsi="仿宋" w:eastAsia="仿宋" w:cs="仿宋"/>
          <w:b/>
          <w:bCs/>
          <w:color w:val="auto"/>
          <w:sz w:val="36"/>
          <w:highlight w:val="none"/>
        </w:rPr>
      </w:pPr>
    </w:p>
    <w:p w14:paraId="6C36AEA5">
      <w:pPr>
        <w:spacing w:line="400" w:lineRule="exact"/>
        <w:jc w:val="center"/>
        <w:rPr>
          <w:rFonts w:hint="eastAsia" w:ascii="仿宋" w:hAnsi="仿宋" w:eastAsia="仿宋" w:cs="仿宋"/>
          <w:b/>
          <w:bCs/>
          <w:color w:val="auto"/>
          <w:sz w:val="36"/>
          <w:highlight w:val="none"/>
        </w:rPr>
      </w:pPr>
    </w:p>
    <w:p w14:paraId="354A4F59">
      <w:pPr>
        <w:spacing w:line="400" w:lineRule="exact"/>
        <w:jc w:val="center"/>
        <w:rPr>
          <w:rFonts w:hint="eastAsia" w:ascii="仿宋" w:hAnsi="仿宋" w:eastAsia="仿宋" w:cs="仿宋"/>
          <w:b/>
          <w:bCs/>
          <w:color w:val="auto"/>
          <w:sz w:val="36"/>
          <w:highlight w:val="none"/>
        </w:rPr>
      </w:pPr>
    </w:p>
    <w:p w14:paraId="32C5C0AD">
      <w:pPr>
        <w:spacing w:line="400" w:lineRule="exact"/>
        <w:jc w:val="center"/>
        <w:rPr>
          <w:rFonts w:hint="eastAsia" w:ascii="仿宋" w:hAnsi="仿宋" w:eastAsia="仿宋" w:cs="仿宋"/>
          <w:b/>
          <w:bCs/>
          <w:color w:val="auto"/>
          <w:sz w:val="36"/>
          <w:highlight w:val="none"/>
        </w:rPr>
      </w:pPr>
    </w:p>
    <w:p w14:paraId="5AF7FEDC">
      <w:pPr>
        <w:spacing w:line="400" w:lineRule="exact"/>
        <w:jc w:val="center"/>
        <w:rPr>
          <w:rFonts w:hint="eastAsia" w:ascii="仿宋" w:hAnsi="仿宋" w:eastAsia="仿宋" w:cs="仿宋"/>
          <w:b/>
          <w:bCs/>
          <w:color w:val="auto"/>
          <w:sz w:val="36"/>
          <w:highlight w:val="none"/>
        </w:rPr>
        <w:sectPr>
          <w:headerReference r:id="rId4" w:type="first"/>
          <w:footerReference r:id="rId7" w:type="first"/>
          <w:footerReference r:id="rId5" w:type="default"/>
          <w:headerReference r:id="rId3" w:type="even"/>
          <w:footerReference r:id="rId6" w:type="even"/>
          <w:pgSz w:w="11906" w:h="16838"/>
          <w:pgMar w:top="720" w:right="720" w:bottom="720" w:left="720" w:header="851" w:footer="907" w:gutter="0"/>
          <w:pgNumType w:start="1"/>
          <w:cols w:space="720" w:num="1"/>
          <w:titlePg/>
          <w:docGrid w:linePitch="312" w:charSpace="0"/>
        </w:sectPr>
      </w:pPr>
    </w:p>
    <w:p w14:paraId="2286472B">
      <w:pPr>
        <w:spacing w:line="240" w:lineRule="auto"/>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目 录</w:t>
      </w:r>
    </w:p>
    <w:p w14:paraId="3F7CADCD">
      <w:pPr>
        <w:pStyle w:val="19"/>
        <w:tabs>
          <w:tab w:val="right" w:leader="dot" w:pos="9736"/>
        </w:tabs>
        <w:spacing w:line="360" w:lineRule="auto"/>
        <w:jc w:val="center"/>
        <w:rPr>
          <w:rFonts w:hint="eastAsia" w:ascii="仿宋" w:hAnsi="仿宋" w:eastAsia="仿宋" w:cs="仿宋"/>
          <w:color w:val="auto"/>
          <w:szCs w:val="21"/>
          <w:highlight w:val="none"/>
        </w:rPr>
      </w:pPr>
    </w:p>
    <w:p w14:paraId="02099C4E">
      <w:pPr>
        <w:pStyle w:val="19"/>
        <w:tabs>
          <w:tab w:val="right" w:leader="dot" w:pos="10466"/>
        </w:tabs>
        <w:spacing w:line="480" w:lineRule="auto"/>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TOC \o "1-3" \h \z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_Toc20306 </w:instrText>
      </w:r>
      <w:r>
        <w:rPr>
          <w:rFonts w:hint="eastAsia" w:ascii="仿宋" w:hAnsi="仿宋" w:eastAsia="仿宋" w:cs="仿宋"/>
          <w:sz w:val="28"/>
          <w:szCs w:val="28"/>
          <w:highlight w:val="none"/>
        </w:rPr>
        <w:fldChar w:fldCharType="separate"/>
      </w:r>
      <w:r>
        <w:rPr>
          <w:rFonts w:hint="eastAsia" w:ascii="仿宋" w:hAnsi="仿宋" w:eastAsia="仿宋" w:cs="仿宋"/>
          <w:kern w:val="0"/>
          <w:sz w:val="28"/>
          <w:szCs w:val="28"/>
        </w:rPr>
        <w:t xml:space="preserve">第一章 </w:t>
      </w:r>
      <w:r>
        <w:rPr>
          <w:rFonts w:hint="eastAsia" w:ascii="仿宋" w:hAnsi="仿宋" w:eastAsia="仿宋" w:cs="仿宋"/>
          <w:kern w:val="0"/>
          <w:sz w:val="28"/>
          <w:szCs w:val="28"/>
          <w:highlight w:val="none"/>
          <w:lang w:eastAsia="zh-CN"/>
        </w:rPr>
        <w:t>竞争性磋商</w:t>
      </w:r>
      <w:r>
        <w:rPr>
          <w:rFonts w:hint="eastAsia" w:ascii="仿宋" w:hAnsi="仿宋" w:eastAsia="仿宋" w:cs="仿宋"/>
          <w:kern w:val="0"/>
          <w:sz w:val="28"/>
          <w:szCs w:val="28"/>
          <w:highlight w:val="none"/>
        </w:rPr>
        <w:t>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_Toc20306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14:paraId="0EC0818F">
      <w:pPr>
        <w:pStyle w:val="19"/>
        <w:tabs>
          <w:tab w:val="right" w:leader="dot" w:pos="10466"/>
        </w:tabs>
        <w:spacing w:line="480" w:lineRule="auto"/>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_Toc12615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_Toc12615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14:paraId="2CB4E21E">
      <w:pPr>
        <w:pStyle w:val="19"/>
        <w:tabs>
          <w:tab w:val="right" w:leader="dot" w:pos="10466"/>
        </w:tabs>
        <w:spacing w:line="480" w:lineRule="auto"/>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_Toc27510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xml:space="preserve">第三章 </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rPr>
        <w:t>办法（综合评分法）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_Toc27510 \h </w:instrText>
      </w:r>
      <w:r>
        <w:rPr>
          <w:rFonts w:hint="eastAsia" w:ascii="仿宋" w:hAnsi="仿宋" w:eastAsia="仿宋" w:cs="仿宋"/>
          <w:sz w:val="28"/>
          <w:szCs w:val="28"/>
        </w:rPr>
        <w:fldChar w:fldCharType="separate"/>
      </w:r>
      <w:r>
        <w:rPr>
          <w:rFonts w:hint="eastAsia" w:ascii="仿宋" w:hAnsi="仿宋" w:eastAsia="仿宋" w:cs="仿宋"/>
          <w:sz w:val="28"/>
          <w:szCs w:val="28"/>
        </w:rPr>
        <w:t>22</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14:paraId="0C0AD558">
      <w:pPr>
        <w:pStyle w:val="19"/>
        <w:tabs>
          <w:tab w:val="right" w:leader="dot" w:pos="10466"/>
        </w:tabs>
        <w:spacing w:line="480" w:lineRule="auto"/>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_Toc4902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第四章 合同条款及格式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_Toc4902 \h </w:instrText>
      </w:r>
      <w:r>
        <w:rPr>
          <w:rFonts w:hint="eastAsia" w:ascii="仿宋" w:hAnsi="仿宋" w:eastAsia="仿宋" w:cs="仿宋"/>
          <w:sz w:val="28"/>
          <w:szCs w:val="28"/>
        </w:rPr>
        <w:fldChar w:fldCharType="separate"/>
      </w:r>
      <w:r>
        <w:rPr>
          <w:rFonts w:hint="eastAsia" w:ascii="仿宋" w:hAnsi="仿宋" w:eastAsia="仿宋" w:cs="仿宋"/>
          <w:sz w:val="28"/>
          <w:szCs w:val="28"/>
        </w:rPr>
        <w:t>29</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14:paraId="4DE50BDE">
      <w:pPr>
        <w:pStyle w:val="19"/>
        <w:tabs>
          <w:tab w:val="right" w:leader="dot" w:pos="10466"/>
        </w:tabs>
        <w:spacing w:line="480" w:lineRule="auto"/>
        <w:jc w:val="left"/>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_Toc9936 </w:instrText>
      </w:r>
      <w:r>
        <w:rPr>
          <w:rFonts w:hint="eastAsia" w:ascii="仿宋" w:hAnsi="仿宋" w:eastAsia="仿宋" w:cs="仿宋"/>
          <w:sz w:val="28"/>
          <w:szCs w:val="28"/>
          <w:highlight w:val="none"/>
        </w:rPr>
        <w:fldChar w:fldCharType="separate"/>
      </w:r>
      <w:r>
        <w:rPr>
          <w:rFonts w:hint="eastAsia" w:ascii="仿宋" w:hAnsi="仿宋" w:eastAsia="仿宋" w:cs="仿宋"/>
          <w:bCs/>
          <w:kern w:val="2"/>
          <w:sz w:val="28"/>
          <w:szCs w:val="28"/>
          <w:highlight w:val="none"/>
          <w:lang w:val="en-US" w:eastAsia="zh-CN" w:bidi="ar-SA"/>
        </w:rPr>
        <w:t>第五章</w:t>
      </w:r>
      <w:r>
        <w:rPr>
          <w:rFonts w:hint="eastAsia" w:ascii="仿宋" w:hAnsi="仿宋" w:eastAsia="仿宋" w:cs="仿宋"/>
          <w:bCs/>
          <w:sz w:val="28"/>
          <w:szCs w:val="28"/>
          <w:highlight w:val="none"/>
        </w:rPr>
        <w:t xml:space="preserve">  </w:t>
      </w:r>
      <w:r>
        <w:rPr>
          <w:rFonts w:hint="eastAsia" w:ascii="仿宋" w:hAnsi="仿宋" w:eastAsia="仿宋" w:cs="仿宋"/>
          <w:bCs/>
          <w:sz w:val="28"/>
          <w:szCs w:val="28"/>
          <w:highlight w:val="none"/>
          <w:lang w:val="en-US" w:eastAsia="zh-CN"/>
        </w:rPr>
        <w:t>工程量清单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_Toc9936 \h </w:instrText>
      </w:r>
      <w:r>
        <w:rPr>
          <w:rFonts w:hint="eastAsia" w:ascii="仿宋" w:hAnsi="仿宋" w:eastAsia="仿宋" w:cs="仿宋"/>
          <w:sz w:val="28"/>
          <w:szCs w:val="28"/>
        </w:rPr>
        <w:fldChar w:fldCharType="separate"/>
      </w:r>
      <w:r>
        <w:rPr>
          <w:rFonts w:hint="eastAsia" w:ascii="仿宋" w:hAnsi="仿宋" w:eastAsia="仿宋" w:cs="仿宋"/>
          <w:sz w:val="28"/>
          <w:szCs w:val="28"/>
        </w:rPr>
        <w:t>33</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14:paraId="65BB8A13">
      <w:pPr>
        <w:pStyle w:val="19"/>
        <w:tabs>
          <w:tab w:val="right" w:leader="dot" w:pos="10466"/>
        </w:tabs>
        <w:spacing w:line="480" w:lineRule="auto"/>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_Toc10351 </w:instrText>
      </w:r>
      <w:r>
        <w:rPr>
          <w:rFonts w:hint="eastAsia" w:ascii="仿宋" w:hAnsi="仿宋" w:eastAsia="仿宋" w:cs="仿宋"/>
          <w:sz w:val="28"/>
          <w:szCs w:val="28"/>
          <w:highlight w:val="none"/>
        </w:rPr>
        <w:fldChar w:fldCharType="separate"/>
      </w:r>
      <w:r>
        <w:rPr>
          <w:rFonts w:hint="eastAsia" w:ascii="仿宋" w:hAnsi="仿宋" w:eastAsia="仿宋" w:cs="仿宋"/>
          <w:bCs/>
          <w:kern w:val="2"/>
          <w:sz w:val="28"/>
          <w:szCs w:val="28"/>
          <w:highlight w:val="none"/>
          <w:lang w:val="zh-CN" w:eastAsia="zh-CN" w:bidi="ar-SA"/>
        </w:rPr>
        <w:t>第</w:t>
      </w:r>
      <w:r>
        <w:rPr>
          <w:rFonts w:hint="eastAsia" w:ascii="仿宋" w:hAnsi="仿宋" w:eastAsia="仿宋" w:cs="仿宋"/>
          <w:bCs/>
          <w:kern w:val="2"/>
          <w:sz w:val="28"/>
          <w:szCs w:val="28"/>
          <w:highlight w:val="none"/>
          <w:lang w:val="en-US" w:eastAsia="zh-CN" w:bidi="ar-SA"/>
        </w:rPr>
        <w:t>六</w:t>
      </w:r>
      <w:r>
        <w:rPr>
          <w:rFonts w:hint="eastAsia" w:ascii="仿宋" w:hAnsi="仿宋" w:eastAsia="仿宋" w:cs="仿宋"/>
          <w:bCs/>
          <w:kern w:val="2"/>
          <w:sz w:val="28"/>
          <w:szCs w:val="28"/>
          <w:highlight w:val="none"/>
          <w:lang w:val="zh-CN" w:eastAsia="zh-CN" w:bidi="ar-SA"/>
        </w:rPr>
        <w:t>章</w:t>
      </w:r>
      <w:r>
        <w:rPr>
          <w:rFonts w:hint="eastAsia" w:ascii="仿宋" w:hAnsi="仿宋" w:eastAsia="仿宋" w:cs="仿宋"/>
          <w:bCs/>
          <w:kern w:val="2"/>
          <w:sz w:val="28"/>
          <w:szCs w:val="28"/>
          <w:highlight w:val="none"/>
          <w:lang w:val="en-US" w:eastAsia="zh-CN" w:bidi="ar-SA"/>
        </w:rPr>
        <w:t xml:space="preserve">  图纸（另附）</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_Toc10351 \h </w:instrText>
      </w:r>
      <w:r>
        <w:rPr>
          <w:rFonts w:hint="eastAsia" w:ascii="仿宋" w:hAnsi="仿宋" w:eastAsia="仿宋" w:cs="仿宋"/>
          <w:sz w:val="28"/>
          <w:szCs w:val="28"/>
        </w:rPr>
        <w:fldChar w:fldCharType="separate"/>
      </w:r>
      <w:r>
        <w:rPr>
          <w:rFonts w:hint="eastAsia" w:ascii="仿宋" w:hAnsi="仿宋" w:eastAsia="仿宋" w:cs="仿宋"/>
          <w:sz w:val="28"/>
          <w:szCs w:val="28"/>
        </w:rPr>
        <w:t>34</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14:paraId="0E2BD839">
      <w:pPr>
        <w:pStyle w:val="19"/>
        <w:tabs>
          <w:tab w:val="right" w:leader="dot" w:pos="10466"/>
        </w:tabs>
        <w:spacing w:line="480" w:lineRule="auto"/>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_Toc18139 </w:instrText>
      </w:r>
      <w:r>
        <w:rPr>
          <w:rFonts w:hint="eastAsia" w:ascii="仿宋" w:hAnsi="仿宋" w:eastAsia="仿宋" w:cs="仿宋"/>
          <w:sz w:val="28"/>
          <w:szCs w:val="28"/>
          <w:highlight w:val="none"/>
        </w:rPr>
        <w:fldChar w:fldCharType="separate"/>
      </w:r>
      <w:r>
        <w:rPr>
          <w:rFonts w:hint="eastAsia" w:ascii="仿宋" w:hAnsi="仿宋" w:eastAsia="仿宋" w:cs="仿宋"/>
          <w:bCs/>
          <w:kern w:val="2"/>
          <w:sz w:val="28"/>
          <w:szCs w:val="28"/>
          <w:highlight w:val="none"/>
          <w:lang w:val="zh-CN" w:eastAsia="zh-CN" w:bidi="ar-SA"/>
        </w:rPr>
        <w:t>第</w:t>
      </w:r>
      <w:r>
        <w:rPr>
          <w:rFonts w:hint="eastAsia" w:ascii="仿宋" w:hAnsi="仿宋" w:eastAsia="仿宋" w:cs="仿宋"/>
          <w:bCs/>
          <w:kern w:val="2"/>
          <w:sz w:val="28"/>
          <w:szCs w:val="28"/>
          <w:highlight w:val="none"/>
          <w:lang w:val="en-US" w:eastAsia="zh-CN" w:bidi="ar-SA"/>
        </w:rPr>
        <w:t>七</w:t>
      </w:r>
      <w:r>
        <w:rPr>
          <w:rFonts w:hint="eastAsia" w:ascii="仿宋" w:hAnsi="仿宋" w:eastAsia="仿宋" w:cs="仿宋"/>
          <w:bCs/>
          <w:kern w:val="2"/>
          <w:sz w:val="28"/>
          <w:szCs w:val="28"/>
          <w:highlight w:val="none"/>
          <w:lang w:val="zh-CN" w:eastAsia="zh-CN" w:bidi="ar-SA"/>
        </w:rPr>
        <w:t>章</w:t>
      </w:r>
      <w:r>
        <w:rPr>
          <w:rFonts w:hint="eastAsia" w:ascii="仿宋" w:hAnsi="仿宋" w:eastAsia="仿宋" w:cs="仿宋"/>
          <w:bCs/>
          <w:kern w:val="2"/>
          <w:sz w:val="28"/>
          <w:szCs w:val="28"/>
          <w:highlight w:val="none"/>
          <w:lang w:val="en-US" w:eastAsia="zh-CN" w:bidi="ar-SA"/>
        </w:rPr>
        <w:t xml:space="preserve"> </w:t>
      </w:r>
      <w:r>
        <w:rPr>
          <w:rFonts w:hint="eastAsia" w:ascii="仿宋" w:hAnsi="仿宋" w:eastAsia="仿宋" w:cs="仿宋"/>
          <w:bCs/>
          <w:kern w:val="2"/>
          <w:sz w:val="28"/>
          <w:szCs w:val="28"/>
          <w:highlight w:val="none"/>
          <w:lang w:val="zh-CN" w:eastAsia="zh-CN" w:bidi="ar-SA"/>
        </w:rPr>
        <w:t>技术标准和要求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_Toc18139 \h </w:instrText>
      </w:r>
      <w:r>
        <w:rPr>
          <w:rFonts w:hint="eastAsia" w:ascii="仿宋" w:hAnsi="仿宋" w:eastAsia="仿宋" w:cs="仿宋"/>
          <w:sz w:val="28"/>
          <w:szCs w:val="28"/>
        </w:rPr>
        <w:fldChar w:fldCharType="separate"/>
      </w:r>
      <w:r>
        <w:rPr>
          <w:rFonts w:hint="eastAsia" w:ascii="仿宋" w:hAnsi="仿宋" w:eastAsia="仿宋" w:cs="仿宋"/>
          <w:sz w:val="28"/>
          <w:szCs w:val="28"/>
        </w:rPr>
        <w:t>35</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14:paraId="66298473">
      <w:pPr>
        <w:pStyle w:val="19"/>
        <w:tabs>
          <w:tab w:val="right" w:leader="dot" w:pos="10466"/>
        </w:tabs>
        <w:spacing w:line="480" w:lineRule="auto"/>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_Toc3310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highlight w:val="none"/>
        </w:rPr>
        <w:t>第</w:t>
      </w:r>
      <w:r>
        <w:rPr>
          <w:rFonts w:hint="eastAsia" w:ascii="仿宋" w:hAnsi="仿宋" w:eastAsia="仿宋" w:cs="仿宋"/>
          <w:bCs/>
          <w:sz w:val="28"/>
          <w:szCs w:val="28"/>
          <w:highlight w:val="none"/>
          <w:lang w:val="en-US" w:eastAsia="zh-CN"/>
        </w:rPr>
        <w:t>八</w:t>
      </w:r>
      <w:r>
        <w:rPr>
          <w:rFonts w:hint="eastAsia" w:ascii="仿宋" w:hAnsi="仿宋" w:eastAsia="仿宋" w:cs="仿宋"/>
          <w:bCs/>
          <w:sz w:val="28"/>
          <w:szCs w:val="28"/>
          <w:highlight w:val="none"/>
        </w:rPr>
        <w:t xml:space="preserve">章  </w:t>
      </w:r>
      <w:r>
        <w:rPr>
          <w:rFonts w:hint="eastAsia" w:ascii="仿宋" w:hAnsi="仿宋" w:eastAsia="仿宋" w:cs="仿宋"/>
          <w:bCs/>
          <w:sz w:val="28"/>
          <w:szCs w:val="28"/>
          <w:highlight w:val="none"/>
          <w:lang w:eastAsia="zh-CN"/>
        </w:rPr>
        <w:t>响应文件</w:t>
      </w:r>
      <w:r>
        <w:rPr>
          <w:rFonts w:hint="eastAsia" w:ascii="仿宋" w:hAnsi="仿宋" w:eastAsia="仿宋" w:cs="仿宋"/>
          <w:bCs/>
          <w:sz w:val="28"/>
          <w:szCs w:val="28"/>
          <w:highlight w:val="none"/>
        </w:rPr>
        <w:t>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_Toc3310 \h </w:instrText>
      </w:r>
      <w:r>
        <w:rPr>
          <w:rFonts w:hint="eastAsia" w:ascii="仿宋" w:hAnsi="仿宋" w:eastAsia="仿宋" w:cs="仿宋"/>
          <w:sz w:val="28"/>
          <w:szCs w:val="28"/>
        </w:rPr>
        <w:fldChar w:fldCharType="separate"/>
      </w:r>
      <w:r>
        <w:rPr>
          <w:rFonts w:hint="eastAsia" w:ascii="仿宋" w:hAnsi="仿宋" w:eastAsia="仿宋" w:cs="仿宋"/>
          <w:sz w:val="28"/>
          <w:szCs w:val="28"/>
        </w:rPr>
        <w:t>36</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14:paraId="4C4FB13D">
      <w:pPr>
        <w:pStyle w:val="45"/>
        <w:spacing w:line="480" w:lineRule="auto"/>
        <w:jc w:val="center"/>
        <w:rPr>
          <w:rFonts w:hint="eastAsia" w:ascii="仿宋" w:hAnsi="仿宋" w:eastAsia="仿宋" w:cs="仿宋"/>
          <w:color w:val="auto"/>
          <w:highlight w:val="none"/>
          <w:lang w:val="zh-CN"/>
        </w:rPr>
        <w:sectPr>
          <w:footerReference r:id="rId9" w:type="first"/>
          <w:footerReference r:id="rId8" w:type="default"/>
          <w:pgSz w:w="11906" w:h="16838"/>
          <w:pgMar w:top="720" w:right="1230" w:bottom="720" w:left="1117" w:header="851" w:footer="907" w:gutter="0"/>
          <w:pgNumType w:fmt="decimal" w:start="1"/>
          <w:cols w:space="720" w:num="1"/>
          <w:titlePg/>
          <w:docGrid w:linePitch="312" w:charSpace="0"/>
        </w:sectPr>
      </w:pPr>
      <w:r>
        <w:rPr>
          <w:rFonts w:hint="eastAsia" w:ascii="仿宋" w:hAnsi="仿宋" w:eastAsia="仿宋" w:cs="仿宋"/>
          <w:color w:val="auto"/>
          <w:sz w:val="28"/>
          <w:szCs w:val="28"/>
          <w:highlight w:val="none"/>
        </w:rPr>
        <w:fldChar w:fldCharType="end"/>
      </w:r>
      <w:r>
        <w:rPr>
          <w:rFonts w:hint="eastAsia" w:ascii="仿宋" w:hAnsi="仿宋" w:eastAsia="仿宋" w:cs="仿宋"/>
          <w:color w:val="auto"/>
          <w:highlight w:val="none"/>
          <w:lang w:val="zh-CN"/>
        </w:rPr>
        <w:tab/>
      </w:r>
    </w:p>
    <w:p w14:paraId="04E224E8">
      <w:pPr>
        <w:pStyle w:val="3"/>
        <w:numPr>
          <w:ilvl w:val="0"/>
          <w:numId w:val="1"/>
        </w:numPr>
        <w:snapToGrid w:val="0"/>
        <w:spacing w:before="0" w:after="0"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 </w:t>
      </w:r>
      <w:bookmarkStart w:id="0" w:name="_Toc5288"/>
      <w:bookmarkStart w:id="1" w:name="_Toc11585"/>
      <w:bookmarkStart w:id="2" w:name="_Toc9300"/>
      <w:bookmarkStart w:id="3" w:name="_Toc10576"/>
      <w:bookmarkStart w:id="4" w:name="_Toc16186"/>
      <w:bookmarkStart w:id="5" w:name="_Toc20306"/>
      <w:r>
        <w:rPr>
          <w:rFonts w:hint="eastAsia" w:ascii="仿宋" w:hAnsi="仿宋" w:eastAsia="仿宋" w:cs="仿宋"/>
          <w:color w:val="auto"/>
          <w:kern w:val="0"/>
          <w:sz w:val="32"/>
          <w:szCs w:val="32"/>
          <w:highlight w:val="none"/>
          <w:lang w:eastAsia="zh-CN"/>
        </w:rPr>
        <w:t>竞争性磋商</w:t>
      </w:r>
      <w:r>
        <w:rPr>
          <w:rFonts w:hint="eastAsia" w:ascii="仿宋" w:hAnsi="仿宋" w:eastAsia="仿宋" w:cs="仿宋"/>
          <w:color w:val="auto"/>
          <w:kern w:val="0"/>
          <w:sz w:val="32"/>
          <w:szCs w:val="32"/>
          <w:highlight w:val="none"/>
        </w:rPr>
        <w:t>公告</w:t>
      </w:r>
      <w:bookmarkEnd w:id="0"/>
      <w:bookmarkEnd w:id="1"/>
      <w:bookmarkEnd w:id="2"/>
      <w:bookmarkEnd w:id="3"/>
      <w:bookmarkEnd w:id="4"/>
      <w:bookmarkEnd w:id="5"/>
    </w:p>
    <w:p w14:paraId="40F208AD">
      <w:pPr>
        <w:pStyle w:val="25"/>
        <w:keepNext w:val="0"/>
        <w:keepLines w:val="0"/>
        <w:pageBreakBefore w:val="0"/>
        <w:kinsoku/>
        <w:wordWrap/>
        <w:overflowPunct/>
        <w:topLinePunct w:val="0"/>
        <w:autoSpaceDE/>
        <w:autoSpaceDN/>
        <w:bidi w:val="0"/>
        <w:spacing w:after="0" w:afterLines="0" w:line="500" w:lineRule="exact"/>
        <w:ind w:firstLine="241"/>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荥阳市交通运输局郑州市S314线K307+250~K311+300段及郑州市S315线K6+000~K17+400段公路安全提升工程项目（二次）-</w:t>
      </w:r>
      <w:r>
        <w:rPr>
          <w:rFonts w:hint="eastAsia" w:ascii="仿宋" w:hAnsi="仿宋" w:eastAsia="仿宋" w:cs="仿宋"/>
          <w:b/>
          <w:bCs/>
          <w:color w:val="auto"/>
          <w:sz w:val="28"/>
          <w:szCs w:val="28"/>
          <w:highlight w:val="none"/>
        </w:rPr>
        <w:t>竞争性磋商公告</w:t>
      </w:r>
    </w:p>
    <w:p w14:paraId="39CA85F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sz w:val="24"/>
          <w:szCs w:val="24"/>
          <w:highlight w:val="none"/>
          <w:lang w:val="en-US" w:eastAsia="zh-CN"/>
        </w:rPr>
      </w:pPr>
      <w:bookmarkStart w:id="6" w:name="_Toc21970"/>
      <w:bookmarkStart w:id="7" w:name="_Toc6586678"/>
      <w:bookmarkStart w:id="8" w:name="_Toc152045527"/>
      <w:bookmarkStart w:id="9" w:name="_Toc152042303"/>
      <w:bookmarkStart w:id="10" w:name="_Toc144974495"/>
      <w:r>
        <w:rPr>
          <w:rFonts w:hint="eastAsia" w:ascii="仿宋" w:hAnsi="仿宋" w:eastAsia="仿宋" w:cs="仿宋"/>
          <w:b/>
          <w:bCs/>
          <w:color w:val="auto"/>
          <w:sz w:val="24"/>
          <w:szCs w:val="24"/>
          <w:highlight w:val="none"/>
          <w:lang w:val="en-US" w:eastAsia="zh-CN"/>
        </w:rPr>
        <w:t>项目概况</w:t>
      </w:r>
    </w:p>
    <w:p w14:paraId="731D36E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1"/>
        <w:rPr>
          <w:rFonts w:hint="eastAsia" w:ascii="仿宋" w:hAnsi="仿宋" w:eastAsia="仿宋" w:cs="仿宋"/>
          <w:color w:val="auto"/>
          <w:sz w:val="24"/>
          <w:szCs w:val="24"/>
          <w:highlight w:val="none"/>
          <w:u w:val="none"/>
          <w:lang w:val="en-US" w:eastAsia="zh-CN"/>
        </w:rPr>
      </w:pPr>
      <w:bookmarkStart w:id="11" w:name="_Toc7697"/>
      <w:bookmarkStart w:id="12" w:name="_Toc23437"/>
      <w:bookmarkStart w:id="13" w:name="_Toc21667"/>
      <w:r>
        <w:rPr>
          <w:rFonts w:hint="eastAsia" w:ascii="仿宋" w:hAnsi="仿宋" w:eastAsia="仿宋" w:cs="仿宋"/>
          <w:color w:val="auto"/>
          <w:sz w:val="24"/>
          <w:szCs w:val="24"/>
          <w:highlight w:val="none"/>
          <w:u w:val="none"/>
          <w:lang w:val="en-US" w:eastAsia="zh-CN"/>
        </w:rPr>
        <w:t>荥阳市交通运输局郑州市S314线K307+250~K311+300段及郑州市S315K6+000~K17+400段公路安全提升工程项目招标项目的潜在投标人应在荥阳市公共资源交易平台获取招标文件，并于2026年2月10日9时00分（北京时间）前递交响应文件。</w:t>
      </w:r>
      <w:bookmarkEnd w:id="11"/>
    </w:p>
    <w:p w14:paraId="1C15D289">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b/>
          <w:bCs/>
          <w:color w:val="auto"/>
          <w:sz w:val="24"/>
          <w:szCs w:val="24"/>
          <w:highlight w:val="none"/>
          <w:lang w:val="en-US" w:eastAsia="zh-CN"/>
        </w:rPr>
      </w:pPr>
      <w:bookmarkStart w:id="14" w:name="_Toc32525"/>
      <w:r>
        <w:rPr>
          <w:rFonts w:hint="eastAsia" w:ascii="仿宋" w:hAnsi="仿宋" w:eastAsia="仿宋" w:cs="仿宋"/>
          <w:b/>
          <w:bCs/>
          <w:color w:val="auto"/>
          <w:sz w:val="24"/>
          <w:szCs w:val="24"/>
          <w:highlight w:val="none"/>
          <w:lang w:val="en-US" w:eastAsia="zh-CN"/>
        </w:rPr>
        <w:t>一、项目基本情况</w:t>
      </w:r>
      <w:bookmarkEnd w:id="12"/>
      <w:bookmarkEnd w:id="13"/>
      <w:bookmarkEnd w:id="14"/>
    </w:p>
    <w:p w14:paraId="468FBD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1、项目编号：荥财磋商2025-60</w:t>
      </w:r>
    </w:p>
    <w:p w14:paraId="415CC2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2、项目名称：荥阳市交通运输局郑州市S314线K307+250~K311+300段及郑州市S315线K6+000~K17+400段公路安全提升工程项目</w:t>
      </w:r>
    </w:p>
    <w:p w14:paraId="7224EE2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3、采购方式：竞争性磋商</w:t>
      </w:r>
    </w:p>
    <w:p w14:paraId="2CC6096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4、预算金额：1208921.00</w:t>
      </w:r>
      <w:r>
        <w:rPr>
          <w:rFonts w:hint="eastAsia" w:ascii="仿宋" w:hAnsi="仿宋" w:eastAsia="仿宋" w:cs="仿宋"/>
          <w:color w:val="auto"/>
          <w:sz w:val="24"/>
          <w:szCs w:val="24"/>
          <w:highlight w:val="none"/>
          <w:lang w:val="zh-CN" w:eastAsia="zh-CN"/>
        </w:rPr>
        <w:t>元；</w:t>
      </w:r>
    </w:p>
    <w:p w14:paraId="2BE34EA0">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最高限价：</w:t>
      </w:r>
      <w:r>
        <w:rPr>
          <w:rFonts w:hint="eastAsia" w:ascii="仿宋" w:hAnsi="仿宋" w:eastAsia="仿宋" w:cs="仿宋"/>
          <w:color w:val="auto"/>
          <w:sz w:val="24"/>
          <w:szCs w:val="24"/>
          <w:highlight w:val="none"/>
          <w:lang w:val="en-US" w:eastAsia="zh-CN"/>
        </w:rPr>
        <w:t>1208921.00</w:t>
      </w:r>
      <w:r>
        <w:rPr>
          <w:rFonts w:hint="eastAsia" w:ascii="仿宋" w:hAnsi="仿宋" w:eastAsia="仿宋" w:cs="仿宋"/>
          <w:color w:val="auto"/>
          <w:sz w:val="24"/>
          <w:szCs w:val="24"/>
          <w:highlight w:val="none"/>
          <w:lang w:val="zh-CN" w:eastAsia="zh-CN"/>
        </w:rPr>
        <w:t>元；</w:t>
      </w:r>
    </w:p>
    <w:tbl>
      <w:tblPr>
        <w:tblStyle w:val="27"/>
        <w:tblW w:w="10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352"/>
        <w:gridCol w:w="2559"/>
        <w:gridCol w:w="1285"/>
        <w:gridCol w:w="1466"/>
        <w:gridCol w:w="1463"/>
        <w:gridCol w:w="1690"/>
      </w:tblGrid>
      <w:tr w14:paraId="241E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80" w:type="dxa"/>
            <w:noWrap w:val="0"/>
            <w:vAlign w:val="center"/>
          </w:tcPr>
          <w:p w14:paraId="350D98ED">
            <w:pPr>
              <w:pStyle w:val="23"/>
              <w:keepNext w:val="0"/>
              <w:keepLines w:val="0"/>
              <w:pageBreakBefore w:val="0"/>
              <w:kinsoku/>
              <w:wordWrap/>
              <w:overflowPunct/>
              <w:topLinePunct w:val="0"/>
              <w:autoSpaceDE/>
              <w:autoSpaceDN/>
              <w:bidi w:val="0"/>
              <w:adjustRightInd/>
              <w:snapToGrid w:val="0"/>
              <w:spacing w:before="0" w:after="0" w:line="320" w:lineRule="exact"/>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序号</w:t>
            </w:r>
          </w:p>
        </w:tc>
        <w:tc>
          <w:tcPr>
            <w:tcW w:w="1352" w:type="dxa"/>
            <w:noWrap w:val="0"/>
            <w:vAlign w:val="center"/>
          </w:tcPr>
          <w:p w14:paraId="59D3D89B">
            <w:pPr>
              <w:pStyle w:val="23"/>
              <w:keepNext w:val="0"/>
              <w:keepLines w:val="0"/>
              <w:pageBreakBefore w:val="0"/>
              <w:kinsoku/>
              <w:wordWrap/>
              <w:overflowPunct/>
              <w:topLinePunct w:val="0"/>
              <w:autoSpaceDE/>
              <w:autoSpaceDN/>
              <w:bidi w:val="0"/>
              <w:adjustRightInd/>
              <w:snapToGrid w:val="0"/>
              <w:spacing w:before="0" w:after="0" w:line="320" w:lineRule="exact"/>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包号</w:t>
            </w:r>
          </w:p>
        </w:tc>
        <w:tc>
          <w:tcPr>
            <w:tcW w:w="2559" w:type="dxa"/>
            <w:noWrap w:val="0"/>
            <w:vAlign w:val="center"/>
          </w:tcPr>
          <w:p w14:paraId="0205A050">
            <w:pPr>
              <w:pStyle w:val="23"/>
              <w:keepNext w:val="0"/>
              <w:keepLines w:val="0"/>
              <w:pageBreakBefore w:val="0"/>
              <w:kinsoku/>
              <w:wordWrap/>
              <w:overflowPunct/>
              <w:topLinePunct w:val="0"/>
              <w:autoSpaceDE/>
              <w:autoSpaceDN/>
              <w:bidi w:val="0"/>
              <w:adjustRightInd/>
              <w:snapToGrid w:val="0"/>
              <w:spacing w:before="0" w:after="0" w:line="320" w:lineRule="exact"/>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包名称</w:t>
            </w:r>
          </w:p>
        </w:tc>
        <w:tc>
          <w:tcPr>
            <w:tcW w:w="1285" w:type="dxa"/>
            <w:noWrap w:val="0"/>
            <w:vAlign w:val="center"/>
          </w:tcPr>
          <w:p w14:paraId="62C28643">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包预算</w:t>
            </w:r>
          </w:p>
          <w:p w14:paraId="34F7760B">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（元）</w:t>
            </w:r>
          </w:p>
        </w:tc>
        <w:tc>
          <w:tcPr>
            <w:tcW w:w="1466" w:type="dxa"/>
            <w:noWrap w:val="0"/>
            <w:vAlign w:val="center"/>
          </w:tcPr>
          <w:p w14:paraId="187A6899">
            <w:pPr>
              <w:pStyle w:val="23"/>
              <w:keepNext w:val="0"/>
              <w:keepLines w:val="0"/>
              <w:pageBreakBefore w:val="0"/>
              <w:kinsoku/>
              <w:wordWrap/>
              <w:overflowPunct/>
              <w:topLinePunct w:val="0"/>
              <w:autoSpaceDE/>
              <w:autoSpaceDN/>
              <w:bidi w:val="0"/>
              <w:adjustRightInd/>
              <w:snapToGrid w:val="0"/>
              <w:spacing w:before="0" w:after="0" w:line="320" w:lineRule="exact"/>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包最高限价（元）</w:t>
            </w:r>
          </w:p>
        </w:tc>
        <w:tc>
          <w:tcPr>
            <w:tcW w:w="1463" w:type="dxa"/>
            <w:noWrap w:val="0"/>
            <w:vAlign w:val="center"/>
          </w:tcPr>
          <w:p w14:paraId="48B503C3">
            <w:pPr>
              <w:pStyle w:val="23"/>
              <w:keepNext w:val="0"/>
              <w:keepLines w:val="0"/>
              <w:pageBreakBefore w:val="0"/>
              <w:kinsoku/>
              <w:wordWrap/>
              <w:overflowPunct/>
              <w:topLinePunct w:val="0"/>
              <w:autoSpaceDE/>
              <w:autoSpaceDN/>
              <w:bidi w:val="0"/>
              <w:adjustRightInd/>
              <w:snapToGrid w:val="0"/>
              <w:spacing w:before="0" w:after="0" w:line="320" w:lineRule="exact"/>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是否专门面向中小企业</w:t>
            </w:r>
          </w:p>
        </w:tc>
        <w:tc>
          <w:tcPr>
            <w:tcW w:w="1690" w:type="dxa"/>
            <w:noWrap w:val="0"/>
            <w:vAlign w:val="center"/>
          </w:tcPr>
          <w:p w14:paraId="2DEECFAF">
            <w:pPr>
              <w:pStyle w:val="23"/>
              <w:keepNext w:val="0"/>
              <w:keepLines w:val="0"/>
              <w:pageBreakBefore w:val="0"/>
              <w:kinsoku/>
              <w:wordWrap/>
              <w:overflowPunct/>
              <w:topLinePunct w:val="0"/>
              <w:autoSpaceDE/>
              <w:autoSpaceDN/>
              <w:bidi w:val="0"/>
              <w:adjustRightInd/>
              <w:snapToGrid w:val="0"/>
              <w:spacing w:before="0" w:after="0" w:line="320" w:lineRule="exact"/>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采购预留金额（元）</w:t>
            </w:r>
          </w:p>
        </w:tc>
      </w:tr>
      <w:tr w14:paraId="0BF5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480" w:type="dxa"/>
            <w:noWrap w:val="0"/>
            <w:vAlign w:val="center"/>
          </w:tcPr>
          <w:p w14:paraId="4B7000C2">
            <w:pPr>
              <w:pStyle w:val="23"/>
              <w:keepNext w:val="0"/>
              <w:keepLines w:val="0"/>
              <w:pageBreakBefore w:val="0"/>
              <w:kinsoku/>
              <w:wordWrap/>
              <w:overflowPunct/>
              <w:topLinePunct w:val="0"/>
              <w:autoSpaceDE/>
              <w:autoSpaceDN/>
              <w:bidi w:val="0"/>
              <w:snapToGrid w:val="0"/>
              <w:spacing w:before="0" w:after="0" w:line="500" w:lineRule="exact"/>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w:t>
            </w:r>
          </w:p>
        </w:tc>
        <w:tc>
          <w:tcPr>
            <w:tcW w:w="1352" w:type="dxa"/>
            <w:noWrap w:val="0"/>
            <w:vAlign w:val="center"/>
          </w:tcPr>
          <w:p w14:paraId="37E2DB0A">
            <w:pPr>
              <w:keepNext w:val="0"/>
              <w:keepLines w:val="0"/>
              <w:pageBreakBefore w:val="0"/>
              <w:widowControl/>
              <w:suppressLineNumbers w:val="0"/>
              <w:kinsoku/>
              <w:wordWrap/>
              <w:overflowPunct/>
              <w:topLinePunct w:val="0"/>
              <w:autoSpaceDE/>
              <w:autoSpaceDN/>
              <w:bidi w:val="0"/>
              <w:spacing w:line="500" w:lineRule="exact"/>
              <w:jc w:val="center"/>
              <w:textAlignment w:val="auto"/>
              <w:rPr>
                <w:rFonts w:hint="default" w:ascii="仿宋" w:hAnsi="仿宋" w:eastAsia="仿宋" w:cs="仿宋"/>
                <w:bCs/>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荥财磋商-202</w:t>
            </w:r>
            <w:r>
              <w:rPr>
                <w:rFonts w:hint="eastAsia" w:ascii="仿宋" w:hAnsi="仿宋" w:eastAsia="仿宋" w:cs="仿宋"/>
                <w:color w:val="auto"/>
                <w:sz w:val="21"/>
                <w:szCs w:val="21"/>
                <w:highlight w:val="none"/>
                <w:lang w:val="en-US" w:eastAsia="zh-CN"/>
              </w:rPr>
              <w:t>5-60-1</w:t>
            </w:r>
          </w:p>
        </w:tc>
        <w:tc>
          <w:tcPr>
            <w:tcW w:w="2559" w:type="dxa"/>
            <w:noWrap w:val="0"/>
            <w:vAlign w:val="center"/>
          </w:tcPr>
          <w:p w14:paraId="05F817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荥阳市交通运输局郑州市S314线K307+250~K311+3</w:t>
            </w:r>
          </w:p>
          <w:p w14:paraId="3EC388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00段及郑州市S315线K6+000~K17+400段公路安全提升工程项目</w:t>
            </w:r>
          </w:p>
        </w:tc>
        <w:tc>
          <w:tcPr>
            <w:tcW w:w="1285" w:type="dxa"/>
            <w:noWrap w:val="0"/>
            <w:vAlign w:val="center"/>
          </w:tcPr>
          <w:p w14:paraId="14484EF5">
            <w:pPr>
              <w:pStyle w:val="23"/>
              <w:keepNext w:val="0"/>
              <w:keepLines w:val="0"/>
              <w:pageBreakBefore w:val="0"/>
              <w:kinsoku/>
              <w:wordWrap/>
              <w:overflowPunct/>
              <w:topLinePunct w:val="0"/>
              <w:autoSpaceDE/>
              <w:autoSpaceDN/>
              <w:bidi w:val="0"/>
              <w:snapToGrid w:val="0"/>
              <w:spacing w:before="0" w:after="0" w:line="500" w:lineRule="exact"/>
              <w:jc w:val="center"/>
              <w:textAlignment w:val="auto"/>
              <w:rPr>
                <w:rFonts w:hint="default" w:ascii="仿宋" w:hAnsi="仿宋" w:eastAsia="仿宋" w:cs="仿宋"/>
                <w:bCs/>
                <w:color w:val="auto"/>
                <w:kern w:val="2"/>
                <w:sz w:val="21"/>
                <w:szCs w:val="21"/>
                <w:highlight w:val="none"/>
                <w:lang w:val="en-US" w:eastAsia="zh-CN" w:bidi="ar-SA"/>
              </w:rPr>
            </w:pPr>
            <w:r>
              <w:rPr>
                <w:rFonts w:hint="default" w:ascii="仿宋" w:hAnsi="仿宋" w:eastAsia="仿宋" w:cs="仿宋"/>
                <w:bCs/>
                <w:color w:val="auto"/>
                <w:kern w:val="2"/>
                <w:sz w:val="21"/>
                <w:szCs w:val="21"/>
                <w:highlight w:val="none"/>
                <w:lang w:val="en-US" w:eastAsia="zh-CN" w:bidi="ar-SA"/>
              </w:rPr>
              <w:t>1208921.00</w:t>
            </w:r>
          </w:p>
        </w:tc>
        <w:tc>
          <w:tcPr>
            <w:tcW w:w="1466" w:type="dxa"/>
            <w:noWrap w:val="0"/>
            <w:vAlign w:val="center"/>
          </w:tcPr>
          <w:p w14:paraId="52EDACE0">
            <w:pPr>
              <w:pStyle w:val="23"/>
              <w:keepNext w:val="0"/>
              <w:keepLines w:val="0"/>
              <w:pageBreakBefore w:val="0"/>
              <w:kinsoku/>
              <w:wordWrap/>
              <w:overflowPunct/>
              <w:topLinePunct w:val="0"/>
              <w:autoSpaceDE/>
              <w:autoSpaceDN/>
              <w:bidi w:val="0"/>
              <w:snapToGrid w:val="0"/>
              <w:spacing w:before="0" w:after="0" w:line="500" w:lineRule="exact"/>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1208921.00</w:t>
            </w:r>
          </w:p>
        </w:tc>
        <w:tc>
          <w:tcPr>
            <w:tcW w:w="1463" w:type="dxa"/>
            <w:noWrap w:val="0"/>
            <w:vAlign w:val="center"/>
          </w:tcPr>
          <w:p w14:paraId="1B4DDAB8">
            <w:pPr>
              <w:pStyle w:val="23"/>
              <w:keepNext w:val="0"/>
              <w:keepLines w:val="0"/>
              <w:pageBreakBefore w:val="0"/>
              <w:kinsoku/>
              <w:wordWrap/>
              <w:overflowPunct/>
              <w:topLinePunct w:val="0"/>
              <w:autoSpaceDE/>
              <w:autoSpaceDN/>
              <w:bidi w:val="0"/>
              <w:snapToGrid w:val="0"/>
              <w:spacing w:before="0" w:after="0" w:line="500" w:lineRule="exact"/>
              <w:jc w:val="center"/>
              <w:textAlignment w:val="auto"/>
              <w:rPr>
                <w:rFonts w:hint="default"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是</w:t>
            </w:r>
          </w:p>
        </w:tc>
        <w:tc>
          <w:tcPr>
            <w:tcW w:w="1690" w:type="dxa"/>
            <w:noWrap w:val="0"/>
            <w:vAlign w:val="center"/>
          </w:tcPr>
          <w:p w14:paraId="023951FC">
            <w:pPr>
              <w:pStyle w:val="23"/>
              <w:keepNext w:val="0"/>
              <w:keepLines w:val="0"/>
              <w:pageBreakBefore w:val="0"/>
              <w:kinsoku/>
              <w:wordWrap/>
              <w:overflowPunct/>
              <w:topLinePunct w:val="0"/>
              <w:autoSpaceDE/>
              <w:autoSpaceDN/>
              <w:bidi w:val="0"/>
              <w:snapToGrid w:val="0"/>
              <w:spacing w:before="0" w:after="0" w:line="500" w:lineRule="exact"/>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1208921.00</w:t>
            </w:r>
          </w:p>
        </w:tc>
      </w:tr>
    </w:tbl>
    <w:p w14:paraId="17143D4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5、采购需求（包括但不限于标的的名称、数量、简要技术需求或服务要求等）</w:t>
      </w:r>
    </w:p>
    <w:p w14:paraId="3E86A77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bCs/>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5.1项目概况：本项目S314线荥阳段路线起始桩号为K307+250处，终点桩号为K311+300，路线全长4.05公里，处治长度1.8公里。工程内容为交通安全设施，主要包括;新建单柱式标志5个，单悬臂式标志1个,增设标线5665.3平方米,清洗标线3390.3平方米，增设道口标注8个。S315线荥阳段路线起始桩号为K6+000，终点桩号为K17+400，路线全长11.4公里，处治里程3.8公里。工程内容为交通安全设施，主要包括:新建单柱式标志21个，单悬臂式标志2个,增设标线14299.7平方米,清洗标线7822.8平方米，增设道口标注168个。</w:t>
      </w:r>
    </w:p>
    <w:p w14:paraId="15EF37B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5.2采购内容：施工图纸及工程量清单和磋商文件范围内的全部内容。</w:t>
      </w:r>
    </w:p>
    <w:p w14:paraId="6C1C4B3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5.3资金来源：财政资金。</w:t>
      </w:r>
    </w:p>
    <w:p w14:paraId="53280FD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auto"/>
          <w:sz w:val="24"/>
          <w:szCs w:val="24"/>
          <w:highlight w:val="none"/>
          <w:lang w:val="en-US" w:eastAsia="zh-CN"/>
        </w:rPr>
        <w:t>5.4质量标准：符合国家现行相关标准和规范要求，达到合格标准。</w:t>
      </w:r>
    </w:p>
    <w:p w14:paraId="75898C2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5.5工期：90日历天</w:t>
      </w:r>
    </w:p>
    <w:p w14:paraId="19D2CC5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olor w:val="auto"/>
          <w:highlight w:val="none"/>
          <w:lang w:val="en-US" w:eastAsia="zh-CN"/>
        </w:rPr>
      </w:pPr>
      <w:r>
        <w:rPr>
          <w:rFonts w:hint="eastAsia" w:ascii="仿宋" w:hAnsi="仿宋" w:eastAsia="仿宋" w:cs="仿宋"/>
          <w:color w:val="auto"/>
          <w:sz w:val="24"/>
          <w:szCs w:val="24"/>
          <w:highlight w:val="none"/>
          <w:lang w:val="en-US" w:eastAsia="zh-CN"/>
        </w:rPr>
        <w:t>5.6质保期：一年</w:t>
      </w:r>
    </w:p>
    <w:p w14:paraId="620CF665">
      <w:pPr>
        <w:pStyle w:val="23"/>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5.7标段划分：本项目划分为1个标段。</w:t>
      </w:r>
    </w:p>
    <w:p w14:paraId="00DFF3E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6、合同履行期限：90日历天</w:t>
      </w:r>
    </w:p>
    <w:p w14:paraId="718CBC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7、本项目是否接受联合体投标：否</w:t>
      </w:r>
    </w:p>
    <w:p w14:paraId="0F40CA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8、是否接受进口产品：否</w:t>
      </w:r>
    </w:p>
    <w:p w14:paraId="1ADB0F3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9、是否专门面向中小企业：是</w:t>
      </w:r>
    </w:p>
    <w:p w14:paraId="2E7670B5">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15" w:name="_Toc9571"/>
      <w:bookmarkStart w:id="16" w:name="_Toc29835"/>
      <w:bookmarkStart w:id="17" w:name="_Toc4756"/>
      <w:r>
        <w:rPr>
          <w:rFonts w:hint="eastAsia" w:ascii="仿宋" w:hAnsi="仿宋" w:eastAsia="仿宋" w:cs="仿宋"/>
          <w:b/>
          <w:bCs/>
          <w:color w:val="auto"/>
          <w:sz w:val="24"/>
          <w:szCs w:val="24"/>
          <w:highlight w:val="none"/>
          <w:lang w:val="en-US" w:eastAsia="zh-CN"/>
        </w:rPr>
        <w:t>二、申请人资格条件</w:t>
      </w:r>
      <w:r>
        <w:rPr>
          <w:rFonts w:hint="eastAsia" w:ascii="仿宋" w:hAnsi="仿宋" w:eastAsia="仿宋" w:cs="仿宋"/>
          <w:color w:val="auto"/>
          <w:sz w:val="24"/>
          <w:szCs w:val="24"/>
          <w:highlight w:val="none"/>
          <w:lang w:val="en-US" w:eastAsia="zh-CN"/>
        </w:rPr>
        <w:t>：</w:t>
      </w:r>
      <w:bookmarkEnd w:id="15"/>
      <w:bookmarkEnd w:id="16"/>
      <w:bookmarkEnd w:id="17"/>
    </w:p>
    <w:p w14:paraId="04C804D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仿宋" w:hAnsi="仿宋" w:eastAsia="仿宋" w:cs="仿宋"/>
          <w:b w:val="0"/>
          <w:bCs w:val="0"/>
          <w:color w:val="auto"/>
          <w:sz w:val="24"/>
          <w:szCs w:val="24"/>
          <w:highlight w:val="none"/>
        </w:rPr>
      </w:pPr>
      <w:bookmarkStart w:id="18" w:name="_Toc29480"/>
      <w:bookmarkStart w:id="19" w:name="_Toc948"/>
      <w:bookmarkStart w:id="20" w:name="_Toc32427"/>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满足《中华人民共和国政府采购法》第二十二条规定；</w:t>
      </w:r>
      <w:bookmarkEnd w:id="18"/>
      <w:bookmarkEnd w:id="19"/>
    </w:p>
    <w:p w14:paraId="25CCEC3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仿宋" w:hAnsi="仿宋" w:eastAsia="仿宋" w:cs="仿宋"/>
          <w:b w:val="0"/>
          <w:bCs w:val="0"/>
          <w:color w:val="auto"/>
          <w:sz w:val="24"/>
          <w:szCs w:val="24"/>
          <w:highlight w:val="none"/>
          <w:lang w:val="en-US" w:eastAsia="zh-CN"/>
        </w:rPr>
      </w:pPr>
      <w:bookmarkStart w:id="21" w:name="_Toc11575"/>
      <w:bookmarkStart w:id="22" w:name="_Toc8705"/>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落实政府采购政策满足的资格要求：</w:t>
      </w:r>
      <w:r>
        <w:rPr>
          <w:rFonts w:hint="eastAsia" w:ascii="仿宋" w:hAnsi="仿宋" w:eastAsia="仿宋" w:cs="仿宋"/>
          <w:b w:val="0"/>
          <w:bCs w:val="0"/>
          <w:color w:val="auto"/>
          <w:sz w:val="24"/>
          <w:szCs w:val="24"/>
          <w:highlight w:val="none"/>
          <w:lang w:val="en-US" w:eastAsia="zh-CN"/>
        </w:rPr>
        <w:t>本项目属于专门面向中小企业采购的项目，即本项目承建企业应为中小微企业、监狱企业、残疾人福利性单位。</w:t>
      </w:r>
      <w:bookmarkEnd w:id="21"/>
    </w:p>
    <w:bookmarkEnd w:id="22"/>
    <w:p w14:paraId="4BC3C4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仿宋" w:hAnsi="仿宋" w:eastAsia="仿宋" w:cs="仿宋"/>
          <w:b w:val="0"/>
          <w:bCs w:val="0"/>
          <w:color w:val="auto"/>
          <w:sz w:val="24"/>
          <w:szCs w:val="24"/>
          <w:highlight w:val="none"/>
        </w:rPr>
      </w:pPr>
      <w:bookmarkStart w:id="23" w:name="_Toc1112"/>
      <w:bookmarkStart w:id="24" w:name="_Toc31228"/>
      <w:r>
        <w:rPr>
          <w:rFonts w:hint="eastAsia" w:ascii="仿宋" w:hAnsi="仿宋" w:eastAsia="仿宋" w:cs="仿宋"/>
          <w:b w:val="0"/>
          <w:bCs w:val="0"/>
          <w:color w:val="auto"/>
          <w:sz w:val="24"/>
          <w:szCs w:val="24"/>
          <w:highlight w:val="none"/>
        </w:rPr>
        <w:t>3</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本项目的特定资格要求</w:t>
      </w:r>
      <w:bookmarkEnd w:id="23"/>
      <w:bookmarkEnd w:id="24"/>
    </w:p>
    <w:p w14:paraId="2D7A46F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仿宋" w:hAnsi="仿宋" w:eastAsia="仿宋" w:cs="仿宋"/>
          <w:b w:val="0"/>
          <w:bCs w:val="0"/>
          <w:color w:val="auto"/>
          <w:sz w:val="24"/>
          <w:szCs w:val="24"/>
          <w:highlight w:val="none"/>
          <w:lang w:val="en-US" w:eastAsia="zh-CN"/>
        </w:rPr>
      </w:pPr>
      <w:bookmarkStart w:id="25" w:name="_Toc13235"/>
      <w:bookmarkStart w:id="26" w:name="_Toc986"/>
      <w:r>
        <w:rPr>
          <w:rFonts w:hint="eastAsia" w:ascii="仿宋" w:hAnsi="仿宋" w:eastAsia="仿宋" w:cs="仿宋"/>
          <w:b w:val="0"/>
          <w:bCs w:val="0"/>
          <w:color w:val="auto"/>
          <w:sz w:val="24"/>
          <w:szCs w:val="24"/>
          <w:highlight w:val="none"/>
          <w:lang w:val="en-US" w:eastAsia="zh-CN"/>
        </w:rPr>
        <w:t>3.1供应商须具有公路工程施工总承包叁级及以上资质，具有有效的安全生产许可证，并在人员、设备、资金等方面具有相应的施工能力。</w:t>
      </w:r>
      <w:r>
        <w:rPr>
          <w:rFonts w:hint="eastAsia" w:ascii="仿宋" w:hAnsi="仿宋" w:eastAsia="仿宋" w:cs="仿宋"/>
          <w:b w:val="0"/>
          <w:bCs w:val="0"/>
          <w:color w:val="auto"/>
          <w:sz w:val="24"/>
          <w:szCs w:val="24"/>
          <w:highlight w:val="none"/>
          <w:lang w:val="en-US" w:eastAsia="zh-CN"/>
        </w:rPr>
        <w:br w:type="textWrapping"/>
      </w:r>
      <w:r>
        <w:rPr>
          <w:rFonts w:hint="eastAsia" w:ascii="仿宋" w:hAnsi="仿宋" w:eastAsia="仿宋" w:cs="仿宋"/>
          <w:b w:val="0"/>
          <w:bCs w:val="0"/>
          <w:color w:val="auto"/>
          <w:sz w:val="24"/>
          <w:szCs w:val="24"/>
          <w:highlight w:val="none"/>
          <w:lang w:val="en-US" w:eastAsia="zh-CN"/>
        </w:rPr>
        <w:t xml:space="preserve">    3.2拟派项目经理须具有公路工程专业贰级及以上注册建造师（不含临时）资格，具有有效的安全生产考核合格证书(B证)，需提供本单位缴纳的社保证明（近三个月），且未担任其他在建工程项目经理(提供无在建承诺书)。</w:t>
      </w:r>
      <w:bookmarkEnd w:id="25"/>
    </w:p>
    <w:bookmarkEnd w:id="26"/>
    <w:p w14:paraId="196ED86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仿宋" w:hAnsi="仿宋" w:eastAsia="仿宋" w:cs="仿宋"/>
          <w:b w:val="0"/>
          <w:bCs w:val="0"/>
          <w:color w:val="auto"/>
          <w:sz w:val="24"/>
          <w:szCs w:val="24"/>
          <w:highlight w:val="none"/>
          <w:lang w:val="en-US" w:eastAsia="zh-CN"/>
        </w:rPr>
      </w:pPr>
      <w:bookmarkStart w:id="27" w:name="_Toc30767"/>
      <w:bookmarkStart w:id="28" w:name="_Toc29358"/>
      <w:r>
        <w:rPr>
          <w:rFonts w:hint="eastAsia" w:ascii="仿宋" w:hAnsi="仿宋" w:eastAsia="仿宋" w:cs="仿宋"/>
          <w:b w:val="0"/>
          <w:bCs w:val="0"/>
          <w:color w:val="auto"/>
          <w:sz w:val="24"/>
          <w:szCs w:val="24"/>
          <w:highlight w:val="none"/>
          <w:lang w:val="en-US" w:eastAsia="zh-CN"/>
        </w:rPr>
        <w:t>3.3</w:t>
      </w:r>
      <w:bookmarkEnd w:id="27"/>
      <w:bookmarkStart w:id="29" w:name="_Toc20303"/>
      <w:r>
        <w:rPr>
          <w:rFonts w:hint="eastAsia" w:ascii="仿宋" w:hAnsi="仿宋" w:eastAsia="仿宋" w:cs="仿宋"/>
          <w:b w:val="0"/>
          <w:bCs w:val="0"/>
          <w:color w:val="auto"/>
          <w:sz w:val="24"/>
          <w:szCs w:val="24"/>
          <w:highlight w:val="none"/>
          <w:lang w:val="en-US" w:eastAsia="zh-CN"/>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供应商可通过“信用中国”网站(www.creditchina.gov.cn)、中国政府采购网(www.ccgp.gov.cn)查询自身信用记录，可在响应文件中提供查询网页截图（截图内容要完整清晰）。采购人或采购代理机构在开标当天根据需要对所有参与本项目的供应商的信用情况进行核查，并以采购人或采购代理机构查询的结果为准。</w:t>
      </w:r>
      <w:bookmarkEnd w:id="28"/>
    </w:p>
    <w:p w14:paraId="2A6790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仿宋" w:hAnsi="仿宋" w:eastAsia="仿宋" w:cs="仿宋"/>
          <w:b w:val="0"/>
          <w:bCs w:val="0"/>
          <w:color w:val="auto"/>
          <w:sz w:val="24"/>
          <w:szCs w:val="24"/>
          <w:highlight w:val="none"/>
          <w:lang w:val="en-US" w:eastAsia="zh-CN"/>
        </w:rPr>
      </w:pPr>
      <w:bookmarkStart w:id="30" w:name="_Toc19660"/>
      <w:r>
        <w:rPr>
          <w:rFonts w:hint="eastAsia" w:ascii="仿宋" w:hAnsi="仿宋" w:eastAsia="仿宋" w:cs="仿宋"/>
          <w:b w:val="0"/>
          <w:bCs w:val="0"/>
          <w:color w:val="auto"/>
          <w:sz w:val="24"/>
          <w:szCs w:val="24"/>
          <w:highlight w:val="none"/>
          <w:lang w:val="en-US" w:eastAsia="zh-CN"/>
        </w:rPr>
        <w:t>3.4</w:t>
      </w:r>
      <w:bookmarkEnd w:id="29"/>
      <w:r>
        <w:rPr>
          <w:rFonts w:hint="eastAsia" w:ascii="仿宋" w:hAnsi="仿宋" w:eastAsia="仿宋" w:cs="仿宋"/>
          <w:b w:val="0"/>
          <w:bCs w:val="0"/>
          <w:color w:val="auto"/>
          <w:sz w:val="24"/>
          <w:szCs w:val="24"/>
          <w:highlight w:val="none"/>
          <w:lang w:val="en-US" w:eastAsia="zh-CN"/>
        </w:rPr>
        <w:t>单位负责人为同一人或者存在直接控股、管理关系的不同响应人，不得参加同一合同项下的政府采购活动。（提供“国家企业信用信息公示系统”查询结果，需包含公司基本信息、股东信息及股权变更信息等内容）。</w:t>
      </w:r>
      <w:bookmarkEnd w:id="30"/>
    </w:p>
    <w:p w14:paraId="670BAF0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仿宋" w:hAnsi="仿宋" w:eastAsia="仿宋" w:cs="仿宋"/>
          <w:b w:val="0"/>
          <w:bCs w:val="0"/>
          <w:color w:val="auto"/>
          <w:sz w:val="24"/>
          <w:szCs w:val="24"/>
          <w:highlight w:val="none"/>
          <w:lang w:val="en-US" w:eastAsia="zh-CN"/>
        </w:rPr>
      </w:pPr>
      <w:bookmarkStart w:id="31" w:name="_Toc9971"/>
      <w:r>
        <w:rPr>
          <w:rFonts w:hint="eastAsia" w:ascii="仿宋" w:hAnsi="仿宋" w:eastAsia="仿宋" w:cs="仿宋"/>
          <w:b w:val="0"/>
          <w:bCs w:val="0"/>
          <w:color w:val="auto"/>
          <w:sz w:val="24"/>
          <w:szCs w:val="24"/>
          <w:highlight w:val="none"/>
          <w:lang w:val="en-US" w:eastAsia="zh-CN"/>
        </w:rPr>
        <w:t>3.5须提供《中小企业声明函》（详见采购文件格式）。</w:t>
      </w:r>
      <w:bookmarkEnd w:id="31"/>
    </w:p>
    <w:p w14:paraId="48A39A4C">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bCs/>
          <w:color w:val="auto"/>
          <w:sz w:val="24"/>
          <w:szCs w:val="24"/>
          <w:highlight w:val="none"/>
        </w:rPr>
      </w:pPr>
      <w:bookmarkStart w:id="32" w:name="_Toc5610"/>
      <w:bookmarkStart w:id="33" w:name="_Toc22605"/>
      <w:r>
        <w:rPr>
          <w:rFonts w:hint="eastAsia" w:ascii="仿宋" w:hAnsi="仿宋" w:eastAsia="仿宋" w:cs="仿宋"/>
          <w:b/>
          <w:bCs/>
          <w:color w:val="auto"/>
          <w:sz w:val="24"/>
          <w:szCs w:val="24"/>
          <w:highlight w:val="none"/>
        </w:rPr>
        <w:t>三、</w:t>
      </w:r>
      <w:bookmarkEnd w:id="6"/>
      <w:bookmarkEnd w:id="7"/>
      <w:r>
        <w:rPr>
          <w:rFonts w:hint="eastAsia" w:ascii="仿宋" w:hAnsi="仿宋" w:eastAsia="仿宋" w:cs="仿宋"/>
          <w:b/>
          <w:bCs/>
          <w:color w:val="auto"/>
          <w:sz w:val="24"/>
          <w:szCs w:val="24"/>
          <w:highlight w:val="none"/>
        </w:rPr>
        <w:t>获取采购文件</w:t>
      </w:r>
      <w:bookmarkEnd w:id="20"/>
      <w:bookmarkEnd w:id="32"/>
      <w:bookmarkEnd w:id="33"/>
    </w:p>
    <w:p w14:paraId="71DF3B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34" w:name="_Toc5333"/>
      <w:bookmarkStart w:id="35" w:name="_Toc6586679"/>
      <w:bookmarkStart w:id="36" w:name="_Toc3139"/>
      <w:r>
        <w:rPr>
          <w:rFonts w:hint="eastAsia" w:ascii="仿宋" w:hAnsi="仿宋" w:eastAsia="仿宋" w:cs="仿宋"/>
          <w:color w:val="auto"/>
          <w:kern w:val="0"/>
          <w:sz w:val="24"/>
          <w:szCs w:val="24"/>
          <w:highlight w:val="none"/>
          <w:lang w:val="en-US" w:eastAsia="zh-CN" w:bidi="ar"/>
        </w:rPr>
        <w:t>1.时间：2026年1月29日至2026年2月4日，每天上午00:00至12:00，下午12:00至23:59（北京时间，法定节假日除外）</w:t>
      </w:r>
    </w:p>
    <w:p w14:paraId="48B739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2.地点：荥阳市公共资源交易平台。</w:t>
      </w:r>
    </w:p>
    <w:p w14:paraId="3C795E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3.方式：凡有意参加投标者，登陆荥阳市</w:t>
      </w:r>
      <w:bookmarkStart w:id="641" w:name="_GoBack"/>
      <w:bookmarkEnd w:id="641"/>
      <w:r>
        <w:rPr>
          <w:rFonts w:hint="eastAsia" w:ascii="仿宋" w:hAnsi="仿宋" w:eastAsia="仿宋" w:cs="仿宋"/>
          <w:color w:val="auto"/>
          <w:kern w:val="0"/>
          <w:sz w:val="24"/>
          <w:szCs w:val="24"/>
          <w:highlight w:val="none"/>
          <w:lang w:val="en-US" w:eastAsia="zh-CN" w:bidi="ar"/>
        </w:rPr>
        <w:t>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w:t>
      </w:r>
    </w:p>
    <w:p w14:paraId="386EFD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4.售价：0元。</w:t>
      </w:r>
    </w:p>
    <w:p w14:paraId="19377D88">
      <w:pPr>
        <w:keepNext w:val="0"/>
        <w:keepLines w:val="0"/>
        <w:pageBreakBefore w:val="0"/>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bCs/>
          <w:color w:val="auto"/>
          <w:sz w:val="24"/>
          <w:szCs w:val="24"/>
          <w:highlight w:val="none"/>
        </w:rPr>
      </w:pPr>
      <w:bookmarkStart w:id="37" w:name="_Toc8997"/>
      <w:bookmarkStart w:id="38" w:name="_Toc27631"/>
      <w:r>
        <w:rPr>
          <w:rFonts w:hint="eastAsia" w:ascii="仿宋" w:hAnsi="仿宋" w:eastAsia="仿宋" w:cs="仿宋"/>
          <w:b/>
          <w:bCs/>
          <w:color w:val="auto"/>
          <w:sz w:val="24"/>
          <w:szCs w:val="24"/>
          <w:highlight w:val="none"/>
        </w:rPr>
        <w:t>四、响应文件提交</w:t>
      </w:r>
      <w:bookmarkEnd w:id="34"/>
      <w:bookmarkEnd w:id="37"/>
      <w:bookmarkEnd w:id="38"/>
    </w:p>
    <w:p w14:paraId="5AA982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39" w:name="_Toc22840"/>
      <w:r>
        <w:rPr>
          <w:rFonts w:hint="eastAsia" w:ascii="仿宋" w:hAnsi="仿宋" w:eastAsia="仿宋" w:cs="仿宋"/>
          <w:color w:val="auto"/>
          <w:kern w:val="0"/>
          <w:sz w:val="24"/>
          <w:szCs w:val="24"/>
          <w:highlight w:val="none"/>
          <w:lang w:val="en-US" w:eastAsia="zh-CN" w:bidi="ar"/>
        </w:rPr>
        <w:t>1.时间：</w:t>
      </w:r>
      <w:r>
        <w:rPr>
          <w:rFonts w:hint="eastAsia" w:ascii="仿宋" w:hAnsi="仿宋" w:eastAsia="仿宋" w:cs="仿宋"/>
          <w:color w:val="auto"/>
          <w:sz w:val="24"/>
          <w:szCs w:val="24"/>
          <w:highlight w:val="none"/>
          <w:u w:val="none"/>
          <w:lang w:val="en-US" w:eastAsia="zh-CN"/>
        </w:rPr>
        <w:t>2026年2月10日9时00分</w:t>
      </w:r>
      <w:r>
        <w:rPr>
          <w:rFonts w:hint="eastAsia" w:ascii="仿宋" w:hAnsi="仿宋" w:eastAsia="仿宋" w:cs="仿宋"/>
          <w:color w:val="auto"/>
          <w:kern w:val="0"/>
          <w:sz w:val="24"/>
          <w:szCs w:val="24"/>
          <w:highlight w:val="none"/>
          <w:lang w:val="en-US" w:eastAsia="zh-CN" w:bidi="ar"/>
        </w:rPr>
        <w:t xml:space="preserve">（北京时间） </w:t>
      </w:r>
    </w:p>
    <w:p w14:paraId="2D33C8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2.地点：荥阳市公共资源交易平台</w:t>
      </w:r>
    </w:p>
    <w:p w14:paraId="356D5E1B">
      <w:pPr>
        <w:keepNext w:val="0"/>
        <w:keepLines w:val="0"/>
        <w:pageBreakBefore w:val="0"/>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bCs/>
          <w:color w:val="auto"/>
          <w:sz w:val="24"/>
          <w:szCs w:val="24"/>
          <w:highlight w:val="none"/>
        </w:rPr>
      </w:pPr>
      <w:bookmarkStart w:id="40" w:name="_Toc28565"/>
      <w:bookmarkStart w:id="41" w:name="_Toc20166"/>
      <w:r>
        <w:rPr>
          <w:rFonts w:hint="eastAsia" w:ascii="仿宋" w:hAnsi="仿宋" w:eastAsia="仿宋" w:cs="仿宋"/>
          <w:b/>
          <w:bCs/>
          <w:color w:val="auto"/>
          <w:sz w:val="24"/>
          <w:szCs w:val="24"/>
          <w:highlight w:val="none"/>
        </w:rPr>
        <w:t>五、</w:t>
      </w:r>
      <w:r>
        <w:rPr>
          <w:rFonts w:hint="eastAsia" w:ascii="仿宋" w:hAnsi="仿宋" w:eastAsia="仿宋" w:cs="仿宋"/>
          <w:b/>
          <w:bCs/>
          <w:color w:val="auto"/>
          <w:sz w:val="24"/>
          <w:szCs w:val="24"/>
          <w:highlight w:val="none"/>
          <w:lang w:val="en-US" w:eastAsia="zh-CN"/>
        </w:rPr>
        <w:t>响应文件</w:t>
      </w:r>
      <w:r>
        <w:rPr>
          <w:rFonts w:hint="eastAsia" w:ascii="仿宋" w:hAnsi="仿宋" w:eastAsia="仿宋" w:cs="仿宋"/>
          <w:b/>
          <w:bCs/>
          <w:color w:val="auto"/>
          <w:sz w:val="24"/>
          <w:szCs w:val="24"/>
          <w:highlight w:val="none"/>
        </w:rPr>
        <w:t>开启</w:t>
      </w:r>
      <w:bookmarkEnd w:id="39"/>
      <w:bookmarkEnd w:id="40"/>
      <w:bookmarkEnd w:id="41"/>
    </w:p>
    <w:bookmarkEnd w:id="35"/>
    <w:bookmarkEnd w:id="36"/>
    <w:p w14:paraId="5E17DC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42" w:name="_Toc12087"/>
      <w:r>
        <w:rPr>
          <w:rFonts w:hint="eastAsia" w:ascii="仿宋" w:hAnsi="仿宋" w:eastAsia="仿宋" w:cs="仿宋"/>
          <w:color w:val="auto"/>
          <w:kern w:val="0"/>
          <w:sz w:val="24"/>
          <w:szCs w:val="24"/>
          <w:highlight w:val="none"/>
          <w:lang w:val="en-US" w:eastAsia="zh-CN" w:bidi="ar"/>
        </w:rPr>
        <w:t>1.时间：</w:t>
      </w:r>
      <w:r>
        <w:rPr>
          <w:rFonts w:hint="eastAsia" w:ascii="仿宋" w:hAnsi="仿宋" w:eastAsia="仿宋" w:cs="仿宋"/>
          <w:color w:val="auto"/>
          <w:sz w:val="24"/>
          <w:szCs w:val="24"/>
          <w:highlight w:val="none"/>
          <w:u w:val="none"/>
          <w:lang w:val="en-US" w:eastAsia="zh-CN"/>
        </w:rPr>
        <w:t>2026年2月10日9时00分</w:t>
      </w:r>
      <w:r>
        <w:rPr>
          <w:rFonts w:hint="eastAsia" w:ascii="仿宋" w:hAnsi="仿宋" w:eastAsia="仿宋" w:cs="仿宋"/>
          <w:color w:val="auto"/>
          <w:kern w:val="0"/>
          <w:sz w:val="24"/>
          <w:szCs w:val="24"/>
          <w:highlight w:val="none"/>
          <w:lang w:val="en-US" w:eastAsia="zh-CN" w:bidi="ar"/>
        </w:rPr>
        <w:t xml:space="preserve">（北京时间） </w:t>
      </w:r>
    </w:p>
    <w:p w14:paraId="33FECF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2.地点：荥阳市公共资源交易中心（荥阳市中原路与飞龙路西北角政务服务中心七楼）第三开标室</w:t>
      </w:r>
    </w:p>
    <w:p w14:paraId="68607A1C">
      <w:pPr>
        <w:keepNext w:val="0"/>
        <w:keepLines w:val="0"/>
        <w:pageBreakBefore w:val="0"/>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color w:val="auto"/>
          <w:sz w:val="24"/>
          <w:szCs w:val="24"/>
          <w:highlight w:val="none"/>
        </w:rPr>
      </w:pPr>
      <w:bookmarkStart w:id="43" w:name="_Toc23640"/>
      <w:bookmarkStart w:id="44" w:name="_Toc18483"/>
      <w:r>
        <w:rPr>
          <w:rFonts w:hint="eastAsia" w:ascii="仿宋" w:hAnsi="仿宋" w:eastAsia="仿宋" w:cs="仿宋"/>
          <w:b/>
          <w:color w:val="auto"/>
          <w:sz w:val="24"/>
          <w:szCs w:val="24"/>
          <w:highlight w:val="none"/>
        </w:rPr>
        <w:t>六、发布公告的媒介及</w:t>
      </w:r>
      <w:r>
        <w:rPr>
          <w:rFonts w:hint="eastAsia" w:ascii="仿宋" w:hAnsi="仿宋" w:eastAsia="仿宋" w:cs="仿宋"/>
          <w:b/>
          <w:color w:val="auto"/>
          <w:sz w:val="24"/>
          <w:szCs w:val="24"/>
          <w:highlight w:val="none"/>
          <w:lang w:val="en-US" w:eastAsia="zh-CN"/>
        </w:rPr>
        <w:t>招标</w:t>
      </w:r>
      <w:r>
        <w:rPr>
          <w:rFonts w:hint="eastAsia" w:ascii="仿宋" w:hAnsi="仿宋" w:eastAsia="仿宋" w:cs="仿宋"/>
          <w:b/>
          <w:color w:val="auto"/>
          <w:sz w:val="24"/>
          <w:szCs w:val="24"/>
          <w:highlight w:val="none"/>
        </w:rPr>
        <w:t>公告期限</w:t>
      </w:r>
      <w:bookmarkEnd w:id="42"/>
      <w:bookmarkEnd w:id="43"/>
      <w:bookmarkEnd w:id="44"/>
    </w:p>
    <w:p w14:paraId="5FFA0E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45" w:name="_Toc16708"/>
      <w:r>
        <w:rPr>
          <w:rFonts w:hint="eastAsia" w:ascii="仿宋" w:hAnsi="仿宋" w:eastAsia="仿宋" w:cs="仿宋"/>
          <w:color w:val="auto"/>
          <w:kern w:val="0"/>
          <w:sz w:val="24"/>
          <w:szCs w:val="24"/>
          <w:highlight w:val="none"/>
          <w:lang w:val="en-US" w:eastAsia="zh-CN" w:bidi="ar"/>
        </w:rPr>
        <w:t>本次招标公告在《河南省政府采购网》、《荥阳市公共资源交易中心网站》、《中国招标投标公共服务平台》、《荥阳市政府采购网》上发布，招标公告期限为三个工作日。</w:t>
      </w:r>
    </w:p>
    <w:p w14:paraId="73B2988F">
      <w:pPr>
        <w:keepNext w:val="0"/>
        <w:keepLines w:val="0"/>
        <w:pageBreakBefore w:val="0"/>
        <w:numPr>
          <w:ilvl w:val="0"/>
          <w:numId w:val="0"/>
        </w:numPr>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color w:val="auto"/>
          <w:sz w:val="24"/>
          <w:szCs w:val="24"/>
          <w:highlight w:val="none"/>
        </w:rPr>
      </w:pPr>
      <w:bookmarkStart w:id="46" w:name="_Toc30105"/>
      <w:bookmarkStart w:id="47" w:name="_Toc9072"/>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其他补充事宜</w:t>
      </w:r>
      <w:bookmarkEnd w:id="45"/>
      <w:bookmarkEnd w:id="46"/>
      <w:bookmarkEnd w:id="47"/>
    </w:p>
    <w:p w14:paraId="2F6FAEDE">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20" w:leftChars="0" w:right="0" w:rightChars="0"/>
        <w:jc w:val="left"/>
        <w:textAlignment w:val="auto"/>
        <w:rPr>
          <w:rFonts w:hint="eastAsia" w:ascii="仿宋" w:hAnsi="仿宋" w:eastAsia="仿宋" w:cs="仿宋"/>
          <w:color w:val="auto"/>
          <w:sz w:val="24"/>
          <w:szCs w:val="24"/>
          <w:highlight w:val="none"/>
          <w:lang w:val="en-US" w:eastAsia="zh-CN" w:bidi="ar"/>
        </w:rPr>
      </w:pPr>
      <w:bookmarkStart w:id="48" w:name="_Toc19696"/>
      <w:r>
        <w:rPr>
          <w:rFonts w:hint="eastAsia" w:ascii="仿宋" w:hAnsi="仿宋" w:eastAsia="仿宋" w:cs="仿宋"/>
          <w:color w:val="auto"/>
          <w:sz w:val="24"/>
          <w:szCs w:val="24"/>
          <w:highlight w:val="none"/>
          <w:lang w:val="en-US" w:eastAsia="zh-CN" w:bidi="ar"/>
        </w:rPr>
        <w:t>1.本项目采购监督部门为：荥阳市财政局。</w:t>
      </w:r>
    </w:p>
    <w:p w14:paraId="11F0885B">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20" w:leftChars="0" w:right="0" w:rightChars="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2.代理费收取方式及标准:由中标单位向采购代理机构缴纳,按照《河南省招标代理服务收费指导意见》豫招协【2023】002号文件有关规定收取。</w:t>
      </w:r>
    </w:p>
    <w:p w14:paraId="417C33E2">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20" w:leftChars="0" w:right="0" w:rightChars="0"/>
        <w:jc w:val="left"/>
        <w:textAlignment w:val="auto"/>
        <w:rPr>
          <w:rFonts w:hint="default"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3.获取采购文件后，供应商请登陆荥阳市公共资源交易中心网站—下载中心—下载最新版本“投标文件制作软件”制作电子投标文件（具体制作手册请查询交易中心网站-办事指南-《投标文件制作操作手册》）。供应商须在响应文件递交截止时间前登陆荥阳市公共资源交易平台上传加密的电子响应文件。开标：本项目采用“远程不见面”开标方式，供应商应当在响应文件递交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4B771723">
      <w:pPr>
        <w:keepNext w:val="0"/>
        <w:keepLines w:val="0"/>
        <w:pageBreakBefore w:val="0"/>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color w:val="auto"/>
          <w:sz w:val="24"/>
          <w:szCs w:val="24"/>
          <w:highlight w:val="none"/>
        </w:rPr>
      </w:pPr>
      <w:bookmarkStart w:id="49" w:name="_Toc25045"/>
      <w:bookmarkStart w:id="50" w:name="_Toc23347"/>
      <w:r>
        <w:rPr>
          <w:rFonts w:hint="eastAsia" w:ascii="仿宋" w:hAnsi="仿宋" w:eastAsia="仿宋" w:cs="仿宋"/>
          <w:b/>
          <w:color w:val="auto"/>
          <w:sz w:val="24"/>
          <w:szCs w:val="24"/>
          <w:highlight w:val="none"/>
        </w:rPr>
        <w:t>八、凡对本次</w:t>
      </w:r>
      <w:r>
        <w:rPr>
          <w:rFonts w:hint="eastAsia" w:ascii="仿宋" w:hAnsi="仿宋" w:eastAsia="仿宋" w:cs="仿宋"/>
          <w:b/>
          <w:color w:val="auto"/>
          <w:sz w:val="24"/>
          <w:szCs w:val="24"/>
          <w:highlight w:val="none"/>
          <w:lang w:val="en-US" w:eastAsia="zh-CN"/>
        </w:rPr>
        <w:t>招标</w:t>
      </w:r>
      <w:r>
        <w:rPr>
          <w:rFonts w:hint="eastAsia" w:ascii="仿宋" w:hAnsi="仿宋" w:eastAsia="仿宋" w:cs="仿宋"/>
          <w:b/>
          <w:color w:val="auto"/>
          <w:sz w:val="24"/>
          <w:szCs w:val="24"/>
          <w:highlight w:val="none"/>
        </w:rPr>
        <w:t>提出询问，请按照以下方式联系</w:t>
      </w:r>
      <w:bookmarkEnd w:id="48"/>
      <w:bookmarkEnd w:id="49"/>
      <w:bookmarkEnd w:id="50"/>
    </w:p>
    <w:p w14:paraId="4DBD162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bookmarkStart w:id="51" w:name="_Toc35393637"/>
      <w:bookmarkStart w:id="52" w:name="_Toc35393806"/>
      <w:bookmarkStart w:id="53" w:name="_Toc28359019"/>
      <w:bookmarkStart w:id="54" w:name="_Toc28359096"/>
      <w:r>
        <w:rPr>
          <w:rFonts w:hint="eastAsia" w:ascii="仿宋" w:hAnsi="仿宋" w:eastAsia="仿宋" w:cs="仿宋"/>
          <w:color w:val="auto"/>
          <w:sz w:val="24"/>
          <w:szCs w:val="24"/>
          <w:highlight w:val="none"/>
          <w:lang w:val="en-US" w:eastAsia="zh-CN" w:bidi="ar"/>
        </w:rPr>
        <w:t>1.采购人信息</w:t>
      </w:r>
      <w:bookmarkEnd w:id="51"/>
      <w:bookmarkEnd w:id="52"/>
      <w:bookmarkEnd w:id="53"/>
      <w:bookmarkEnd w:id="54"/>
    </w:p>
    <w:p w14:paraId="6A96594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名称：</w:t>
      </w:r>
      <w:r>
        <w:rPr>
          <w:rFonts w:hint="eastAsia" w:ascii="仿宋" w:hAnsi="仿宋" w:eastAsia="仿宋" w:cs="仿宋"/>
          <w:color w:val="auto"/>
          <w:sz w:val="24"/>
          <w:szCs w:val="24"/>
          <w:highlight w:val="none"/>
          <w:u w:val="none"/>
          <w:lang w:val="en-US" w:eastAsia="zh-CN"/>
        </w:rPr>
        <w:t>荥阳市交通运输局</w:t>
      </w:r>
    </w:p>
    <w:p w14:paraId="36E98D3E">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地址：荥阳市国泰路与惠民路交叉口</w:t>
      </w:r>
    </w:p>
    <w:p w14:paraId="2050F01E">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default"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联系人：史记</w:t>
      </w:r>
    </w:p>
    <w:p w14:paraId="6BD23E1E">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联系方式：18530893555</w:t>
      </w:r>
    </w:p>
    <w:p w14:paraId="4D1985B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2.采购代理机构信息</w:t>
      </w:r>
    </w:p>
    <w:p w14:paraId="58A323B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名称：柏诚工程管理有限公司</w:t>
      </w:r>
    </w:p>
    <w:p w14:paraId="5B4587B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zh-CN" w:eastAsia="zh-CN" w:bidi="ar"/>
        </w:rPr>
      </w:pPr>
      <w:r>
        <w:rPr>
          <w:rFonts w:hint="eastAsia" w:ascii="仿宋" w:hAnsi="仿宋" w:eastAsia="仿宋" w:cs="仿宋"/>
          <w:color w:val="auto"/>
          <w:sz w:val="24"/>
          <w:szCs w:val="24"/>
          <w:highlight w:val="none"/>
          <w:lang w:val="en-US" w:eastAsia="zh-CN" w:bidi="ar"/>
        </w:rPr>
        <w:t>地址：郑州高新技术产业开发区西三环路279号13栋17层70号</w:t>
      </w:r>
    </w:p>
    <w:p w14:paraId="4F00C44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default"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联系人：吴书明</w:t>
      </w:r>
    </w:p>
    <w:p w14:paraId="0E3C0C3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联系方式：15649267688</w:t>
      </w:r>
    </w:p>
    <w:p w14:paraId="56349F0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3.项目联系方式</w:t>
      </w:r>
    </w:p>
    <w:p w14:paraId="4E304B8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default" w:ascii="仿宋" w:hAnsi="仿宋" w:eastAsia="仿宋" w:cs="仿宋"/>
          <w:color w:val="auto"/>
          <w:sz w:val="24"/>
          <w:szCs w:val="24"/>
          <w:highlight w:val="none"/>
          <w:lang w:val="en-US" w:eastAsia="zh-CN" w:bidi="ar"/>
        </w:rPr>
      </w:pPr>
      <w:r>
        <w:rPr>
          <w:rFonts w:hint="default" w:ascii="仿宋" w:hAnsi="仿宋" w:eastAsia="仿宋" w:cs="仿宋"/>
          <w:color w:val="auto"/>
          <w:sz w:val="24"/>
          <w:szCs w:val="24"/>
          <w:highlight w:val="none"/>
          <w:lang w:val="en-US" w:eastAsia="zh-CN" w:bidi="ar"/>
        </w:rPr>
        <w:t>联系人：</w:t>
      </w:r>
      <w:r>
        <w:rPr>
          <w:rFonts w:hint="eastAsia" w:ascii="仿宋" w:hAnsi="仿宋" w:eastAsia="仿宋" w:cs="仿宋"/>
          <w:color w:val="auto"/>
          <w:sz w:val="24"/>
          <w:szCs w:val="24"/>
          <w:highlight w:val="none"/>
          <w:lang w:val="en-US" w:eastAsia="zh-CN" w:bidi="ar"/>
        </w:rPr>
        <w:t>吴书明</w:t>
      </w:r>
    </w:p>
    <w:p w14:paraId="71466B8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default" w:ascii="仿宋" w:hAnsi="仿宋" w:eastAsia="仿宋" w:cs="仿宋"/>
          <w:color w:val="auto"/>
          <w:sz w:val="24"/>
          <w:szCs w:val="24"/>
          <w:highlight w:val="none"/>
          <w:lang w:val="en-US" w:eastAsia="zh-CN" w:bidi="ar"/>
        </w:rPr>
      </w:pPr>
      <w:r>
        <w:rPr>
          <w:rFonts w:hint="default" w:ascii="仿宋" w:hAnsi="仿宋" w:eastAsia="仿宋" w:cs="仿宋"/>
          <w:color w:val="auto"/>
          <w:sz w:val="24"/>
          <w:szCs w:val="24"/>
          <w:highlight w:val="none"/>
          <w:lang w:val="en-US" w:eastAsia="zh-CN" w:bidi="ar"/>
        </w:rPr>
        <w:t>联系方式：15649267688</w:t>
      </w:r>
    </w:p>
    <w:p w14:paraId="4DD48488">
      <w:pPr>
        <w:rPr>
          <w:rFonts w:hint="eastAsia" w:ascii="仿宋" w:hAnsi="仿宋" w:eastAsia="仿宋" w:cs="仿宋"/>
          <w:color w:val="auto"/>
          <w:sz w:val="32"/>
          <w:highlight w:val="none"/>
        </w:rPr>
      </w:pPr>
      <w:r>
        <w:rPr>
          <w:rFonts w:hint="eastAsia" w:ascii="仿宋" w:hAnsi="仿宋" w:eastAsia="仿宋" w:cs="仿宋"/>
          <w:color w:val="auto"/>
          <w:sz w:val="32"/>
          <w:highlight w:val="none"/>
        </w:rPr>
        <w:br w:type="page"/>
      </w:r>
    </w:p>
    <w:p w14:paraId="48087F0E">
      <w:pPr>
        <w:pStyle w:val="3"/>
        <w:spacing w:before="120" w:after="120" w:line="500" w:lineRule="exact"/>
        <w:jc w:val="center"/>
        <w:rPr>
          <w:rFonts w:hint="eastAsia" w:ascii="仿宋" w:hAnsi="仿宋" w:eastAsia="仿宋" w:cs="仿宋"/>
          <w:color w:val="auto"/>
          <w:sz w:val="32"/>
          <w:highlight w:val="none"/>
        </w:rPr>
      </w:pPr>
      <w:bookmarkStart w:id="55" w:name="_Toc12615"/>
      <w:r>
        <w:rPr>
          <w:rFonts w:hint="eastAsia" w:ascii="仿宋" w:hAnsi="仿宋" w:eastAsia="仿宋" w:cs="仿宋"/>
          <w:color w:val="auto"/>
          <w:sz w:val="32"/>
          <w:highlight w:val="none"/>
        </w:rPr>
        <w:t>第二章 供应商须知</w:t>
      </w:r>
      <w:bookmarkEnd w:id="8"/>
      <w:bookmarkEnd w:id="9"/>
      <w:bookmarkEnd w:id="10"/>
      <w:bookmarkEnd w:id="55"/>
    </w:p>
    <w:p w14:paraId="4F5B0593">
      <w:pPr>
        <w:pStyle w:val="49"/>
        <w:jc w:val="center"/>
        <w:rPr>
          <w:rFonts w:hint="eastAsia" w:ascii="仿宋" w:hAnsi="仿宋" w:eastAsia="仿宋" w:cs="仿宋"/>
          <w:color w:val="auto"/>
          <w:sz w:val="28"/>
          <w:szCs w:val="28"/>
          <w:highlight w:val="none"/>
        </w:rPr>
      </w:pPr>
      <w:bookmarkStart w:id="56" w:name="_Toc22413"/>
      <w:bookmarkStart w:id="57" w:name="_Toc144974496"/>
      <w:bookmarkStart w:id="58" w:name="_Toc7866"/>
      <w:bookmarkStart w:id="59" w:name="_Toc22503"/>
      <w:bookmarkStart w:id="60" w:name="_Toc152042304"/>
      <w:bookmarkStart w:id="61" w:name="_Toc152045528"/>
      <w:r>
        <w:rPr>
          <w:rFonts w:hint="eastAsia" w:ascii="仿宋" w:hAnsi="仿宋" w:eastAsia="仿宋" w:cs="仿宋"/>
          <w:color w:val="auto"/>
          <w:sz w:val="28"/>
          <w:szCs w:val="28"/>
          <w:highlight w:val="none"/>
        </w:rPr>
        <w:t>供应商须知前附表</w:t>
      </w:r>
      <w:bookmarkEnd w:id="56"/>
      <w:bookmarkEnd w:id="57"/>
      <w:bookmarkEnd w:id="58"/>
      <w:bookmarkEnd w:id="59"/>
      <w:bookmarkEnd w:id="60"/>
      <w:bookmarkEnd w:id="61"/>
    </w:p>
    <w:tbl>
      <w:tblPr>
        <w:tblStyle w:val="27"/>
        <w:tblW w:w="9997" w:type="dxa"/>
        <w:jc w:val="center"/>
        <w:tblLayout w:type="fixed"/>
        <w:tblCellMar>
          <w:top w:w="0" w:type="dxa"/>
          <w:left w:w="108" w:type="dxa"/>
          <w:bottom w:w="0" w:type="dxa"/>
          <w:right w:w="108" w:type="dxa"/>
        </w:tblCellMar>
      </w:tblPr>
      <w:tblGrid>
        <w:gridCol w:w="967"/>
        <w:gridCol w:w="2337"/>
        <w:gridCol w:w="6693"/>
      </w:tblGrid>
      <w:tr w14:paraId="5E560252">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6F3538C7">
            <w:pPr>
              <w:keepNext w:val="0"/>
              <w:keepLines w:val="0"/>
              <w:pageBreakBefore w:val="0"/>
              <w:kinsoku/>
              <w:overflowPunct/>
              <w:topLinePunct w:val="0"/>
              <w:bidi w:val="0"/>
              <w:snapToGrid/>
              <w:spacing w:beforeAutospacing="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B44A986">
            <w:pPr>
              <w:keepNext w:val="0"/>
              <w:keepLines w:val="0"/>
              <w:pageBreakBefore w:val="0"/>
              <w:kinsoku/>
              <w:overflowPunct/>
              <w:topLinePunct w:val="0"/>
              <w:bidi w:val="0"/>
              <w:snapToGrid/>
              <w:spacing w:beforeAutospacing="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  款  名  称</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5756EAA5">
            <w:pPr>
              <w:keepNext w:val="0"/>
              <w:keepLines w:val="0"/>
              <w:pageBreakBefore w:val="0"/>
              <w:kinsoku/>
              <w:overflowPunct/>
              <w:topLinePunct w:val="0"/>
              <w:bidi w:val="0"/>
              <w:snapToGrid/>
              <w:spacing w:beforeAutospacing="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  列  内  容</w:t>
            </w:r>
          </w:p>
        </w:tc>
      </w:tr>
      <w:tr w14:paraId="710B2C03">
        <w:tblPrEx>
          <w:tblCellMar>
            <w:top w:w="0" w:type="dxa"/>
            <w:left w:w="108" w:type="dxa"/>
            <w:bottom w:w="0" w:type="dxa"/>
            <w:right w:w="108" w:type="dxa"/>
          </w:tblCellMar>
        </w:tblPrEx>
        <w:trPr>
          <w:trHeight w:val="1858" w:hRule="exac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51F53A8A">
            <w:pPr>
              <w:pStyle w:val="23"/>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97FBCE1">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FF0000"/>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采购人</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648B8769">
            <w:pPr>
              <w:keepNext w:val="0"/>
              <w:keepLines w:val="0"/>
              <w:pageBreakBefore w:val="0"/>
              <w:kinsoku/>
              <w:wordWrap w:val="0"/>
              <w:overflowPunct/>
              <w:topLinePunct/>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名称：荥阳市交通运输局</w:t>
            </w:r>
          </w:p>
          <w:p w14:paraId="4DD917BB">
            <w:pPr>
              <w:keepNext w:val="0"/>
              <w:keepLines w:val="0"/>
              <w:pageBreakBefore w:val="0"/>
              <w:kinsoku/>
              <w:wordWrap w:val="0"/>
              <w:overflowPunct/>
              <w:topLinePunct/>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地址：荥阳市国泰路与惠民路交叉口</w:t>
            </w:r>
          </w:p>
          <w:p w14:paraId="7E02ACD4">
            <w:pPr>
              <w:keepNext w:val="0"/>
              <w:keepLines w:val="0"/>
              <w:pageBreakBefore w:val="0"/>
              <w:kinsoku/>
              <w:wordWrap w:val="0"/>
              <w:overflowPunct/>
              <w:topLinePunct/>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联系人：史记</w:t>
            </w:r>
          </w:p>
          <w:p w14:paraId="6A2E15AA">
            <w:pPr>
              <w:keepNext w:val="0"/>
              <w:keepLines w:val="0"/>
              <w:pageBreakBefore w:val="0"/>
              <w:kinsoku/>
              <w:wordWrap w:val="0"/>
              <w:overflowPunct/>
              <w:topLinePunct/>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联系方式：18530893555</w:t>
            </w:r>
          </w:p>
          <w:p w14:paraId="226CD052">
            <w:pPr>
              <w:keepNext w:val="0"/>
              <w:keepLines w:val="0"/>
              <w:pageBreakBefore w:val="0"/>
              <w:kinsoku/>
              <w:wordWrap w:val="0"/>
              <w:overflowPunct/>
              <w:topLinePunct/>
              <w:autoSpaceDE/>
              <w:autoSpaceDN/>
              <w:bidi w:val="0"/>
              <w:adjustRightInd/>
              <w:snapToGrid/>
              <w:spacing w:line="360" w:lineRule="auto"/>
              <w:textAlignment w:val="auto"/>
              <w:rPr>
                <w:rFonts w:hint="eastAsia" w:ascii="仿宋" w:hAnsi="仿宋" w:eastAsia="仿宋" w:cs="仿宋"/>
                <w:color w:val="FF0000"/>
                <w:kern w:val="0"/>
                <w:sz w:val="24"/>
                <w:szCs w:val="24"/>
                <w:highlight w:val="none"/>
                <w:lang w:val="en-US" w:eastAsia="zh-CN" w:bidi="ar"/>
              </w:rPr>
            </w:pPr>
            <w:r>
              <w:rPr>
                <w:rFonts w:hint="eastAsia" w:ascii="仿宋" w:hAnsi="仿宋" w:eastAsia="仿宋" w:cs="仿宋"/>
                <w:color w:val="FF0000"/>
                <w:kern w:val="0"/>
                <w:sz w:val="24"/>
                <w:szCs w:val="24"/>
                <w:highlight w:val="none"/>
                <w:lang w:val="en-US" w:eastAsia="zh-CN" w:bidi="ar"/>
              </w:rPr>
              <w:t xml:space="preserve"> </w:t>
            </w:r>
          </w:p>
          <w:p w14:paraId="008D2674">
            <w:pPr>
              <w:keepNext w:val="0"/>
              <w:keepLines w:val="0"/>
              <w:pageBreakBefore w:val="0"/>
              <w:kinsoku/>
              <w:overflowPunct/>
              <w:topLinePunct w:val="0"/>
              <w:bidi w:val="0"/>
              <w:snapToGrid/>
              <w:spacing w:beforeAutospacing="0" w:line="360" w:lineRule="auto"/>
              <w:jc w:val="both"/>
              <w:rPr>
                <w:rFonts w:hint="eastAsia" w:ascii="仿宋" w:hAnsi="仿宋" w:eastAsia="仿宋" w:cs="仿宋"/>
                <w:color w:val="FF0000"/>
                <w:kern w:val="0"/>
                <w:sz w:val="24"/>
                <w:szCs w:val="24"/>
                <w:highlight w:val="none"/>
                <w:lang w:val="en-US" w:eastAsia="zh-CN" w:bidi="ar"/>
              </w:rPr>
            </w:pPr>
          </w:p>
          <w:p w14:paraId="31EB7C7B">
            <w:pPr>
              <w:pStyle w:val="23"/>
              <w:keepNext w:val="0"/>
              <w:keepLines w:val="0"/>
              <w:pageBreakBefore w:val="0"/>
              <w:kinsoku/>
              <w:overflowPunct/>
              <w:topLinePunct w:val="0"/>
              <w:bidi w:val="0"/>
              <w:snapToGrid/>
              <w:spacing w:before="0" w:beforeAutospacing="0" w:after="0" w:afterAutospacing="0" w:line="360" w:lineRule="auto"/>
              <w:jc w:val="both"/>
              <w:rPr>
                <w:rFonts w:hint="eastAsia" w:ascii="仿宋" w:hAnsi="仿宋" w:eastAsia="仿宋" w:cs="仿宋"/>
                <w:color w:val="FF0000"/>
                <w:kern w:val="0"/>
                <w:sz w:val="24"/>
                <w:szCs w:val="24"/>
                <w:highlight w:val="none"/>
                <w:lang w:val="en-US" w:eastAsia="zh-CN" w:bidi="ar"/>
              </w:rPr>
            </w:pPr>
          </w:p>
        </w:tc>
      </w:tr>
      <w:tr w14:paraId="3BB10052">
        <w:tblPrEx>
          <w:tblCellMar>
            <w:top w:w="0" w:type="dxa"/>
            <w:left w:w="108" w:type="dxa"/>
            <w:bottom w:w="0" w:type="dxa"/>
            <w:right w:w="108" w:type="dxa"/>
          </w:tblCellMar>
        </w:tblPrEx>
        <w:trPr>
          <w:trHeight w:val="78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4169378C">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6E97ADB3">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449594CA">
            <w:pPr>
              <w:pStyle w:val="23"/>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名称：柏诚工程管理有限公司</w:t>
            </w:r>
          </w:p>
          <w:p w14:paraId="5A843F67">
            <w:pPr>
              <w:pStyle w:val="23"/>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地址：郑州高新技术产业开发区西三环路279号13栋17层70号</w:t>
            </w:r>
          </w:p>
          <w:p w14:paraId="62B6AE26">
            <w:pPr>
              <w:pStyle w:val="23"/>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联系人：吴书明</w:t>
            </w:r>
          </w:p>
          <w:p w14:paraId="1000856D">
            <w:pPr>
              <w:pStyle w:val="23"/>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联系方式：15649267688</w:t>
            </w:r>
          </w:p>
        </w:tc>
      </w:tr>
      <w:tr w14:paraId="71A7CFEF">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9C9F3FB">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ED31922">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4B15EDF7">
            <w:pPr>
              <w:pStyle w:val="23"/>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荥阳市交通运输局郑州市S314线K307+250~K311+300段及郑州市S315线K6+000~K17+400段公路安全提升工程项目</w:t>
            </w:r>
          </w:p>
        </w:tc>
      </w:tr>
      <w:tr w14:paraId="44162B0B">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1C4C465">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3502BA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地点</w:t>
            </w:r>
          </w:p>
        </w:tc>
        <w:tc>
          <w:tcPr>
            <w:tcW w:w="6693" w:type="dxa"/>
            <w:tcBorders>
              <w:top w:val="single" w:color="auto" w:sz="4" w:space="0"/>
              <w:left w:val="single" w:color="auto" w:sz="4" w:space="0"/>
              <w:bottom w:val="single" w:color="auto" w:sz="4" w:space="0"/>
              <w:right w:val="single" w:color="auto" w:sz="4" w:space="0"/>
            </w:tcBorders>
            <w:noWrap w:val="0"/>
            <w:vAlign w:val="top"/>
          </w:tcPr>
          <w:p w14:paraId="16BCDD09">
            <w:pPr>
              <w:pStyle w:val="23"/>
              <w:keepNext w:val="0"/>
              <w:keepLines w:val="0"/>
              <w:pageBreakBefore w:val="0"/>
              <w:kinsoku/>
              <w:wordWrap w:val="0"/>
              <w:overflowPunct/>
              <w:topLinePunct w:val="0"/>
              <w:bidi w:val="0"/>
              <w:snapToGrid/>
              <w:spacing w:before="0" w:beforeAutospacing="0" w:after="0" w:afterAutospacing="0" w:line="360" w:lineRule="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eastAsia="zh-CN"/>
              </w:rPr>
              <w:t>荥阳市</w:t>
            </w:r>
            <w:r>
              <w:rPr>
                <w:rFonts w:hint="eastAsia" w:ascii="仿宋" w:hAnsi="仿宋" w:eastAsia="仿宋" w:cs="仿宋"/>
                <w:color w:val="auto"/>
                <w:sz w:val="24"/>
                <w:szCs w:val="24"/>
                <w:highlight w:val="none"/>
                <w:lang w:val="en-US" w:eastAsia="zh-CN"/>
              </w:rPr>
              <w:t>境内</w:t>
            </w:r>
          </w:p>
        </w:tc>
      </w:tr>
      <w:tr w14:paraId="5E735FE0">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2476D961">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DF0DBE1">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539C3803">
            <w:pPr>
              <w:pStyle w:val="23"/>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财政资金</w:t>
            </w:r>
          </w:p>
        </w:tc>
      </w:tr>
      <w:tr w14:paraId="1B0A67E0">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489883CE">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463ACB68">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出资比例</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08A933C1">
            <w:pPr>
              <w:pStyle w:val="23"/>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w:t>
            </w:r>
          </w:p>
        </w:tc>
      </w:tr>
      <w:tr w14:paraId="4131EC43">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171447C">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64209FA1">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资金落实情况</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D2792E9">
            <w:pPr>
              <w:pStyle w:val="23"/>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已落实</w:t>
            </w:r>
          </w:p>
        </w:tc>
      </w:tr>
      <w:tr w14:paraId="4B94A9FD">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674C579">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F59886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采购范围</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4DD4B2BA">
            <w:pPr>
              <w:pStyle w:val="23"/>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施工图纸及工程量清单和磋商文件范围内的全部内容</w:t>
            </w:r>
          </w:p>
        </w:tc>
      </w:tr>
      <w:tr w14:paraId="59265F91">
        <w:tblPrEx>
          <w:tblCellMar>
            <w:top w:w="0" w:type="dxa"/>
            <w:left w:w="108" w:type="dxa"/>
            <w:bottom w:w="0" w:type="dxa"/>
            <w:right w:w="108" w:type="dxa"/>
          </w:tblCellMar>
        </w:tblPrEx>
        <w:trPr>
          <w:trHeight w:val="90"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25536179">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478298B">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工期</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2C57DA67">
            <w:pPr>
              <w:keepNext w:val="0"/>
              <w:keepLines w:val="0"/>
              <w:pageBreakBefore w:val="0"/>
              <w:kinsoku/>
              <w:overflowPunct/>
              <w:topLinePunct w:val="0"/>
              <w:bidi w:val="0"/>
              <w:snapToGrid/>
              <w:spacing w:beforeAutospacing="0" w:line="360" w:lineRule="auto"/>
              <w:rPr>
                <w:rFonts w:hint="eastAsia" w:ascii="仿宋" w:hAnsi="仿宋" w:eastAsia="仿宋" w:cs="仿宋"/>
                <w:color w:val="auto"/>
                <w:spacing w:val="1"/>
                <w:kern w:val="0"/>
                <w:sz w:val="24"/>
                <w:szCs w:val="24"/>
                <w:highlight w:val="yellow"/>
                <w:lang w:val="en-US" w:eastAsia="zh-CN"/>
              </w:rPr>
            </w:pPr>
            <w:r>
              <w:rPr>
                <w:rFonts w:hint="eastAsia" w:ascii="仿宋" w:hAnsi="仿宋" w:eastAsia="仿宋" w:cs="仿宋"/>
                <w:color w:val="auto"/>
                <w:sz w:val="24"/>
                <w:szCs w:val="24"/>
                <w:highlight w:val="none"/>
                <w:lang w:val="en-US" w:eastAsia="zh-CN"/>
              </w:rPr>
              <w:t>90日历天</w:t>
            </w:r>
          </w:p>
        </w:tc>
      </w:tr>
      <w:tr w14:paraId="2EAD1F7F">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DDB85F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2954992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4124174C">
            <w:pPr>
              <w:keepNext w:val="0"/>
              <w:keepLines w:val="0"/>
              <w:pageBreakBefore w:val="0"/>
              <w:kinsoku/>
              <w:overflowPunct/>
              <w:topLinePunct w:val="0"/>
              <w:bidi w:val="0"/>
              <w:snapToGrid/>
              <w:spacing w:beforeAutospacing="0" w:line="360" w:lineRule="auto"/>
              <w:rPr>
                <w:rFonts w:hint="eastAsia" w:ascii="仿宋" w:hAnsi="仿宋" w:eastAsia="仿宋" w:cs="仿宋"/>
                <w:color w:val="auto"/>
                <w:spacing w:val="1"/>
                <w:kern w:val="0"/>
                <w:sz w:val="24"/>
                <w:szCs w:val="24"/>
                <w:highlight w:val="none"/>
              </w:rPr>
            </w:pPr>
            <w:r>
              <w:rPr>
                <w:rFonts w:hint="eastAsia" w:ascii="仿宋" w:hAnsi="仿宋" w:eastAsia="仿宋" w:cs="仿宋"/>
                <w:color w:val="auto"/>
                <w:sz w:val="24"/>
                <w:szCs w:val="24"/>
                <w:highlight w:val="none"/>
                <w:lang w:val="en-US" w:eastAsia="zh-CN"/>
              </w:rPr>
              <w:t>符合国家现行相关标准和规范要求，达到合格标准。</w:t>
            </w:r>
          </w:p>
        </w:tc>
      </w:tr>
      <w:tr w14:paraId="0D6BEF24">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532C892B">
            <w:pPr>
              <w:keepNext w:val="0"/>
              <w:keepLines w:val="0"/>
              <w:pageBreakBefore w:val="0"/>
              <w:kinsoku/>
              <w:overflowPunct/>
              <w:topLinePunct w:val="0"/>
              <w:bidi w:val="0"/>
              <w:snapToGrid/>
              <w:spacing w:beforeAutospacing="0" w:line="360" w:lineRule="auto"/>
              <w:jc w:val="center"/>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1.3.4</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24EF0F51">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质保期</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4103B146">
            <w:pPr>
              <w:keepNext w:val="0"/>
              <w:keepLines w:val="0"/>
              <w:pageBreakBefore w:val="0"/>
              <w:kinsoku/>
              <w:overflowPunct/>
              <w:topLinePunct w:val="0"/>
              <w:bidi w:val="0"/>
              <w:snapToGrid/>
              <w:spacing w:beforeAutospacing="0"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一年</w:t>
            </w:r>
          </w:p>
        </w:tc>
      </w:tr>
      <w:tr w14:paraId="56339B0D">
        <w:tblPrEx>
          <w:tblCellMar>
            <w:top w:w="0" w:type="dxa"/>
            <w:left w:w="108" w:type="dxa"/>
            <w:bottom w:w="0" w:type="dxa"/>
            <w:right w:w="108" w:type="dxa"/>
          </w:tblCellMar>
        </w:tblPrEx>
        <w:trPr>
          <w:trHeight w:val="1687"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F808B8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B3F79D9">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供应商资格要求</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549C551">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满足《中华人民共和国政府采购法》第二十二条规定；</w:t>
            </w:r>
          </w:p>
          <w:p w14:paraId="06B7727F">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落实政府采购政策满足的资格要求：</w:t>
            </w:r>
            <w:r>
              <w:rPr>
                <w:rFonts w:hint="eastAsia" w:ascii="仿宋" w:hAnsi="仿宋" w:eastAsia="仿宋" w:cs="仿宋"/>
                <w:b w:val="0"/>
                <w:bCs w:val="0"/>
                <w:color w:val="auto"/>
                <w:sz w:val="24"/>
                <w:szCs w:val="24"/>
                <w:highlight w:val="none"/>
                <w:lang w:val="en-US" w:eastAsia="zh-CN"/>
              </w:rPr>
              <w:t>本项目属于专门面向中小企业采购的项目，即本项目承建企业应为中小微企业、监狱企业、残疾人福利性单位。</w:t>
            </w:r>
          </w:p>
          <w:p w14:paraId="13A59727">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本项目的特定资格要求</w:t>
            </w:r>
          </w:p>
          <w:p w14:paraId="5E23212B">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3.1供应商须具有公路工程施工总承包叁级及以上资质，具有有效的安全生产许可证，并在人员、设备、资金等方面具有相应的施工能力。</w:t>
            </w:r>
            <w:r>
              <w:rPr>
                <w:rFonts w:hint="eastAsia" w:ascii="仿宋" w:hAnsi="仿宋" w:eastAsia="仿宋" w:cs="仿宋"/>
                <w:b w:val="0"/>
                <w:bCs w:val="0"/>
                <w:color w:val="auto"/>
                <w:sz w:val="24"/>
                <w:szCs w:val="24"/>
                <w:highlight w:val="none"/>
                <w:lang w:val="en-US" w:eastAsia="zh-CN"/>
              </w:rPr>
              <w:br w:type="textWrapping"/>
            </w:r>
            <w:r>
              <w:rPr>
                <w:rFonts w:hint="eastAsia" w:ascii="仿宋" w:hAnsi="仿宋" w:eastAsia="仿宋" w:cs="仿宋"/>
                <w:b w:val="0"/>
                <w:bCs w:val="0"/>
                <w:color w:val="auto"/>
                <w:sz w:val="24"/>
                <w:szCs w:val="24"/>
                <w:highlight w:val="none"/>
                <w:lang w:val="en-US" w:eastAsia="zh-CN"/>
              </w:rPr>
              <w:t>3.2拟派项目经理须具有公路工程专业贰级及以上注册建造师（不含临时）资格，具有有效的安全生产考核合格证书(B证)，需提供本单位缴纳的社保证明（近三个月），且未担任其他在建工程项目经理(提供无在建承诺书)。</w:t>
            </w:r>
          </w:p>
          <w:p w14:paraId="3AE4B282">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3.3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供应商可通过“信用中国”网站(www.creditchina.gov.cn)、中国政府采购网(www.ccgp.gov.cn)查询自身信用记录，可在响应文件中提供查询网页截图（截图内容要完整清晰）。采购人或采购代理机构在开标当天根据需要对所有参与本项目的供应商的信用情况进行核查，并以采购人或采购代理机构查询的结果为准。</w:t>
            </w:r>
          </w:p>
          <w:p w14:paraId="0E1AA1F8">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3.4单位负责人为同一人或者存在直接控股、管理关系的不同响应人，不得参加同一合同项下的政府采购活动。（提供“国家企业信用信息公示系统”查询结果，需包含公司基本信息、股东信息及股权变更信息等内容）。</w:t>
            </w:r>
          </w:p>
          <w:p w14:paraId="52D0BBD6">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3.5须提供《中小企业声明函》（详见采购文件格式）。</w:t>
            </w:r>
          </w:p>
        </w:tc>
      </w:tr>
      <w:tr w14:paraId="59DDAE21">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3B38708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5B238FC">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是否接受联合体</w:t>
            </w:r>
          </w:p>
          <w:p w14:paraId="5BA43211">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1126F17F">
            <w:pPr>
              <w:pStyle w:val="23"/>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不接受</w:t>
            </w:r>
          </w:p>
        </w:tc>
      </w:tr>
      <w:tr w14:paraId="2FC49978">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7BB0518">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7CB3255">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踏勘现场</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737C33F">
            <w:pPr>
              <w:pStyle w:val="23"/>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不组织，供应商自行踏勘</w:t>
            </w:r>
          </w:p>
        </w:tc>
      </w:tr>
      <w:tr w14:paraId="093B86D5">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8EC175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0EF4579">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投标预备会</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B9452B5">
            <w:pPr>
              <w:pStyle w:val="23"/>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不</w:t>
            </w:r>
            <w:r>
              <w:rPr>
                <w:rFonts w:hint="eastAsia" w:ascii="仿宋" w:hAnsi="仿宋" w:eastAsia="仿宋" w:cs="仿宋"/>
                <w:color w:val="auto"/>
                <w:sz w:val="24"/>
                <w:szCs w:val="24"/>
                <w:highlight w:val="none"/>
                <w:lang w:val="en-US" w:eastAsia="zh-CN"/>
              </w:rPr>
              <w:t>召开</w:t>
            </w:r>
          </w:p>
        </w:tc>
      </w:tr>
      <w:tr w14:paraId="5FCD730F">
        <w:tblPrEx>
          <w:tblCellMar>
            <w:top w:w="0" w:type="dxa"/>
            <w:left w:w="108" w:type="dxa"/>
            <w:bottom w:w="0" w:type="dxa"/>
            <w:right w:w="108" w:type="dxa"/>
          </w:tblCellMar>
        </w:tblPrEx>
        <w:trPr>
          <w:trHeight w:val="34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2D4FAEC">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268819B4">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供应商提出问题的截止时间</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19D0094F">
            <w:pPr>
              <w:keepNext w:val="0"/>
              <w:keepLines w:val="0"/>
              <w:pageBreakBefore w:val="0"/>
              <w:kinsoku/>
              <w:overflowPunct/>
              <w:topLinePunct w:val="0"/>
              <w:bidi w:val="0"/>
              <w:adjustRightInd w:val="0"/>
              <w:snapToGrid/>
              <w:spacing w:beforeAutospacing="0" w:line="360" w:lineRule="auto"/>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获取磋商文件之日起</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个工作日内提出</w:t>
            </w:r>
          </w:p>
          <w:p w14:paraId="06FF1CE4">
            <w:pPr>
              <w:pStyle w:val="23"/>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形式：通过荥阳市公共资源交易中心电子平台系统内提出</w:t>
            </w:r>
          </w:p>
        </w:tc>
      </w:tr>
      <w:tr w14:paraId="587179E1">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3C2D7028">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07E0EAF4">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采购人书面澄清的时间</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57C4E8EC">
            <w:pPr>
              <w:pStyle w:val="23"/>
              <w:keepNext w:val="0"/>
              <w:keepLines w:val="0"/>
              <w:pageBreakBefore w:val="0"/>
              <w:kinsoku/>
              <w:overflowPunct/>
              <w:topLinePunct w:val="0"/>
              <w:bidi w:val="0"/>
              <w:snapToGrid/>
              <w:spacing w:before="0" w:beforeAutospacing="0" w:after="0" w:afterAutospacing="0" w:line="360" w:lineRule="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投标截止时间5天前（采购人、采购代理机构对已发出的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进行的澄清、更正或更改，澄清、更正或更改的内容将作为</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的组成部分。采购代理机构将通过网站“变更公告”和系统内部“网上提问”或“群发消息”告知供应商。各供应商须重新下载最新的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和答疑文件，以此编制</w:t>
            </w:r>
            <w:r>
              <w:rPr>
                <w:rFonts w:hint="eastAsia" w:ascii="仿宋" w:hAnsi="仿宋" w:eastAsia="仿宋" w:cs="仿宋"/>
                <w:color w:val="auto"/>
                <w:sz w:val="24"/>
                <w:szCs w:val="24"/>
                <w:highlight w:val="none"/>
                <w:lang w:eastAsia="zh-CN"/>
              </w:rPr>
              <w:t>响应文</w:t>
            </w:r>
            <w:r>
              <w:rPr>
                <w:rFonts w:hint="eastAsia" w:ascii="仿宋" w:hAnsi="仿宋" w:eastAsia="仿宋" w:cs="仿宋"/>
                <w:color w:val="auto"/>
                <w:sz w:val="24"/>
                <w:szCs w:val="24"/>
                <w:highlight w:val="none"/>
                <w:lang w:val="en-US" w:eastAsia="zh-CN"/>
              </w:rPr>
              <w:t>件</w:t>
            </w:r>
          </w:p>
        </w:tc>
      </w:tr>
      <w:tr w14:paraId="2E4D4E67">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1CAC2CB">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E0AC57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C13CAD9">
            <w:pPr>
              <w:pStyle w:val="23"/>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p>
        </w:tc>
      </w:tr>
      <w:tr w14:paraId="50C93D75">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51C588E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0A8F171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439850A5">
            <w:pPr>
              <w:pStyle w:val="23"/>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p>
        </w:tc>
      </w:tr>
      <w:tr w14:paraId="295F58CB">
        <w:tblPrEx>
          <w:tblCellMar>
            <w:top w:w="0" w:type="dxa"/>
            <w:left w:w="108" w:type="dxa"/>
            <w:bottom w:w="0" w:type="dxa"/>
            <w:right w:w="108" w:type="dxa"/>
          </w:tblCellMar>
        </w:tblPrEx>
        <w:trPr>
          <w:trHeight w:val="565"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2EFFB33D">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1A4078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其他材料</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0BBBF6A8">
            <w:pPr>
              <w:pStyle w:val="23"/>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外，最高投标限价以及采购人在采购期间发出的澄清（如有）、修改、补充、补遗和其它有效正式函件等内容均是</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的组成部分</w:t>
            </w:r>
          </w:p>
        </w:tc>
      </w:tr>
      <w:tr w14:paraId="44EABCDC">
        <w:tblPrEx>
          <w:tblCellMar>
            <w:top w:w="0" w:type="dxa"/>
            <w:left w:w="108" w:type="dxa"/>
            <w:bottom w:w="0" w:type="dxa"/>
            <w:right w:w="108" w:type="dxa"/>
          </w:tblCellMar>
        </w:tblPrEx>
        <w:trPr>
          <w:trHeight w:val="34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3A2040B7">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4004A138">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供应商要求澄清</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的截止时间</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23C08804">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获取磋商文件之日起</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个工作日内提出</w:t>
            </w:r>
          </w:p>
        </w:tc>
      </w:tr>
      <w:tr w14:paraId="22158B06">
        <w:tblPrEx>
          <w:tblCellMar>
            <w:top w:w="0" w:type="dxa"/>
            <w:left w:w="108" w:type="dxa"/>
            <w:bottom w:w="0" w:type="dxa"/>
            <w:right w:w="108" w:type="dxa"/>
          </w:tblCellMar>
        </w:tblPrEx>
        <w:trPr>
          <w:trHeight w:val="52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B1DD1CD">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D3F06D2">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319F7E3">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2026年2月10日9时00分</w:t>
            </w:r>
            <w:r>
              <w:rPr>
                <w:rFonts w:hint="eastAsia" w:ascii="仿宋" w:hAnsi="仿宋" w:eastAsia="仿宋" w:cs="仿宋"/>
                <w:color w:val="auto"/>
                <w:sz w:val="24"/>
                <w:szCs w:val="24"/>
                <w:highlight w:val="none"/>
              </w:rPr>
              <w:t>（北京时间）</w:t>
            </w:r>
          </w:p>
        </w:tc>
      </w:tr>
      <w:tr w14:paraId="043D9086">
        <w:tblPrEx>
          <w:tblCellMar>
            <w:top w:w="0" w:type="dxa"/>
            <w:left w:w="108" w:type="dxa"/>
            <w:bottom w:w="0" w:type="dxa"/>
            <w:right w:w="108" w:type="dxa"/>
          </w:tblCellMar>
        </w:tblPrEx>
        <w:trPr>
          <w:trHeight w:val="37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5ADCCA7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4DFCFF6E">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供应商确认收到</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澄清的时间</w:t>
            </w:r>
          </w:p>
        </w:tc>
        <w:tc>
          <w:tcPr>
            <w:tcW w:w="6693" w:type="dxa"/>
            <w:tcBorders>
              <w:top w:val="single" w:color="auto" w:sz="4" w:space="0"/>
              <w:left w:val="single" w:color="auto" w:sz="4" w:space="0"/>
              <w:bottom w:val="single" w:color="auto" w:sz="4" w:space="0"/>
              <w:right w:val="single" w:color="auto" w:sz="4" w:space="0"/>
            </w:tcBorders>
            <w:noWrap w:val="0"/>
            <w:vAlign w:val="top"/>
          </w:tcPr>
          <w:p w14:paraId="278F45D7">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所有澄清均通过“荥阳市公共资源交易中心”电子平台发布，一经发布即视为供应商已收到并确认，请各供应商及时关注本项目系统发出的通知，如有遗漏自行负责，采购人和采购代理机构不承担任何责任。</w:t>
            </w:r>
          </w:p>
        </w:tc>
      </w:tr>
      <w:tr w14:paraId="1BC627BE">
        <w:tblPrEx>
          <w:tblCellMar>
            <w:top w:w="0" w:type="dxa"/>
            <w:left w:w="108" w:type="dxa"/>
            <w:bottom w:w="0" w:type="dxa"/>
            <w:right w:w="108" w:type="dxa"/>
          </w:tblCellMar>
        </w:tblPrEx>
        <w:trPr>
          <w:trHeight w:val="37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79C8FE92">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5092CCB">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供应商确认收到</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修改的时间</w:t>
            </w:r>
          </w:p>
        </w:tc>
        <w:tc>
          <w:tcPr>
            <w:tcW w:w="6693" w:type="dxa"/>
            <w:tcBorders>
              <w:top w:val="single" w:color="auto" w:sz="4" w:space="0"/>
              <w:left w:val="single" w:color="auto" w:sz="4" w:space="0"/>
              <w:bottom w:val="single" w:color="auto" w:sz="4" w:space="0"/>
              <w:right w:val="single" w:color="auto" w:sz="4" w:space="0"/>
            </w:tcBorders>
            <w:noWrap w:val="0"/>
            <w:vAlign w:val="top"/>
          </w:tcPr>
          <w:p w14:paraId="10B74A7F">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所有修改均通过“荥阳市公共资源交易中心”电子平台发布，一经发布即视为供应商已收到并确认，请各供应商及时关注本项目通过系统发出的通知，如有遗漏自行负责，采购人和采购代理机构不承担任何责任。</w:t>
            </w:r>
          </w:p>
        </w:tc>
      </w:tr>
      <w:tr w14:paraId="4403B8E8">
        <w:tblPrEx>
          <w:tblCellMar>
            <w:top w:w="0" w:type="dxa"/>
            <w:left w:w="108" w:type="dxa"/>
            <w:bottom w:w="0" w:type="dxa"/>
            <w:right w:w="108" w:type="dxa"/>
          </w:tblCellMar>
        </w:tblPrEx>
        <w:trPr>
          <w:trHeight w:val="37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4B04664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B06172A">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其他材料</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1AFA6B8C">
            <w:pPr>
              <w:pStyle w:val="23"/>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采购人发出的补充文件或变更资料（如有）</w:t>
            </w:r>
          </w:p>
          <w:p w14:paraId="1479837C">
            <w:pPr>
              <w:pStyle w:val="23"/>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供应商认为需要提交的其他证明材料，具体见</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w:t>
            </w:r>
          </w:p>
        </w:tc>
      </w:tr>
      <w:tr w14:paraId="474E7058">
        <w:tblPrEx>
          <w:tblCellMar>
            <w:top w:w="0" w:type="dxa"/>
            <w:left w:w="108" w:type="dxa"/>
            <w:bottom w:w="0" w:type="dxa"/>
            <w:right w:w="108" w:type="dxa"/>
          </w:tblCellMar>
        </w:tblPrEx>
        <w:trPr>
          <w:trHeight w:val="37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73AEFDDC">
            <w:pPr>
              <w:keepNext w:val="0"/>
              <w:keepLines w:val="0"/>
              <w:pageBreakBefore w:val="0"/>
              <w:kinsoku/>
              <w:overflowPunct/>
              <w:topLinePunct w:val="0"/>
              <w:bidi w:val="0"/>
              <w:snapToGrid/>
              <w:spacing w:beforeAutospacing="0"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3.2.4</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297D1FA4">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最高投标限价</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615998E9">
            <w:pPr>
              <w:pStyle w:val="2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本项目设最高投标限价，最高投标限价为：</w:t>
            </w:r>
          </w:p>
          <w:p w14:paraId="280EB14C">
            <w:pPr>
              <w:pStyle w:val="25"/>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大写：壹佰贰拾万捌仟玖佰贰拾壹元零角零分</w:t>
            </w:r>
          </w:p>
          <w:p w14:paraId="7A15B043">
            <w:pPr>
              <w:pStyle w:val="25"/>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小写：1208921.00元</w:t>
            </w:r>
          </w:p>
          <w:p w14:paraId="0AAE7B5C">
            <w:pPr>
              <w:pStyle w:val="2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凡供应商的投标价格超出“最高投标限价”（不含等于“最高投标限价”）的，该供应商的响应文件将不予进行后续评审，否决其投标。</w:t>
            </w:r>
          </w:p>
        </w:tc>
      </w:tr>
      <w:tr w14:paraId="23E48100">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53B3E315">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529E26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磋商有效期</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713C5BCC">
            <w:pPr>
              <w:pStyle w:val="23"/>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自响应文件递交截止之日起90日历天</w:t>
            </w:r>
          </w:p>
        </w:tc>
      </w:tr>
      <w:tr w14:paraId="614D4411">
        <w:tblPrEx>
          <w:tblCellMar>
            <w:top w:w="0" w:type="dxa"/>
            <w:left w:w="108" w:type="dxa"/>
            <w:bottom w:w="0" w:type="dxa"/>
            <w:right w:w="108" w:type="dxa"/>
          </w:tblCellMar>
        </w:tblPrEx>
        <w:trPr>
          <w:trHeight w:val="97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6ED38193">
            <w:pPr>
              <w:keepNext w:val="0"/>
              <w:keepLines w:val="0"/>
              <w:pageBreakBefore w:val="0"/>
              <w:kinsoku/>
              <w:overflowPunct/>
              <w:topLinePunct w:val="0"/>
              <w:bidi w:val="0"/>
              <w:snapToGrid/>
              <w:spacing w:beforeAutospacing="0"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C41725E">
            <w:pPr>
              <w:keepNext w:val="0"/>
              <w:keepLines w:val="0"/>
              <w:pageBreakBefore w:val="0"/>
              <w:kinsoku/>
              <w:overflowPunct/>
              <w:topLinePunct w:val="0"/>
              <w:bidi w:val="0"/>
              <w:snapToGrid/>
              <w:spacing w:beforeAutospacing="0"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磋商保证金</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728DEBD4">
            <w:pPr>
              <w:pStyle w:val="23"/>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按照河南省财政厅发布《关于优化政府采购营商环境有关问题的通知》，本采购项目不再收取</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w:t>
            </w:r>
          </w:p>
        </w:tc>
      </w:tr>
      <w:tr w14:paraId="22D784A1">
        <w:tblPrEx>
          <w:tblCellMar>
            <w:top w:w="0" w:type="dxa"/>
            <w:left w:w="108" w:type="dxa"/>
            <w:bottom w:w="0" w:type="dxa"/>
            <w:right w:w="108" w:type="dxa"/>
          </w:tblCellMar>
        </w:tblPrEx>
        <w:trPr>
          <w:trHeight w:val="34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20C79A38">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6545F4A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近年财务状况</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056C60AC">
            <w:pPr>
              <w:pStyle w:val="26"/>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提供承诺函</w:t>
            </w:r>
          </w:p>
        </w:tc>
      </w:tr>
      <w:tr w14:paraId="69D5B7CE">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761E865B">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65C83BB3">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是否允许备选投标方案</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29985731">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p>
        </w:tc>
      </w:tr>
      <w:tr w14:paraId="472B85D6">
        <w:tblPrEx>
          <w:tblCellMar>
            <w:top w:w="0" w:type="dxa"/>
            <w:left w:w="108" w:type="dxa"/>
            <w:bottom w:w="0" w:type="dxa"/>
            <w:right w:w="108" w:type="dxa"/>
          </w:tblCellMar>
        </w:tblPrEx>
        <w:trPr>
          <w:trHeight w:val="699"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7341F32">
            <w:pPr>
              <w:keepNext w:val="0"/>
              <w:keepLines w:val="0"/>
              <w:pageBreakBefore w:val="0"/>
              <w:kinsoku/>
              <w:overflowPunct/>
              <w:topLinePunct w:val="0"/>
              <w:bidi w:val="0"/>
              <w:snapToGrid/>
              <w:spacing w:beforeAutospacing="0"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3.7.3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F220383">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签字或盖章要求</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6A3B147A">
            <w:pPr>
              <w:keepNext w:val="0"/>
              <w:keepLines w:val="0"/>
              <w:pageBreakBefore w:val="0"/>
              <w:kinsoku/>
              <w:overflowPunct/>
              <w:topLinePunct w:val="0"/>
              <w:bidi w:val="0"/>
              <w:snapToGrid/>
              <w:spacing w:beforeAutospacing="0" w:line="360" w:lineRule="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供应商在制作电子响应文件时，按采购文件和系统要求进行电子签章：</w:t>
            </w:r>
          </w:p>
          <w:p w14:paraId="7D6564F2">
            <w:pPr>
              <w:keepNext w:val="0"/>
              <w:keepLines w:val="0"/>
              <w:pageBreakBefore w:val="0"/>
              <w:kinsoku/>
              <w:overflowPunct/>
              <w:topLinePunct w:val="0"/>
              <w:bidi w:val="0"/>
              <w:snapToGrid/>
              <w:spacing w:beforeAutospacing="0"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val="en-US" w:eastAsia="zh-CN"/>
              </w:rPr>
              <w:t>所有要求</w:t>
            </w:r>
            <w:r>
              <w:rPr>
                <w:rFonts w:hint="eastAsia" w:ascii="仿宋" w:hAnsi="仿宋" w:eastAsia="仿宋" w:cs="仿宋"/>
                <w:color w:val="auto"/>
                <w:sz w:val="24"/>
                <w:szCs w:val="24"/>
                <w:highlight w:val="none"/>
                <w:lang w:val="en-US" w:eastAsia="zh-CN"/>
              </w:rPr>
              <w:t>供应商</w:t>
            </w:r>
            <w:r>
              <w:rPr>
                <w:rFonts w:hint="default" w:ascii="仿宋" w:hAnsi="仿宋" w:eastAsia="仿宋" w:cs="仿宋"/>
                <w:color w:val="auto"/>
                <w:sz w:val="24"/>
                <w:szCs w:val="24"/>
                <w:highlight w:val="none"/>
                <w:lang w:val="en-US" w:eastAsia="zh-CN"/>
              </w:rPr>
              <w:t>加盖公章的地方都应用供应商单位的CA电子签章。</w:t>
            </w:r>
          </w:p>
          <w:p w14:paraId="55771C5D">
            <w:pPr>
              <w:keepNext w:val="0"/>
              <w:keepLines w:val="0"/>
              <w:pageBreakBefore w:val="0"/>
              <w:kinsoku/>
              <w:overflowPunct/>
              <w:topLinePunct w:val="0"/>
              <w:bidi w:val="0"/>
              <w:snapToGrid/>
              <w:spacing w:beforeAutospacing="0"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default" w:ascii="仿宋" w:hAnsi="仿宋" w:eastAsia="仿宋" w:cs="仿宋"/>
                <w:color w:val="auto"/>
                <w:sz w:val="24"/>
                <w:szCs w:val="24"/>
                <w:highlight w:val="none"/>
                <w:lang w:val="en-US" w:eastAsia="zh-CN"/>
              </w:rPr>
              <w:t>所有要求法定代表人签字的地方都应用法定代表人的CA电子签章。若有委托代理人，且委托代理人没有CA锁，则响应文件可以上传手写签名的扫描件。</w:t>
            </w:r>
          </w:p>
        </w:tc>
      </w:tr>
      <w:tr w14:paraId="4A3BE553">
        <w:tblPrEx>
          <w:tblCellMar>
            <w:top w:w="0" w:type="dxa"/>
            <w:left w:w="108" w:type="dxa"/>
            <w:bottom w:w="0" w:type="dxa"/>
            <w:right w:w="108" w:type="dxa"/>
          </w:tblCellMar>
        </w:tblPrEx>
        <w:trPr>
          <w:trHeight w:val="549"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F1D5296">
            <w:pPr>
              <w:keepNext w:val="0"/>
              <w:keepLines w:val="0"/>
              <w:pageBreakBefore w:val="0"/>
              <w:kinsoku/>
              <w:overflowPunct/>
              <w:topLinePunct w:val="0"/>
              <w:bidi w:val="0"/>
              <w:snapToGrid/>
              <w:spacing w:beforeAutospacing="0"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3.7.4</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344A9B1">
            <w:pPr>
              <w:pStyle w:val="50"/>
              <w:keepNext w:val="0"/>
              <w:keepLines w:val="0"/>
              <w:pageBreakBefore w:val="0"/>
              <w:kinsoku/>
              <w:overflowPunct/>
              <w:topLinePunct w:val="0"/>
              <w:bidi w:val="0"/>
              <w:snapToGrid/>
              <w:spacing w:beforeAutospacing="0" w:line="360" w:lineRule="auto"/>
              <w:ind w:right="121" w:firstLine="240" w:firstLineChars="10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的制作及要求</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6E5637D9">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加密的电子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壹份（在</w:t>
            </w:r>
            <w:r>
              <w:rPr>
                <w:rFonts w:hint="eastAsia" w:ascii="仿宋" w:hAnsi="仿宋" w:eastAsia="仿宋" w:cs="仿宋"/>
                <w:color w:val="auto"/>
                <w:sz w:val="24"/>
                <w:szCs w:val="24"/>
                <w:highlight w:val="none"/>
                <w:lang w:val="en-US" w:eastAsia="zh-CN"/>
              </w:rPr>
              <w:t>公共资源交易平台</w:t>
            </w:r>
            <w:r>
              <w:rPr>
                <w:rFonts w:hint="eastAsia" w:ascii="仿宋" w:hAnsi="仿宋" w:eastAsia="仿宋" w:cs="仿宋"/>
                <w:color w:val="auto"/>
                <w:sz w:val="24"/>
                <w:szCs w:val="24"/>
                <w:highlight w:val="none"/>
              </w:rPr>
              <w:t>系统指定位置上传）；</w:t>
            </w:r>
          </w:p>
        </w:tc>
      </w:tr>
      <w:tr w14:paraId="14A51C71">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7ACC439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0E75BE5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地点</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DBF2193">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供应商须在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提交截止时间前在荥阳市公共资源交易中心交易系统中将加密电子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加密上传。</w:t>
            </w:r>
          </w:p>
        </w:tc>
      </w:tr>
      <w:tr w14:paraId="5ECD4204">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58E8551">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4241F034">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是否退还</w:t>
            </w:r>
            <w:r>
              <w:rPr>
                <w:rFonts w:hint="eastAsia" w:ascii="仿宋" w:hAnsi="仿宋" w:eastAsia="仿宋" w:cs="仿宋"/>
                <w:color w:val="auto"/>
                <w:sz w:val="24"/>
                <w:szCs w:val="24"/>
                <w:highlight w:val="none"/>
                <w:lang w:eastAsia="zh-CN"/>
              </w:rPr>
              <w:t>响应文件</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43F4AC21">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r>
      <w:tr w14:paraId="76E16E16">
        <w:tblPrEx>
          <w:tblCellMar>
            <w:top w:w="0" w:type="dxa"/>
            <w:left w:w="108" w:type="dxa"/>
            <w:bottom w:w="0" w:type="dxa"/>
            <w:right w:w="108" w:type="dxa"/>
          </w:tblCellMar>
        </w:tblPrEx>
        <w:trPr>
          <w:trHeight w:val="340"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D46197A">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A4A36A4">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开标时间和地点</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57CFC381">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u w:val="none"/>
                <w:lang w:val="en-US" w:eastAsia="zh-CN"/>
              </w:rPr>
              <w:t>2026年2月10日9时00分</w:t>
            </w:r>
            <w:r>
              <w:rPr>
                <w:rFonts w:hint="eastAsia" w:ascii="仿宋" w:hAnsi="仿宋" w:eastAsia="仿宋" w:cs="仿宋"/>
                <w:color w:val="auto"/>
                <w:sz w:val="24"/>
                <w:szCs w:val="24"/>
                <w:highlight w:val="none"/>
              </w:rPr>
              <w:t>（北京时间）</w:t>
            </w:r>
          </w:p>
          <w:p w14:paraId="67AC45AC">
            <w:pPr>
              <w:keepNext w:val="0"/>
              <w:keepLines w:val="0"/>
              <w:pageBreakBefore w:val="0"/>
              <w:widowControl/>
              <w:shd w:val="clear" w:color="auto"/>
              <w:tabs>
                <w:tab w:val="left" w:pos="7406"/>
              </w:tabs>
              <w:kinsoku/>
              <w:overflowPunct/>
              <w:topLinePunct w:val="0"/>
              <w:bidi w:val="0"/>
              <w:snapToGrid/>
              <w:spacing w:beforeAutospacing="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w:t>
            </w:r>
            <w:r>
              <w:rPr>
                <w:rFonts w:hint="eastAsia" w:ascii="仿宋" w:hAnsi="仿宋" w:eastAsia="仿宋" w:cs="仿宋"/>
                <w:color w:val="auto"/>
                <w:kern w:val="0"/>
                <w:sz w:val="24"/>
                <w:szCs w:val="24"/>
                <w:highlight w:val="none"/>
                <w:shd w:val="clear" w:color="auto" w:fill="FFFFFF"/>
                <w:lang w:bidi="ar"/>
              </w:rPr>
              <w:t>：荥阳市公共资源交易中心（荥阳市中原路与飞龙路西北角政务服务中心七楼）远程第</w:t>
            </w:r>
            <w:r>
              <w:rPr>
                <w:rFonts w:hint="eastAsia" w:ascii="仿宋" w:hAnsi="仿宋" w:eastAsia="仿宋" w:cs="仿宋"/>
                <w:color w:val="auto"/>
                <w:kern w:val="0"/>
                <w:sz w:val="24"/>
                <w:szCs w:val="24"/>
                <w:highlight w:val="none"/>
                <w:shd w:val="clear" w:color="auto" w:fill="FFFFFF"/>
                <w:lang w:val="en-US" w:eastAsia="zh-CN" w:bidi="ar"/>
              </w:rPr>
              <w:t>三</w:t>
            </w:r>
            <w:r>
              <w:rPr>
                <w:rFonts w:hint="eastAsia" w:ascii="仿宋" w:hAnsi="仿宋" w:eastAsia="仿宋" w:cs="仿宋"/>
                <w:color w:val="auto"/>
                <w:kern w:val="0"/>
                <w:sz w:val="24"/>
                <w:szCs w:val="24"/>
                <w:highlight w:val="none"/>
                <w:shd w:val="clear" w:color="auto" w:fill="FFFFFF"/>
                <w:lang w:bidi="ar"/>
              </w:rPr>
              <w:t>开标室</w:t>
            </w:r>
            <w:r>
              <w:rPr>
                <w:rFonts w:hint="eastAsia" w:ascii="仿宋" w:hAnsi="仿宋" w:eastAsia="仿宋" w:cs="仿宋"/>
                <w:color w:val="auto"/>
                <w:sz w:val="24"/>
                <w:szCs w:val="24"/>
                <w:highlight w:val="none"/>
              </w:rPr>
              <w:t>；</w:t>
            </w:r>
          </w:p>
        </w:tc>
      </w:tr>
      <w:tr w14:paraId="55E6A118">
        <w:tblPrEx>
          <w:tblCellMar>
            <w:top w:w="0" w:type="dxa"/>
            <w:left w:w="108" w:type="dxa"/>
            <w:bottom w:w="0" w:type="dxa"/>
            <w:right w:w="108" w:type="dxa"/>
          </w:tblCellMar>
        </w:tblPrEx>
        <w:trPr>
          <w:trHeight w:val="33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5753AB8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3D3870B0">
            <w:pPr>
              <w:pStyle w:val="50"/>
              <w:keepNext w:val="0"/>
              <w:keepLines w:val="0"/>
              <w:pageBreakBefore w:val="0"/>
              <w:kinsoku/>
              <w:overflowPunct/>
              <w:topLinePunct w:val="0"/>
              <w:bidi w:val="0"/>
              <w:snapToGrid/>
              <w:spacing w:beforeAutospacing="0" w:line="360" w:lineRule="auto"/>
              <w:ind w:left="106" w:right="97"/>
              <w:jc w:val="center"/>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开标程序</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818FEDF">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本项目采用电子开标。到投标截止时间止，各供应商对加密的电子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进行解密。解密完成后各供应商的电子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的实质性内容将自动显示在网页中。供应商在投标截止时间前未上传电子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的将视为放弃投标。</w:t>
            </w:r>
          </w:p>
          <w:p w14:paraId="660E19CA">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对开标过程和开标记录如有疑义，以及认为采购人、采购代理机构相关工作人员有需要回避的情形的，应在不见面开标大厅“文字互动”对话框或“新增质疑”处在线提出询问或者回避申请。采购人、采购代理机构对供应商代表提出的询问或者回避申请应当及时处理。</w:t>
            </w:r>
          </w:p>
          <w:p w14:paraId="3FBA6440">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供应商未参加开标的，视同认可开标结果。</w:t>
            </w:r>
          </w:p>
        </w:tc>
      </w:tr>
      <w:tr w14:paraId="1A8365FF">
        <w:tblPrEx>
          <w:tblCellMar>
            <w:top w:w="0" w:type="dxa"/>
            <w:left w:w="108" w:type="dxa"/>
            <w:bottom w:w="0" w:type="dxa"/>
            <w:right w:w="108" w:type="dxa"/>
          </w:tblCellMar>
        </w:tblPrEx>
        <w:trPr>
          <w:trHeight w:val="509"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68024DF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82FFED3">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的组建</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B2B7B6E">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构成：</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rPr>
              <w:t>人，其中采购人代表</w:t>
            </w:r>
            <w:r>
              <w:rPr>
                <w:rFonts w:hint="eastAsia" w:ascii="仿宋" w:hAnsi="仿宋" w:eastAsia="仿宋" w:cs="仿宋"/>
                <w:color w:val="auto"/>
                <w:sz w:val="24"/>
                <w:szCs w:val="24"/>
                <w:highlight w:val="none"/>
                <w:u w:val="single"/>
              </w:rPr>
              <w:t>1</w:t>
            </w:r>
            <w:r>
              <w:rPr>
                <w:rFonts w:hint="eastAsia" w:ascii="仿宋" w:hAnsi="仿宋" w:eastAsia="仿宋" w:cs="仿宋"/>
                <w:color w:val="auto"/>
                <w:sz w:val="24"/>
                <w:szCs w:val="24"/>
                <w:highlight w:val="none"/>
              </w:rPr>
              <w:t>人，专家</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rPr>
              <w:t>人；</w:t>
            </w:r>
          </w:p>
          <w:p w14:paraId="6B861DC9">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评标专家确定方式：</w:t>
            </w:r>
            <w:r>
              <w:rPr>
                <w:rFonts w:hint="eastAsia" w:ascii="仿宋" w:hAnsi="仿宋" w:eastAsia="仿宋" w:cs="仿宋"/>
                <w:color w:val="auto"/>
                <w:sz w:val="24"/>
                <w:szCs w:val="24"/>
                <w:highlight w:val="none"/>
                <w:lang w:val="en-US" w:eastAsia="zh-CN"/>
              </w:rPr>
              <w:t>在河南省财政厅政府采购评标专家库中随机抽取。</w:t>
            </w:r>
          </w:p>
        </w:tc>
      </w:tr>
      <w:tr w14:paraId="290CBE44">
        <w:tblPrEx>
          <w:tblCellMar>
            <w:top w:w="0" w:type="dxa"/>
            <w:left w:w="108" w:type="dxa"/>
            <w:bottom w:w="0" w:type="dxa"/>
            <w:right w:w="108" w:type="dxa"/>
          </w:tblCellMar>
        </w:tblPrEx>
        <w:trPr>
          <w:trHeight w:val="341" w:hRule="atLeast"/>
          <w:jc w:val="center"/>
        </w:trPr>
        <w:tc>
          <w:tcPr>
            <w:tcW w:w="967" w:type="dxa"/>
            <w:tcBorders>
              <w:top w:val="single" w:color="auto" w:sz="4" w:space="0"/>
              <w:left w:val="single" w:color="auto" w:sz="4" w:space="0"/>
              <w:right w:val="single" w:color="auto" w:sz="4" w:space="0"/>
            </w:tcBorders>
            <w:noWrap w:val="0"/>
            <w:vAlign w:val="center"/>
          </w:tcPr>
          <w:p w14:paraId="11F80655">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w:t>
            </w:r>
          </w:p>
        </w:tc>
        <w:tc>
          <w:tcPr>
            <w:tcW w:w="2337" w:type="dxa"/>
            <w:tcBorders>
              <w:top w:val="single" w:color="auto" w:sz="4" w:space="0"/>
              <w:left w:val="single" w:color="auto" w:sz="4" w:space="0"/>
              <w:right w:val="single" w:color="auto" w:sz="4" w:space="0"/>
            </w:tcBorders>
            <w:noWrap w:val="0"/>
            <w:vAlign w:val="center"/>
          </w:tcPr>
          <w:p w14:paraId="42A11A19">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是否授权</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人</w:t>
            </w:r>
          </w:p>
        </w:tc>
        <w:tc>
          <w:tcPr>
            <w:tcW w:w="6693" w:type="dxa"/>
            <w:tcBorders>
              <w:top w:val="single" w:color="auto" w:sz="4" w:space="0"/>
              <w:left w:val="single" w:color="auto" w:sz="4" w:space="0"/>
              <w:right w:val="single" w:color="auto" w:sz="4" w:space="0"/>
            </w:tcBorders>
            <w:noWrap w:val="0"/>
            <w:vAlign w:val="center"/>
          </w:tcPr>
          <w:p w14:paraId="57240D81">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否，推荐的</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候选人数：3名</w:t>
            </w:r>
          </w:p>
        </w:tc>
      </w:tr>
      <w:tr w14:paraId="1F3177CF">
        <w:tblPrEx>
          <w:tblCellMar>
            <w:top w:w="0" w:type="dxa"/>
            <w:left w:w="0" w:type="dxa"/>
            <w:bottom w:w="0" w:type="dxa"/>
            <w:right w:w="0" w:type="dxa"/>
          </w:tblCellMar>
        </w:tblPrEx>
        <w:trPr>
          <w:trHeight w:val="664"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42915B30">
            <w:pPr>
              <w:keepNext w:val="0"/>
              <w:keepLines w:val="0"/>
              <w:pageBreakBefore w:val="0"/>
              <w:kinsoku/>
              <w:overflowPunct/>
              <w:topLinePunct w:val="0"/>
              <w:autoSpaceDE w:val="0"/>
              <w:autoSpaceDN w:val="0"/>
              <w:bidi w:val="0"/>
              <w:adjustRightInd w:val="0"/>
              <w:snapToGrid/>
              <w:spacing w:beforeAutospacing="0" w:line="360" w:lineRule="auto"/>
              <w:ind w:right="35"/>
              <w:jc w:val="center"/>
              <w:rPr>
                <w:rFonts w:hint="eastAsia" w:ascii="仿宋" w:hAnsi="仿宋" w:eastAsia="仿宋" w:cs="仿宋"/>
                <w:color w:val="auto"/>
                <w:spacing w:val="1"/>
                <w:kern w:val="0"/>
                <w:sz w:val="24"/>
                <w:szCs w:val="24"/>
                <w:highlight w:val="none"/>
              </w:rPr>
            </w:pPr>
            <w:r>
              <w:rPr>
                <w:rFonts w:hint="eastAsia" w:ascii="仿宋" w:hAnsi="仿宋" w:eastAsia="仿宋" w:cs="仿宋"/>
                <w:b/>
                <w:color w:val="auto"/>
                <w:sz w:val="24"/>
                <w:szCs w:val="24"/>
                <w:highlight w:val="none"/>
              </w:rPr>
              <w:t>10</w:t>
            </w:r>
          </w:p>
        </w:tc>
        <w:tc>
          <w:tcPr>
            <w:tcW w:w="9030" w:type="dxa"/>
            <w:gridSpan w:val="2"/>
            <w:tcBorders>
              <w:top w:val="single" w:color="000000" w:sz="4" w:space="0"/>
              <w:left w:val="single" w:color="000000" w:sz="4" w:space="0"/>
              <w:bottom w:val="single" w:color="000000" w:sz="4" w:space="0"/>
              <w:right w:val="single" w:color="000000" w:sz="4" w:space="0"/>
            </w:tcBorders>
            <w:noWrap w:val="0"/>
            <w:vAlign w:val="center"/>
          </w:tcPr>
          <w:p w14:paraId="6223980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需要补充的其他内容</w:t>
            </w:r>
          </w:p>
        </w:tc>
      </w:tr>
      <w:tr w14:paraId="7920E744">
        <w:tblPrEx>
          <w:tblCellMar>
            <w:top w:w="0" w:type="dxa"/>
            <w:left w:w="0" w:type="dxa"/>
            <w:bottom w:w="0" w:type="dxa"/>
            <w:right w:w="0" w:type="dxa"/>
          </w:tblCellMar>
        </w:tblPrEx>
        <w:trPr>
          <w:trHeight w:val="509"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41175167">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1</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02DD0FD3">
            <w:pPr>
              <w:keepNext w:val="0"/>
              <w:keepLines w:val="0"/>
              <w:pageBreakBefore w:val="0"/>
              <w:kinsoku/>
              <w:overflowPunct/>
              <w:topLinePunct w:val="0"/>
              <w:bidi w:val="0"/>
              <w:snapToGrid/>
              <w:spacing w:beforeAutospacing="0" w:line="360" w:lineRule="auto"/>
              <w:jc w:val="center"/>
              <w:rPr>
                <w:rFonts w:hint="eastAsia" w:ascii="仿宋" w:hAnsi="仿宋" w:eastAsia="仿宋" w:cs="仿宋"/>
                <w:bCs/>
                <w:color w:val="auto"/>
                <w:kern w:val="1"/>
                <w:sz w:val="24"/>
                <w:szCs w:val="24"/>
                <w:highlight w:val="none"/>
              </w:rPr>
            </w:pPr>
            <w:r>
              <w:rPr>
                <w:rFonts w:hint="eastAsia" w:ascii="仿宋" w:hAnsi="仿宋" w:eastAsia="仿宋" w:cs="仿宋"/>
                <w:bCs/>
                <w:color w:val="auto"/>
                <w:kern w:val="1"/>
                <w:sz w:val="24"/>
                <w:szCs w:val="24"/>
                <w:highlight w:val="none"/>
              </w:rPr>
              <w:t>采购代理服务费</w:t>
            </w:r>
          </w:p>
        </w:tc>
        <w:tc>
          <w:tcPr>
            <w:tcW w:w="6693" w:type="dxa"/>
            <w:tcBorders>
              <w:top w:val="single" w:color="000000" w:sz="4" w:space="0"/>
              <w:left w:val="single" w:color="000000" w:sz="4" w:space="0"/>
              <w:bottom w:val="single" w:color="000000" w:sz="4" w:space="0"/>
              <w:right w:val="single" w:color="000000" w:sz="4" w:space="0"/>
            </w:tcBorders>
            <w:noWrap w:val="0"/>
            <w:vAlign w:val="center"/>
          </w:tcPr>
          <w:p w14:paraId="7E7F45BA">
            <w:pPr>
              <w:keepNext w:val="0"/>
              <w:keepLines w:val="0"/>
              <w:pageBreakBefore w:val="0"/>
              <w:kinsoku/>
              <w:overflowPunct/>
              <w:topLinePunct w:val="0"/>
              <w:bidi w:val="0"/>
              <w:snapToGrid/>
              <w:spacing w:beforeAutospacing="0" w:line="360" w:lineRule="auto"/>
              <w:rPr>
                <w:rFonts w:hint="eastAsia" w:ascii="仿宋" w:hAnsi="仿宋" w:eastAsia="仿宋" w:cs="仿宋"/>
                <w:bCs/>
                <w:color w:val="auto"/>
                <w:kern w:val="1"/>
                <w:sz w:val="24"/>
                <w:szCs w:val="24"/>
                <w:highlight w:val="none"/>
              </w:rPr>
            </w:pPr>
            <w:r>
              <w:rPr>
                <w:rFonts w:hint="eastAsia" w:ascii="仿宋" w:hAnsi="仿宋" w:eastAsia="仿宋" w:cs="仿宋"/>
                <w:bCs/>
                <w:color w:val="auto"/>
                <w:kern w:val="1"/>
                <w:sz w:val="24"/>
                <w:szCs w:val="24"/>
                <w:highlight w:val="none"/>
              </w:rPr>
              <w:t>本次采购代理服务费由</w:t>
            </w:r>
            <w:r>
              <w:rPr>
                <w:rFonts w:hint="eastAsia" w:ascii="仿宋" w:hAnsi="仿宋" w:eastAsia="仿宋" w:cs="仿宋"/>
                <w:bCs/>
                <w:color w:val="auto"/>
                <w:kern w:val="1"/>
                <w:sz w:val="24"/>
                <w:szCs w:val="24"/>
                <w:highlight w:val="none"/>
                <w:lang w:val="en-US" w:eastAsia="zh-CN"/>
              </w:rPr>
              <w:t>成交</w:t>
            </w:r>
            <w:r>
              <w:rPr>
                <w:rFonts w:hint="eastAsia" w:ascii="仿宋" w:hAnsi="仿宋" w:eastAsia="仿宋" w:cs="仿宋"/>
                <w:bCs/>
                <w:color w:val="auto"/>
                <w:kern w:val="1"/>
                <w:sz w:val="24"/>
                <w:szCs w:val="24"/>
                <w:highlight w:val="none"/>
              </w:rPr>
              <w:t>人依据</w:t>
            </w:r>
            <w:r>
              <w:rPr>
                <w:rFonts w:hint="eastAsia" w:ascii="仿宋" w:hAnsi="仿宋" w:eastAsia="仿宋" w:cs="仿宋"/>
                <w:bCs/>
                <w:color w:val="auto"/>
                <w:kern w:val="1"/>
                <w:sz w:val="24"/>
                <w:szCs w:val="24"/>
                <w:highlight w:val="none"/>
                <w:lang w:val="en-US" w:eastAsia="zh-CN"/>
              </w:rPr>
              <w:t>《河南省招标代理服务收费指导意见》豫招协[2023]002号文件标准</w:t>
            </w:r>
            <w:r>
              <w:rPr>
                <w:rFonts w:hint="eastAsia" w:ascii="仿宋" w:hAnsi="仿宋" w:eastAsia="仿宋" w:cs="仿宋"/>
                <w:bCs/>
                <w:color w:val="auto"/>
                <w:kern w:val="1"/>
                <w:sz w:val="24"/>
                <w:szCs w:val="24"/>
                <w:highlight w:val="none"/>
              </w:rPr>
              <w:t>向</w:t>
            </w:r>
            <w:r>
              <w:rPr>
                <w:rFonts w:hint="eastAsia" w:ascii="仿宋" w:hAnsi="仿宋" w:eastAsia="仿宋" w:cs="仿宋"/>
                <w:bCs/>
                <w:color w:val="auto"/>
                <w:kern w:val="1"/>
                <w:sz w:val="24"/>
                <w:szCs w:val="24"/>
                <w:highlight w:val="none"/>
                <w:lang w:val="en-US" w:eastAsia="zh-CN"/>
              </w:rPr>
              <w:t>采购</w:t>
            </w:r>
            <w:r>
              <w:rPr>
                <w:rFonts w:hint="eastAsia" w:ascii="仿宋" w:hAnsi="仿宋" w:eastAsia="仿宋" w:cs="仿宋"/>
                <w:bCs/>
                <w:color w:val="auto"/>
                <w:kern w:val="1"/>
                <w:sz w:val="24"/>
                <w:szCs w:val="24"/>
                <w:highlight w:val="none"/>
              </w:rPr>
              <w:t>代理机构交纳。</w:t>
            </w:r>
            <w:r>
              <w:rPr>
                <w:rFonts w:hint="eastAsia" w:ascii="仿宋" w:hAnsi="仿宋" w:eastAsia="仿宋" w:cs="仿宋"/>
                <w:bCs/>
                <w:color w:val="auto"/>
                <w:kern w:val="1"/>
                <w:sz w:val="24"/>
                <w:szCs w:val="24"/>
                <w:highlight w:val="none"/>
                <w:lang w:val="en-US" w:eastAsia="zh-CN"/>
              </w:rPr>
              <w:t>成交</w:t>
            </w:r>
            <w:r>
              <w:rPr>
                <w:rFonts w:hint="eastAsia" w:ascii="仿宋" w:hAnsi="仿宋" w:eastAsia="仿宋" w:cs="仿宋"/>
                <w:bCs/>
                <w:color w:val="auto"/>
                <w:kern w:val="1"/>
                <w:sz w:val="24"/>
                <w:szCs w:val="24"/>
                <w:highlight w:val="none"/>
              </w:rPr>
              <w:t>人在领取中标通知书时，按</w:t>
            </w:r>
            <w:r>
              <w:rPr>
                <w:rFonts w:hint="eastAsia" w:ascii="仿宋" w:hAnsi="仿宋" w:eastAsia="仿宋" w:cs="仿宋"/>
                <w:bCs/>
                <w:color w:val="auto"/>
                <w:kern w:val="1"/>
                <w:sz w:val="24"/>
                <w:szCs w:val="24"/>
                <w:highlight w:val="none"/>
                <w:lang w:val="en-US" w:eastAsia="zh-CN"/>
              </w:rPr>
              <w:t>磋商</w:t>
            </w:r>
            <w:r>
              <w:rPr>
                <w:rFonts w:hint="eastAsia" w:ascii="仿宋" w:hAnsi="仿宋" w:eastAsia="仿宋" w:cs="仿宋"/>
                <w:bCs/>
                <w:color w:val="auto"/>
                <w:kern w:val="1"/>
                <w:sz w:val="24"/>
                <w:szCs w:val="24"/>
                <w:highlight w:val="none"/>
              </w:rPr>
              <w:t>文件的要求一次性向采购代理机构缴纳招标代理服务费。</w:t>
            </w:r>
          </w:p>
        </w:tc>
      </w:tr>
      <w:tr w14:paraId="1A1A1AAD">
        <w:tblPrEx>
          <w:tblCellMar>
            <w:top w:w="0" w:type="dxa"/>
            <w:left w:w="0" w:type="dxa"/>
            <w:bottom w:w="0" w:type="dxa"/>
            <w:right w:w="0" w:type="dxa"/>
          </w:tblCellMar>
        </w:tblPrEx>
        <w:trPr>
          <w:trHeight w:val="842"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144452FA">
            <w:pPr>
              <w:keepNext w:val="0"/>
              <w:keepLines w:val="0"/>
              <w:pageBreakBefore w:val="0"/>
              <w:kinsoku/>
              <w:overflowPunct/>
              <w:topLinePunct w:val="0"/>
              <w:bidi w:val="0"/>
              <w:snapToGrid/>
              <w:spacing w:beforeAutospacing="0" w:line="360" w:lineRule="auto"/>
              <w:jc w:val="center"/>
              <w:rPr>
                <w:rFonts w:hint="default" w:ascii="仿宋" w:hAnsi="仿宋" w:eastAsia="仿宋" w:cs="仿宋"/>
                <w:color w:val="FF0000"/>
                <w:sz w:val="24"/>
                <w:szCs w:val="24"/>
                <w:highlight w:val="none"/>
                <w:lang w:val="en-US" w:eastAsia="zh-CN"/>
              </w:rPr>
            </w:pPr>
            <w:r>
              <w:rPr>
                <w:rFonts w:hint="eastAsia" w:ascii="仿宋" w:hAnsi="仿宋" w:eastAsia="仿宋" w:cs="仿宋"/>
                <w:color w:val="auto"/>
                <w:sz w:val="24"/>
                <w:szCs w:val="24"/>
                <w:highlight w:val="none"/>
                <w:lang w:val="en-US" w:eastAsia="zh-CN"/>
              </w:rPr>
              <w:t>10.2</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68F10754">
            <w:pPr>
              <w:keepNext w:val="0"/>
              <w:keepLines w:val="0"/>
              <w:pageBreakBefore w:val="0"/>
              <w:kinsoku/>
              <w:overflowPunct/>
              <w:topLinePunct w:val="0"/>
              <w:bidi w:val="0"/>
              <w:snapToGrid/>
              <w:spacing w:beforeAutospacing="0" w:line="360" w:lineRule="auto"/>
              <w:jc w:val="center"/>
              <w:rPr>
                <w:rFonts w:hint="eastAsia" w:ascii="仿宋" w:hAnsi="仿宋" w:eastAsia="仿宋" w:cs="仿宋"/>
                <w:bCs/>
                <w:color w:val="auto"/>
                <w:kern w:val="1"/>
                <w:sz w:val="24"/>
                <w:szCs w:val="24"/>
                <w:highlight w:val="none"/>
                <w:lang w:val="en-US" w:eastAsia="zh-CN"/>
              </w:rPr>
            </w:pPr>
            <w:r>
              <w:rPr>
                <w:rFonts w:hint="eastAsia" w:ascii="仿宋" w:hAnsi="仿宋" w:eastAsia="仿宋" w:cs="仿宋"/>
                <w:bCs/>
                <w:color w:val="auto"/>
                <w:kern w:val="1"/>
                <w:sz w:val="24"/>
                <w:szCs w:val="24"/>
                <w:highlight w:val="none"/>
                <w:lang w:val="en-US" w:eastAsia="zh-CN"/>
              </w:rPr>
              <w:t>付款方式</w:t>
            </w:r>
          </w:p>
        </w:tc>
        <w:tc>
          <w:tcPr>
            <w:tcW w:w="6693" w:type="dxa"/>
            <w:tcBorders>
              <w:top w:val="single" w:color="000000" w:sz="4" w:space="0"/>
              <w:left w:val="single" w:color="000000" w:sz="4" w:space="0"/>
              <w:bottom w:val="single" w:color="000000" w:sz="4" w:space="0"/>
              <w:right w:val="single" w:color="000000" w:sz="4" w:space="0"/>
            </w:tcBorders>
            <w:noWrap w:val="0"/>
            <w:vAlign w:val="center"/>
          </w:tcPr>
          <w:p w14:paraId="1BD15325">
            <w:pPr>
              <w:keepNext w:val="0"/>
              <w:keepLines w:val="0"/>
              <w:pageBreakBefore w:val="0"/>
              <w:kinsoku/>
              <w:overflowPunct/>
              <w:topLinePunct w:val="0"/>
              <w:bidi w:val="0"/>
              <w:snapToGrid/>
              <w:spacing w:beforeAutospacing="0" w:line="360" w:lineRule="auto"/>
              <w:rPr>
                <w:rFonts w:hint="eastAsia" w:ascii="仿宋" w:hAnsi="仿宋" w:eastAsia="仿宋" w:cs="仿宋"/>
                <w:bCs/>
                <w:color w:val="auto"/>
                <w:kern w:val="1"/>
                <w:sz w:val="24"/>
                <w:szCs w:val="24"/>
                <w:highlight w:val="none"/>
                <w:lang w:eastAsia="zh-CN"/>
              </w:rPr>
            </w:pPr>
            <w:r>
              <w:rPr>
                <w:rFonts w:hint="eastAsia" w:ascii="仿宋" w:hAnsi="仿宋" w:eastAsia="仿宋" w:cs="仿宋"/>
                <w:bCs/>
                <w:color w:val="auto"/>
                <w:kern w:val="1"/>
                <w:sz w:val="24"/>
                <w:szCs w:val="24"/>
                <w:highlight w:val="none"/>
                <w:lang w:eastAsia="zh-CN"/>
              </w:rPr>
              <w:t>工程交工验收合格，可支付到签约合同价的70%，工程结算审计完成后可支付到审定工程款的97%，剩余款项一年后无息一次性付清。</w:t>
            </w:r>
          </w:p>
        </w:tc>
      </w:tr>
      <w:tr w14:paraId="61188997">
        <w:tblPrEx>
          <w:tblCellMar>
            <w:top w:w="0" w:type="dxa"/>
            <w:left w:w="0" w:type="dxa"/>
            <w:bottom w:w="0" w:type="dxa"/>
            <w:right w:w="0" w:type="dxa"/>
          </w:tblCellMar>
        </w:tblPrEx>
        <w:trPr>
          <w:trHeight w:val="558"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644AAD9C">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3</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103EB11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本项目需要落实的政府采购政策</w:t>
            </w:r>
          </w:p>
        </w:tc>
        <w:tc>
          <w:tcPr>
            <w:tcW w:w="6693" w:type="dxa"/>
            <w:tcBorders>
              <w:top w:val="single" w:color="000000" w:sz="4" w:space="0"/>
              <w:left w:val="single" w:color="000000" w:sz="4" w:space="0"/>
              <w:bottom w:val="single" w:color="000000" w:sz="4" w:space="0"/>
              <w:right w:val="single" w:color="000000" w:sz="4" w:space="0"/>
            </w:tcBorders>
            <w:noWrap w:val="0"/>
            <w:vAlign w:val="center"/>
          </w:tcPr>
          <w:p w14:paraId="551E7486">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政府采购相关政策：</w:t>
            </w:r>
          </w:p>
          <w:p w14:paraId="14DCB7AF">
            <w:pPr>
              <w:keepNext w:val="0"/>
              <w:keepLines w:val="0"/>
              <w:pageBreakBefore w:val="0"/>
              <w:numPr>
                <w:ilvl w:val="0"/>
                <w:numId w:val="0"/>
              </w:numPr>
              <w:kinsoku/>
              <w:overflowPunct/>
              <w:topLinePunct w:val="0"/>
              <w:bidi w:val="0"/>
              <w:snapToGrid/>
              <w:spacing w:beforeAutospacing="0" w:line="360" w:lineRule="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为贯彻落实财库[2020]46号《政府采购促进中小企业发展管理办法》、财库[2022]19号《关于进一步加大政府采购支持中小企业力度的通知》、豫财购[2022]5号《河南省财政厅关于进一步做好政府采购支持中小企业发展有关事项的通知》、荥财字[2022]21号《荥阳市财政局关于政府采购支持稳经济促增长的通知》等文件，</w:t>
            </w:r>
            <w:r>
              <w:rPr>
                <w:rFonts w:hint="eastAsia" w:ascii="仿宋" w:hAnsi="仿宋" w:eastAsia="仿宋" w:cs="仿宋"/>
                <w:b/>
                <w:bCs/>
                <w:color w:val="auto"/>
                <w:kern w:val="2"/>
                <w:sz w:val="24"/>
                <w:szCs w:val="24"/>
                <w:highlight w:val="none"/>
                <w:lang w:val="en-US" w:eastAsia="zh-CN" w:bidi="ar-SA"/>
              </w:rPr>
              <w:t>本项目属于专门面向中小企业采购的项目</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中小企业划型标准以工信部联企业〔2011〕300号《工业和信息化部、国家统计局、国家发展和改革委员会、财政部关于印发中小企业划型标准规定的通知》、国家统计局关于印发《统计上大中小微型企业划分办法（2017）》的通知为依据，</w:t>
            </w:r>
            <w:r>
              <w:rPr>
                <w:rFonts w:hint="eastAsia" w:ascii="仿宋" w:hAnsi="仿宋" w:eastAsia="仿宋" w:cs="仿宋"/>
                <w:b/>
                <w:bCs/>
                <w:color w:val="auto"/>
                <w:sz w:val="24"/>
                <w:szCs w:val="24"/>
                <w:highlight w:val="none"/>
              </w:rPr>
              <w:t>本次采购所属行业类别属于</w:t>
            </w:r>
            <w:r>
              <w:rPr>
                <w:rFonts w:hint="eastAsia" w:ascii="仿宋" w:hAnsi="仿宋" w:eastAsia="仿宋" w:cs="仿宋"/>
                <w:b/>
                <w:bCs/>
                <w:color w:val="auto"/>
                <w:sz w:val="24"/>
                <w:szCs w:val="24"/>
                <w:highlight w:val="none"/>
                <w:lang w:val="en-US" w:eastAsia="zh-CN"/>
              </w:rPr>
              <w:t>建筑业</w:t>
            </w:r>
            <w:r>
              <w:rPr>
                <w:rFonts w:hint="eastAsia" w:ascii="仿宋" w:hAnsi="仿宋" w:eastAsia="仿宋" w:cs="仿宋"/>
                <w:b/>
                <w:bCs/>
                <w:color w:val="auto"/>
                <w:sz w:val="24"/>
                <w:szCs w:val="24"/>
                <w:highlight w:val="none"/>
              </w:rPr>
              <w:t>。</w:t>
            </w:r>
          </w:p>
          <w:p w14:paraId="1514E133">
            <w:pPr>
              <w:keepNext w:val="0"/>
              <w:keepLines w:val="0"/>
              <w:pageBreakBefore w:val="0"/>
              <w:numPr>
                <w:ilvl w:val="0"/>
                <w:numId w:val="0"/>
              </w:numPr>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42E766DC">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根据《关于促进残疾人就业政府采购政策的通知》（财库〔2017〕141号）文件规定，本项目支持残疾人福利性单位参与政府采购活动。符合条件的残疾人福利性单位参加本项目投标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tc>
      </w:tr>
      <w:tr w14:paraId="40AB6EFD">
        <w:tblPrEx>
          <w:tblCellMar>
            <w:top w:w="0" w:type="dxa"/>
            <w:left w:w="0" w:type="dxa"/>
            <w:bottom w:w="0" w:type="dxa"/>
            <w:right w:w="0" w:type="dxa"/>
          </w:tblCellMar>
        </w:tblPrEx>
        <w:trPr>
          <w:trHeight w:val="558"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37E2B84A">
            <w:pPr>
              <w:keepNext w:val="0"/>
              <w:keepLines w:val="0"/>
              <w:pageBreakBefore w:val="0"/>
              <w:kinsoku/>
              <w:overflowPunct/>
              <w:topLinePunct w:val="0"/>
              <w:bidi w:val="0"/>
              <w:snapToGrid/>
              <w:spacing w:beforeAutospacing="0"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10.4</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4FC7119E">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荥阳市政府采购合同融资政策告知函</w:t>
            </w:r>
          </w:p>
        </w:tc>
        <w:tc>
          <w:tcPr>
            <w:tcW w:w="6693" w:type="dxa"/>
            <w:tcBorders>
              <w:top w:val="single" w:color="000000" w:sz="4" w:space="0"/>
              <w:left w:val="single" w:color="000000" w:sz="4" w:space="0"/>
              <w:bottom w:val="single" w:color="000000" w:sz="4" w:space="0"/>
              <w:right w:val="single" w:color="000000" w:sz="4" w:space="0"/>
            </w:tcBorders>
            <w:noWrap w:val="0"/>
            <w:vAlign w:val="center"/>
          </w:tcPr>
          <w:p w14:paraId="10F98BE4">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荥阳市政府采购合同融资政策告知函</w:t>
            </w:r>
          </w:p>
          <w:p w14:paraId="24095270">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各供应商：</w:t>
            </w:r>
          </w:p>
          <w:p w14:paraId="1B5C7A02">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欢迎贵公司参与荥阳市政府采购活动！</w:t>
            </w:r>
          </w:p>
          <w:p w14:paraId="7C41D9D5">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号）和《郑州市财政局关于加强和推进政府采购合同融资工作的通知》（郑财购〔2018〕4号），按照双方自愿的原则提供便捷、优惠的贷款服务。</w:t>
            </w:r>
          </w:p>
          <w:p w14:paraId="0C8044AA">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贷款渠道和提供贷款的金融机构，可在荥阳市政府采购网“荥阳市政府采购合同融资入口”或工作动态栏查询联系。</w:t>
            </w:r>
          </w:p>
        </w:tc>
      </w:tr>
      <w:tr w14:paraId="78B541AE">
        <w:tblPrEx>
          <w:tblCellMar>
            <w:top w:w="0" w:type="dxa"/>
            <w:left w:w="0" w:type="dxa"/>
            <w:bottom w:w="0" w:type="dxa"/>
            <w:right w:w="0" w:type="dxa"/>
          </w:tblCellMar>
        </w:tblPrEx>
        <w:trPr>
          <w:trHeight w:val="528"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69FF217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5</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1E15FE61">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特别提醒</w:t>
            </w:r>
          </w:p>
        </w:tc>
        <w:tc>
          <w:tcPr>
            <w:tcW w:w="6693" w:type="dxa"/>
            <w:tcBorders>
              <w:top w:val="single" w:color="000000" w:sz="4" w:space="0"/>
              <w:left w:val="single" w:color="000000" w:sz="4" w:space="0"/>
              <w:bottom w:val="single" w:color="000000" w:sz="4" w:space="0"/>
              <w:right w:val="single" w:color="000000" w:sz="4" w:space="0"/>
            </w:tcBorders>
            <w:noWrap w:val="0"/>
            <w:vAlign w:val="center"/>
          </w:tcPr>
          <w:p w14:paraId="4B6AD4FE">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供应商应在投标截止时间前每日关注“荥阳市公共资源交易中心网站是否刊登本项目招标文件澄清、修改文件，并自行下载，如由于供应商未看到澄清文件而带来的风险，采购人和采购代理机构不承担任何责任。</w:t>
            </w:r>
          </w:p>
          <w:p w14:paraId="3716B3F3">
            <w:pPr>
              <w:keepNext w:val="0"/>
              <w:keepLines w:val="0"/>
              <w:pageBreakBefore w:val="0"/>
              <w:kinsoku/>
              <w:overflowPunct/>
              <w:topLinePunct w:val="0"/>
              <w:bidi w:val="0"/>
              <w:snapToGrid/>
              <w:spacing w:beforeAutospacing="0" w:line="360" w:lineRule="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开标会议结束之后，请各供应商保持在线状态，等候线上二次报价通知。</w:t>
            </w:r>
          </w:p>
        </w:tc>
      </w:tr>
      <w:tr w14:paraId="7388B3BC">
        <w:tblPrEx>
          <w:tblCellMar>
            <w:top w:w="0" w:type="dxa"/>
            <w:left w:w="0" w:type="dxa"/>
            <w:bottom w:w="0" w:type="dxa"/>
            <w:right w:w="0" w:type="dxa"/>
          </w:tblCellMar>
        </w:tblPrEx>
        <w:trPr>
          <w:trHeight w:val="512"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457BBF4A">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6</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09AF7572">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其他要求</w:t>
            </w:r>
          </w:p>
        </w:tc>
        <w:tc>
          <w:tcPr>
            <w:tcW w:w="6693" w:type="dxa"/>
            <w:tcBorders>
              <w:top w:val="single" w:color="000000" w:sz="4" w:space="0"/>
              <w:left w:val="single" w:color="000000" w:sz="4" w:space="0"/>
              <w:bottom w:val="single" w:color="000000" w:sz="4" w:space="0"/>
              <w:right w:val="single" w:color="000000" w:sz="4" w:space="0"/>
            </w:tcBorders>
            <w:noWrap w:val="0"/>
            <w:vAlign w:val="center"/>
          </w:tcPr>
          <w:p w14:paraId="5DE6BA84">
            <w:pPr>
              <w:keepNext w:val="0"/>
              <w:keepLines w:val="0"/>
              <w:pageBreakBefore w:val="0"/>
              <w:numPr>
                <w:ilvl w:val="0"/>
                <w:numId w:val="0"/>
              </w:numPr>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未尽事宜，则按照《政府采购竞争性磋商采购方式管理暂行办法》等法律法规执行。</w:t>
            </w:r>
          </w:p>
          <w:p w14:paraId="512948FB">
            <w:pPr>
              <w:keepNext w:val="0"/>
              <w:keepLines w:val="0"/>
              <w:pageBreakBefore w:val="0"/>
              <w:numPr>
                <w:ilvl w:val="0"/>
                <w:numId w:val="0"/>
              </w:numPr>
              <w:kinsoku/>
              <w:overflowPunct/>
              <w:topLinePunct w:val="0"/>
              <w:bidi w:val="0"/>
              <w:snapToGrid/>
              <w:spacing w:beforeAutospacing="0"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供应商需独立制作、修改和上传</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，若因</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制作机器码与其他供应</w:t>
            </w:r>
            <w:r>
              <w:rPr>
                <w:rFonts w:hint="eastAsia" w:ascii="仿宋" w:hAnsi="仿宋" w:eastAsia="仿宋" w:cs="仿宋"/>
                <w:color w:val="auto"/>
                <w:sz w:val="24"/>
                <w:szCs w:val="24"/>
                <w:highlight w:val="none"/>
                <w:lang w:eastAsia="zh-CN"/>
              </w:rPr>
              <w:t>商一致，机器码一致的所有响应文件按无效文件处理，所造成的不良后果由供应商自行承担。</w:t>
            </w:r>
          </w:p>
          <w:p w14:paraId="0F9E98D5">
            <w:pPr>
              <w:keepNext w:val="0"/>
              <w:keepLines w:val="0"/>
              <w:pageBreakBefore w:val="0"/>
              <w:numPr>
                <w:ilvl w:val="0"/>
                <w:numId w:val="0"/>
              </w:numPr>
              <w:kinsoku/>
              <w:overflowPunct/>
              <w:topLinePunct w:val="0"/>
              <w:bidi w:val="0"/>
              <w:snapToGrid/>
              <w:spacing w:beforeAutospacing="0" w:line="360" w:lineRule="auto"/>
              <w:rPr>
                <w:rFonts w:hint="default" w:eastAsia="仿宋"/>
                <w:color w:val="auto"/>
                <w:highlight w:val="none"/>
                <w:lang w:val="en-US" w:eastAsia="zh-CN"/>
              </w:rPr>
            </w:pPr>
            <w:r>
              <w:rPr>
                <w:rFonts w:hint="eastAsia" w:ascii="仿宋" w:hAnsi="仿宋" w:eastAsia="仿宋" w:cs="仿宋"/>
                <w:color w:val="auto"/>
                <w:sz w:val="24"/>
                <w:szCs w:val="24"/>
                <w:highlight w:val="none"/>
                <w:lang w:val="en-US" w:eastAsia="zh-CN"/>
              </w:rPr>
              <w:t>3.成交公告期后，成交人在领取成交通知书时向采购人提交与加密版投标文件完全一致的叁份纸质响应文件及壹份电子版（U盘）以供存档。</w:t>
            </w:r>
          </w:p>
        </w:tc>
      </w:tr>
    </w:tbl>
    <w:p w14:paraId="4F8F3217">
      <w:pPr>
        <w:pStyle w:val="49"/>
        <w:spacing w:before="0" w:line="360" w:lineRule="auto"/>
        <w:rPr>
          <w:rFonts w:hint="eastAsia" w:ascii="仿宋" w:hAnsi="仿宋" w:eastAsia="仿宋" w:cs="仿宋"/>
          <w:b/>
          <w:color w:val="auto"/>
          <w:sz w:val="24"/>
          <w:szCs w:val="24"/>
          <w:highlight w:val="none"/>
        </w:rPr>
      </w:pPr>
      <w:bookmarkStart w:id="62" w:name="_Toc22280"/>
      <w:bookmarkStart w:id="63" w:name="_Toc23752"/>
      <w:bookmarkStart w:id="64" w:name="_Toc152042305"/>
      <w:bookmarkStart w:id="65" w:name="_Toc144974497"/>
      <w:bookmarkStart w:id="66" w:name="_Toc152045529"/>
      <w:bookmarkStart w:id="67" w:name="_Toc8636"/>
      <w:bookmarkStart w:id="68" w:name="_Toc5252"/>
      <w:r>
        <w:rPr>
          <w:rFonts w:hint="eastAsia" w:ascii="仿宋" w:hAnsi="仿宋" w:eastAsia="仿宋" w:cs="仿宋"/>
          <w:b/>
          <w:color w:val="auto"/>
          <w:sz w:val="24"/>
          <w:szCs w:val="24"/>
          <w:highlight w:val="none"/>
        </w:rPr>
        <w:t>1. 总则</w:t>
      </w:r>
      <w:bookmarkEnd w:id="62"/>
      <w:bookmarkEnd w:id="63"/>
      <w:bookmarkEnd w:id="64"/>
      <w:bookmarkEnd w:id="65"/>
      <w:bookmarkEnd w:id="66"/>
      <w:bookmarkEnd w:id="67"/>
      <w:bookmarkEnd w:id="68"/>
    </w:p>
    <w:p w14:paraId="1EBCCF24">
      <w:pPr>
        <w:pStyle w:val="51"/>
        <w:spacing w:line="360" w:lineRule="auto"/>
        <w:outlineLvl w:val="0"/>
        <w:rPr>
          <w:rFonts w:hint="eastAsia" w:ascii="仿宋" w:hAnsi="仿宋" w:eastAsia="仿宋" w:cs="仿宋"/>
          <w:color w:val="auto"/>
          <w:sz w:val="24"/>
          <w:szCs w:val="24"/>
          <w:highlight w:val="none"/>
        </w:rPr>
      </w:pPr>
      <w:bookmarkStart w:id="69" w:name="_Toc29380"/>
      <w:bookmarkStart w:id="70" w:name="_Toc9545"/>
      <w:bookmarkStart w:id="71" w:name="_Toc532034640"/>
      <w:bookmarkStart w:id="72" w:name="_Toc30682"/>
      <w:bookmarkStart w:id="73" w:name="_Toc144974498"/>
      <w:bookmarkStart w:id="74" w:name="_Toc152045530"/>
      <w:bookmarkStart w:id="75" w:name="_Toc152042306"/>
      <w:bookmarkStart w:id="76" w:name="_Toc18341"/>
      <w:r>
        <w:rPr>
          <w:rFonts w:hint="eastAsia" w:ascii="仿宋" w:hAnsi="仿宋" w:eastAsia="仿宋" w:cs="仿宋"/>
          <w:color w:val="auto"/>
          <w:sz w:val="24"/>
          <w:szCs w:val="24"/>
          <w:highlight w:val="none"/>
        </w:rPr>
        <w:t>1.1 项目概况</w:t>
      </w:r>
      <w:bookmarkEnd w:id="69"/>
      <w:bookmarkEnd w:id="70"/>
      <w:bookmarkEnd w:id="71"/>
      <w:bookmarkEnd w:id="72"/>
      <w:bookmarkEnd w:id="73"/>
      <w:bookmarkEnd w:id="74"/>
      <w:bookmarkEnd w:id="75"/>
      <w:bookmarkEnd w:id="76"/>
    </w:p>
    <w:p w14:paraId="02F72A9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中华人民共和国政府采购法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《政府采购竞争性磋商采购方式管理暂行办法》等有关法律、法规和规章的规定，本采购项目已具备采购条件，现对本项目进行采购。</w:t>
      </w:r>
    </w:p>
    <w:p w14:paraId="53420E6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本采购项目采购人：见供应商须知前附表。</w:t>
      </w:r>
    </w:p>
    <w:p w14:paraId="5B56D42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本项目采购代理机构：见供应商须知前附表。</w:t>
      </w:r>
    </w:p>
    <w:p w14:paraId="6104412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本采购项目名称：见供应商须知前附表。</w:t>
      </w:r>
    </w:p>
    <w:p w14:paraId="1801472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1.1.5本项目</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地点：见供应商须知前附表。</w:t>
      </w:r>
    </w:p>
    <w:p w14:paraId="6E6B2BD6">
      <w:pPr>
        <w:pStyle w:val="51"/>
        <w:spacing w:line="360" w:lineRule="auto"/>
        <w:outlineLvl w:val="0"/>
        <w:rPr>
          <w:rFonts w:hint="eastAsia" w:ascii="仿宋" w:hAnsi="仿宋" w:eastAsia="仿宋" w:cs="仿宋"/>
          <w:color w:val="auto"/>
          <w:sz w:val="24"/>
          <w:szCs w:val="24"/>
          <w:highlight w:val="none"/>
        </w:rPr>
      </w:pPr>
      <w:bookmarkStart w:id="77" w:name="_Toc10480"/>
      <w:bookmarkStart w:id="78" w:name="_Toc23695"/>
      <w:bookmarkStart w:id="79" w:name="_Toc144974499"/>
      <w:bookmarkStart w:id="80" w:name="_Toc532034641"/>
      <w:bookmarkStart w:id="81" w:name="_Toc12091"/>
      <w:bookmarkStart w:id="82" w:name="_Toc152045531"/>
      <w:bookmarkStart w:id="83" w:name="_Toc152042307"/>
      <w:bookmarkStart w:id="84" w:name="_Toc15477"/>
      <w:r>
        <w:rPr>
          <w:rFonts w:hint="eastAsia" w:ascii="仿宋" w:hAnsi="仿宋" w:eastAsia="仿宋" w:cs="仿宋"/>
          <w:color w:val="auto"/>
          <w:sz w:val="24"/>
          <w:szCs w:val="24"/>
          <w:highlight w:val="none"/>
        </w:rPr>
        <w:t>1.2 资金来源和落实情况</w:t>
      </w:r>
      <w:bookmarkEnd w:id="77"/>
      <w:bookmarkEnd w:id="78"/>
      <w:bookmarkEnd w:id="79"/>
      <w:bookmarkEnd w:id="80"/>
      <w:bookmarkEnd w:id="81"/>
      <w:bookmarkEnd w:id="82"/>
      <w:bookmarkEnd w:id="83"/>
      <w:bookmarkEnd w:id="84"/>
    </w:p>
    <w:p w14:paraId="3ED1FDA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本采购项目的资金来源：见供应商须知前附表。</w:t>
      </w:r>
    </w:p>
    <w:p w14:paraId="209507F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本采购项目的出资比例：见供应商须知前附表。</w:t>
      </w:r>
    </w:p>
    <w:p w14:paraId="39A9BD6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本采购项目的资金落实情况：见供应商须知前附表。</w:t>
      </w:r>
    </w:p>
    <w:p w14:paraId="57CE25AC">
      <w:pPr>
        <w:pStyle w:val="51"/>
        <w:spacing w:line="360" w:lineRule="auto"/>
        <w:outlineLvl w:val="0"/>
        <w:rPr>
          <w:rFonts w:hint="eastAsia" w:ascii="仿宋" w:hAnsi="仿宋" w:eastAsia="仿宋" w:cs="仿宋"/>
          <w:color w:val="auto"/>
          <w:sz w:val="24"/>
          <w:szCs w:val="24"/>
          <w:highlight w:val="none"/>
        </w:rPr>
      </w:pPr>
      <w:bookmarkStart w:id="85" w:name="_Toc144974500"/>
      <w:bookmarkStart w:id="86" w:name="_Toc152042308"/>
      <w:bookmarkStart w:id="87" w:name="_Toc152045532"/>
      <w:bookmarkStart w:id="88" w:name="_Toc25747"/>
      <w:bookmarkStart w:id="89" w:name="_Toc532034642"/>
      <w:bookmarkStart w:id="90" w:name="_Toc3519"/>
      <w:bookmarkStart w:id="91" w:name="_Toc13406"/>
      <w:bookmarkStart w:id="92" w:name="_Toc19535"/>
      <w:r>
        <w:rPr>
          <w:rFonts w:hint="eastAsia" w:ascii="仿宋" w:hAnsi="仿宋" w:eastAsia="仿宋" w:cs="仿宋"/>
          <w:color w:val="auto"/>
          <w:sz w:val="24"/>
          <w:szCs w:val="24"/>
          <w:highlight w:val="none"/>
        </w:rPr>
        <w:t>1.3 采购范围、</w:t>
      </w:r>
      <w:r>
        <w:rPr>
          <w:rFonts w:hint="eastAsia" w:ascii="仿宋" w:hAnsi="仿宋" w:eastAsia="仿宋" w:cs="仿宋"/>
          <w:color w:val="auto"/>
          <w:sz w:val="24"/>
          <w:szCs w:val="24"/>
          <w:highlight w:val="none"/>
          <w:lang w:val="en-US" w:eastAsia="zh-CN"/>
        </w:rPr>
        <w:t>工期</w:t>
      </w:r>
      <w:r>
        <w:rPr>
          <w:rFonts w:hint="eastAsia" w:ascii="仿宋" w:hAnsi="仿宋" w:eastAsia="仿宋" w:cs="仿宋"/>
          <w:color w:val="auto"/>
          <w:sz w:val="24"/>
          <w:szCs w:val="24"/>
          <w:highlight w:val="none"/>
        </w:rPr>
        <w:t>和质量</w:t>
      </w:r>
      <w:bookmarkEnd w:id="85"/>
      <w:bookmarkEnd w:id="86"/>
      <w:bookmarkEnd w:id="87"/>
      <w:r>
        <w:rPr>
          <w:rFonts w:hint="eastAsia" w:ascii="仿宋" w:hAnsi="仿宋" w:eastAsia="仿宋" w:cs="仿宋"/>
          <w:color w:val="auto"/>
          <w:sz w:val="24"/>
          <w:szCs w:val="24"/>
          <w:highlight w:val="none"/>
        </w:rPr>
        <w:t>标准</w:t>
      </w:r>
      <w:bookmarkEnd w:id="88"/>
      <w:bookmarkEnd w:id="89"/>
      <w:bookmarkEnd w:id="90"/>
      <w:bookmarkEnd w:id="91"/>
      <w:bookmarkEnd w:id="92"/>
    </w:p>
    <w:p w14:paraId="2A8610B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本次采购范围：见供应商须知前附表。</w:t>
      </w:r>
    </w:p>
    <w:p w14:paraId="6CE6DAB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本项目的</w:t>
      </w:r>
      <w:r>
        <w:rPr>
          <w:rFonts w:hint="eastAsia" w:ascii="仿宋" w:hAnsi="仿宋" w:eastAsia="仿宋" w:cs="仿宋"/>
          <w:color w:val="auto"/>
          <w:sz w:val="24"/>
          <w:szCs w:val="24"/>
          <w:highlight w:val="none"/>
          <w:lang w:val="en-US" w:eastAsia="zh-CN"/>
        </w:rPr>
        <w:t>工期</w:t>
      </w:r>
      <w:r>
        <w:rPr>
          <w:rFonts w:hint="eastAsia" w:ascii="仿宋" w:hAnsi="仿宋" w:eastAsia="仿宋" w:cs="仿宋"/>
          <w:color w:val="auto"/>
          <w:sz w:val="24"/>
          <w:szCs w:val="24"/>
          <w:highlight w:val="none"/>
        </w:rPr>
        <w:t>：见供应商前附表。</w:t>
      </w:r>
    </w:p>
    <w:p w14:paraId="61978C6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本项目的质量标准：见供应商须知前附表。</w:t>
      </w:r>
    </w:p>
    <w:p w14:paraId="497E1784">
      <w:pPr>
        <w:pStyle w:val="51"/>
        <w:spacing w:line="360" w:lineRule="auto"/>
        <w:outlineLvl w:val="0"/>
        <w:rPr>
          <w:rFonts w:hint="eastAsia" w:ascii="仿宋" w:hAnsi="仿宋" w:eastAsia="仿宋" w:cs="仿宋"/>
          <w:color w:val="auto"/>
          <w:sz w:val="24"/>
          <w:szCs w:val="24"/>
          <w:highlight w:val="none"/>
        </w:rPr>
      </w:pPr>
      <w:bookmarkStart w:id="93" w:name="_Toc29494"/>
      <w:bookmarkStart w:id="94" w:name="_Toc6427"/>
      <w:bookmarkStart w:id="95" w:name="_Toc144974502"/>
      <w:bookmarkStart w:id="96" w:name="_Toc152042310"/>
      <w:bookmarkStart w:id="97" w:name="_Toc152045534"/>
      <w:bookmarkStart w:id="98" w:name="_Toc532034643"/>
      <w:bookmarkStart w:id="99" w:name="_Toc2941"/>
      <w:bookmarkStart w:id="100" w:name="_Toc2726"/>
      <w:r>
        <w:rPr>
          <w:rFonts w:hint="eastAsia" w:ascii="仿宋" w:hAnsi="仿宋" w:eastAsia="仿宋" w:cs="仿宋"/>
          <w:color w:val="auto"/>
          <w:sz w:val="24"/>
          <w:szCs w:val="24"/>
          <w:highlight w:val="none"/>
        </w:rPr>
        <w:t>1.4 供货商资格要求</w:t>
      </w:r>
      <w:bookmarkEnd w:id="93"/>
      <w:bookmarkEnd w:id="94"/>
      <w:bookmarkEnd w:id="95"/>
      <w:bookmarkEnd w:id="96"/>
      <w:bookmarkEnd w:id="97"/>
      <w:bookmarkEnd w:id="98"/>
      <w:bookmarkEnd w:id="99"/>
      <w:bookmarkEnd w:id="100"/>
    </w:p>
    <w:p w14:paraId="3D018707">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1.4.1供货商</w:t>
      </w:r>
      <w:r>
        <w:rPr>
          <w:rFonts w:hint="eastAsia" w:ascii="仿宋" w:hAnsi="仿宋" w:eastAsia="仿宋" w:cs="仿宋"/>
          <w:color w:val="auto"/>
          <w:kern w:val="0"/>
          <w:sz w:val="24"/>
          <w:szCs w:val="24"/>
          <w:highlight w:val="none"/>
        </w:rPr>
        <w:t>应具备承担本项目的资格要求：</w:t>
      </w:r>
      <w:r>
        <w:rPr>
          <w:rFonts w:hint="eastAsia" w:ascii="仿宋" w:hAnsi="仿宋" w:eastAsia="仿宋" w:cs="仿宋"/>
          <w:color w:val="auto"/>
          <w:sz w:val="24"/>
          <w:szCs w:val="24"/>
          <w:highlight w:val="none"/>
        </w:rPr>
        <w:t>详见</w:t>
      </w:r>
      <w:r>
        <w:rPr>
          <w:rFonts w:hint="eastAsia" w:ascii="仿宋" w:hAnsi="仿宋" w:eastAsia="仿宋" w:cs="仿宋"/>
          <w:color w:val="auto"/>
          <w:spacing w:val="1"/>
          <w:kern w:val="0"/>
          <w:sz w:val="24"/>
          <w:szCs w:val="24"/>
          <w:highlight w:val="none"/>
        </w:rPr>
        <w:t>供应商</w:t>
      </w:r>
      <w:r>
        <w:rPr>
          <w:rFonts w:hint="eastAsia" w:ascii="仿宋" w:hAnsi="仿宋" w:eastAsia="仿宋" w:cs="仿宋"/>
          <w:color w:val="auto"/>
          <w:sz w:val="24"/>
          <w:szCs w:val="24"/>
          <w:highlight w:val="none"/>
        </w:rPr>
        <w:t>须知前附表；</w:t>
      </w:r>
    </w:p>
    <w:p w14:paraId="77FD699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本次采购不接受联合体投标。</w:t>
      </w:r>
    </w:p>
    <w:p w14:paraId="32A2D8F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 供应商不得存在下列情形之一：</w:t>
      </w:r>
    </w:p>
    <w:p w14:paraId="4EF19FD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（1）为采购人不具有独立法人资格的附属机构（单位）；</w:t>
      </w:r>
    </w:p>
    <w:p w14:paraId="41CDE3A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（2）为本标段前期准备提供设计或咨询服务的，但设计施工总承包的除外；</w:t>
      </w:r>
    </w:p>
    <w:p w14:paraId="238D18E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（3）为本标段提供招标代理服务的；</w:t>
      </w:r>
    </w:p>
    <w:p w14:paraId="75B1B39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（4）被责令停业的；</w:t>
      </w:r>
    </w:p>
    <w:p w14:paraId="26CA87F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（5）被暂停或取消投标资格的；</w:t>
      </w:r>
    </w:p>
    <w:p w14:paraId="0E1C37A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（6）财产被接管或冻结的；</w:t>
      </w:r>
    </w:p>
    <w:p w14:paraId="4686CC7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（7）在最近三年内有骗取中标或严重违约或重大工程质量问题的。</w:t>
      </w:r>
    </w:p>
    <w:p w14:paraId="7786E301">
      <w:pPr>
        <w:pStyle w:val="51"/>
        <w:spacing w:line="360" w:lineRule="auto"/>
        <w:outlineLvl w:val="0"/>
        <w:rPr>
          <w:rFonts w:hint="eastAsia" w:ascii="仿宋" w:hAnsi="仿宋" w:eastAsia="仿宋" w:cs="仿宋"/>
          <w:color w:val="auto"/>
          <w:sz w:val="24"/>
          <w:szCs w:val="24"/>
          <w:highlight w:val="none"/>
        </w:rPr>
      </w:pPr>
      <w:bookmarkStart w:id="101" w:name="_Toc24631"/>
      <w:bookmarkStart w:id="102" w:name="_Toc3633"/>
      <w:bookmarkStart w:id="103" w:name="_Toc152042311"/>
      <w:bookmarkStart w:id="104" w:name="_Toc144974503"/>
      <w:bookmarkStart w:id="105" w:name="_Toc700"/>
      <w:bookmarkStart w:id="106" w:name="_Toc152045535"/>
      <w:bookmarkStart w:id="107" w:name="_Toc8518"/>
      <w:bookmarkStart w:id="108" w:name="_Toc532034644"/>
      <w:r>
        <w:rPr>
          <w:rFonts w:hint="eastAsia" w:ascii="仿宋" w:hAnsi="仿宋" w:eastAsia="仿宋" w:cs="仿宋"/>
          <w:color w:val="auto"/>
          <w:sz w:val="24"/>
          <w:szCs w:val="24"/>
          <w:highlight w:val="none"/>
        </w:rPr>
        <w:t>1.5 费用承担</w:t>
      </w:r>
      <w:bookmarkEnd w:id="101"/>
      <w:bookmarkEnd w:id="102"/>
      <w:bookmarkEnd w:id="103"/>
      <w:bookmarkEnd w:id="104"/>
      <w:bookmarkEnd w:id="105"/>
      <w:bookmarkEnd w:id="106"/>
      <w:bookmarkEnd w:id="107"/>
      <w:bookmarkEnd w:id="108"/>
    </w:p>
    <w:p w14:paraId="7EC08041">
      <w:pPr>
        <w:spacing w:line="360" w:lineRule="auto"/>
        <w:ind w:firstLine="484"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
          <w:kern w:val="0"/>
          <w:sz w:val="24"/>
          <w:szCs w:val="24"/>
          <w:highlight w:val="none"/>
        </w:rPr>
        <w:t>供应商</w:t>
      </w:r>
      <w:r>
        <w:rPr>
          <w:rFonts w:hint="eastAsia" w:ascii="仿宋" w:hAnsi="仿宋" w:eastAsia="仿宋" w:cs="仿宋"/>
          <w:color w:val="auto"/>
          <w:sz w:val="24"/>
          <w:szCs w:val="24"/>
          <w:highlight w:val="none"/>
        </w:rPr>
        <w:t>准备和参加投标活动发生的费用自理。</w:t>
      </w:r>
    </w:p>
    <w:p w14:paraId="2B2C1C08">
      <w:pPr>
        <w:pStyle w:val="51"/>
        <w:spacing w:line="360" w:lineRule="auto"/>
        <w:outlineLvl w:val="0"/>
        <w:rPr>
          <w:rFonts w:hint="eastAsia" w:ascii="仿宋" w:hAnsi="仿宋" w:eastAsia="仿宋" w:cs="仿宋"/>
          <w:color w:val="auto"/>
          <w:sz w:val="24"/>
          <w:szCs w:val="24"/>
          <w:highlight w:val="none"/>
        </w:rPr>
      </w:pPr>
      <w:bookmarkStart w:id="109" w:name="_Toc14437"/>
      <w:bookmarkStart w:id="110" w:name="_Toc19869"/>
      <w:bookmarkStart w:id="111" w:name="_Toc144974504"/>
      <w:bookmarkStart w:id="112" w:name="_Toc532034645"/>
      <w:bookmarkStart w:id="113" w:name="_Toc24308"/>
      <w:bookmarkStart w:id="114" w:name="_Toc152042312"/>
      <w:bookmarkStart w:id="115" w:name="_Toc2957"/>
      <w:bookmarkStart w:id="116" w:name="_Toc152045536"/>
      <w:r>
        <w:rPr>
          <w:rFonts w:hint="eastAsia" w:ascii="仿宋" w:hAnsi="仿宋" w:eastAsia="仿宋" w:cs="仿宋"/>
          <w:color w:val="auto"/>
          <w:sz w:val="24"/>
          <w:szCs w:val="24"/>
          <w:highlight w:val="none"/>
        </w:rPr>
        <w:t>1.6 保密</w:t>
      </w:r>
      <w:bookmarkEnd w:id="109"/>
      <w:bookmarkEnd w:id="110"/>
      <w:bookmarkEnd w:id="111"/>
      <w:bookmarkEnd w:id="112"/>
      <w:bookmarkEnd w:id="113"/>
      <w:bookmarkEnd w:id="114"/>
      <w:bookmarkEnd w:id="115"/>
      <w:bookmarkEnd w:id="116"/>
    </w:p>
    <w:p w14:paraId="1E4A94D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参与采购投标活动的各方应对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中的商业和技术等秘密保密，违者应对由此造成的后果承担法律责任。</w:t>
      </w:r>
    </w:p>
    <w:p w14:paraId="2F471675">
      <w:pPr>
        <w:pStyle w:val="51"/>
        <w:spacing w:line="360" w:lineRule="auto"/>
        <w:outlineLvl w:val="0"/>
        <w:rPr>
          <w:rFonts w:hint="eastAsia" w:ascii="仿宋" w:hAnsi="仿宋" w:eastAsia="仿宋" w:cs="仿宋"/>
          <w:color w:val="auto"/>
          <w:sz w:val="24"/>
          <w:szCs w:val="24"/>
          <w:highlight w:val="none"/>
        </w:rPr>
      </w:pPr>
      <w:bookmarkStart w:id="117" w:name="_Toc144974505"/>
      <w:bookmarkStart w:id="118" w:name="_Toc152042313"/>
      <w:bookmarkStart w:id="119" w:name="_Toc2652"/>
      <w:bookmarkStart w:id="120" w:name="_Toc532034646"/>
      <w:bookmarkStart w:id="121" w:name="_Toc18112"/>
      <w:bookmarkStart w:id="122" w:name="_Toc152045537"/>
      <w:bookmarkStart w:id="123" w:name="_Toc12872"/>
      <w:bookmarkStart w:id="124" w:name="_Toc19933"/>
      <w:r>
        <w:rPr>
          <w:rFonts w:hint="eastAsia" w:ascii="仿宋" w:hAnsi="仿宋" w:eastAsia="仿宋" w:cs="仿宋"/>
          <w:color w:val="auto"/>
          <w:sz w:val="24"/>
          <w:szCs w:val="24"/>
          <w:highlight w:val="none"/>
        </w:rPr>
        <w:t>1.7 语言</w:t>
      </w:r>
      <w:bookmarkEnd w:id="117"/>
      <w:r>
        <w:rPr>
          <w:rFonts w:hint="eastAsia" w:ascii="仿宋" w:hAnsi="仿宋" w:eastAsia="仿宋" w:cs="仿宋"/>
          <w:color w:val="auto"/>
          <w:sz w:val="24"/>
          <w:szCs w:val="24"/>
          <w:highlight w:val="none"/>
        </w:rPr>
        <w:t>文字</w:t>
      </w:r>
      <w:bookmarkEnd w:id="118"/>
      <w:bookmarkEnd w:id="119"/>
      <w:bookmarkEnd w:id="120"/>
      <w:bookmarkEnd w:id="121"/>
      <w:bookmarkEnd w:id="122"/>
      <w:bookmarkEnd w:id="123"/>
      <w:bookmarkEnd w:id="124"/>
    </w:p>
    <w:p w14:paraId="6E2F2EE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除专用术语外，与采购投标有关的语言均使用中文。必要时专用术语应附有中文注释。</w:t>
      </w:r>
    </w:p>
    <w:p w14:paraId="2687824E">
      <w:pPr>
        <w:pStyle w:val="51"/>
        <w:spacing w:line="360" w:lineRule="auto"/>
        <w:outlineLvl w:val="0"/>
        <w:rPr>
          <w:rFonts w:hint="eastAsia" w:ascii="仿宋" w:hAnsi="仿宋" w:eastAsia="仿宋" w:cs="仿宋"/>
          <w:color w:val="auto"/>
          <w:sz w:val="24"/>
          <w:szCs w:val="24"/>
          <w:highlight w:val="none"/>
        </w:rPr>
      </w:pPr>
      <w:bookmarkStart w:id="125" w:name="_Toc10194"/>
      <w:bookmarkStart w:id="126" w:name="_Toc152045538"/>
      <w:bookmarkStart w:id="127" w:name="_Toc15061"/>
      <w:bookmarkStart w:id="128" w:name="_Toc24444"/>
      <w:bookmarkStart w:id="129" w:name="_Toc532034647"/>
      <w:bookmarkStart w:id="130" w:name="_Toc27851"/>
      <w:bookmarkStart w:id="131" w:name="_Toc152042314"/>
      <w:bookmarkStart w:id="132" w:name="_Toc144974506"/>
      <w:r>
        <w:rPr>
          <w:rFonts w:hint="eastAsia" w:ascii="仿宋" w:hAnsi="仿宋" w:eastAsia="仿宋" w:cs="仿宋"/>
          <w:color w:val="auto"/>
          <w:sz w:val="24"/>
          <w:szCs w:val="24"/>
          <w:highlight w:val="none"/>
        </w:rPr>
        <w:t>1.8 计量单位</w:t>
      </w:r>
      <w:bookmarkEnd w:id="125"/>
      <w:bookmarkEnd w:id="126"/>
      <w:bookmarkEnd w:id="127"/>
      <w:bookmarkEnd w:id="128"/>
      <w:bookmarkEnd w:id="129"/>
      <w:bookmarkEnd w:id="130"/>
      <w:bookmarkEnd w:id="131"/>
      <w:bookmarkEnd w:id="132"/>
    </w:p>
    <w:p w14:paraId="3EF8B31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所有计量均采用中华人民共和国法定计量单位。</w:t>
      </w:r>
    </w:p>
    <w:p w14:paraId="4A675D5C">
      <w:pPr>
        <w:pStyle w:val="51"/>
        <w:spacing w:line="360" w:lineRule="auto"/>
        <w:outlineLvl w:val="0"/>
        <w:rPr>
          <w:rFonts w:hint="eastAsia" w:ascii="仿宋" w:hAnsi="仿宋" w:eastAsia="仿宋" w:cs="仿宋"/>
          <w:color w:val="auto"/>
          <w:sz w:val="24"/>
          <w:szCs w:val="24"/>
          <w:highlight w:val="none"/>
        </w:rPr>
      </w:pPr>
      <w:bookmarkStart w:id="133" w:name="_Toc152045539"/>
      <w:bookmarkStart w:id="134" w:name="_Toc12166"/>
      <w:bookmarkStart w:id="135" w:name="_Toc20921"/>
      <w:bookmarkStart w:id="136" w:name="_Toc144974507"/>
      <w:bookmarkStart w:id="137" w:name="_Toc152042315"/>
      <w:bookmarkStart w:id="138" w:name="_Toc532034648"/>
      <w:bookmarkStart w:id="139" w:name="_Toc28426"/>
      <w:bookmarkStart w:id="140" w:name="_Toc21226"/>
      <w:r>
        <w:rPr>
          <w:rFonts w:hint="eastAsia" w:ascii="仿宋" w:hAnsi="仿宋" w:eastAsia="仿宋" w:cs="仿宋"/>
          <w:color w:val="auto"/>
          <w:sz w:val="24"/>
          <w:szCs w:val="24"/>
          <w:highlight w:val="none"/>
        </w:rPr>
        <w:t>1.9 踏勘现场</w:t>
      </w:r>
      <w:bookmarkEnd w:id="133"/>
      <w:bookmarkEnd w:id="134"/>
      <w:bookmarkEnd w:id="135"/>
      <w:bookmarkEnd w:id="136"/>
      <w:bookmarkEnd w:id="137"/>
      <w:bookmarkEnd w:id="138"/>
      <w:bookmarkEnd w:id="139"/>
      <w:bookmarkEnd w:id="140"/>
    </w:p>
    <w:p w14:paraId="33380F8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w:t>
      </w:r>
      <w:bookmarkStart w:id="141" w:name="_Toc152042316"/>
      <w:bookmarkStart w:id="142" w:name="_Toc532034649"/>
      <w:bookmarkStart w:id="143" w:name="_Toc144974508"/>
      <w:bookmarkStart w:id="144" w:name="_Toc152045540"/>
    </w:p>
    <w:p w14:paraId="785669F2">
      <w:pPr>
        <w:pStyle w:val="51"/>
        <w:spacing w:line="360" w:lineRule="auto"/>
        <w:outlineLvl w:val="0"/>
        <w:rPr>
          <w:rFonts w:hint="eastAsia" w:ascii="仿宋" w:hAnsi="仿宋" w:eastAsia="仿宋" w:cs="仿宋"/>
          <w:color w:val="auto"/>
          <w:sz w:val="24"/>
          <w:szCs w:val="24"/>
          <w:highlight w:val="none"/>
        </w:rPr>
      </w:pPr>
      <w:bookmarkStart w:id="145" w:name="_Toc29962"/>
      <w:bookmarkStart w:id="146" w:name="_Toc21569"/>
      <w:bookmarkStart w:id="147" w:name="_Toc4308"/>
      <w:bookmarkStart w:id="148" w:name="_Toc7526"/>
      <w:r>
        <w:rPr>
          <w:rFonts w:hint="eastAsia" w:ascii="仿宋" w:hAnsi="仿宋" w:eastAsia="仿宋" w:cs="仿宋"/>
          <w:color w:val="auto"/>
          <w:sz w:val="24"/>
          <w:szCs w:val="24"/>
          <w:highlight w:val="none"/>
        </w:rPr>
        <w:t>1.10 投标预备会</w:t>
      </w:r>
      <w:bookmarkEnd w:id="141"/>
      <w:bookmarkEnd w:id="142"/>
      <w:bookmarkEnd w:id="143"/>
      <w:bookmarkEnd w:id="144"/>
      <w:bookmarkEnd w:id="145"/>
      <w:bookmarkEnd w:id="146"/>
      <w:bookmarkEnd w:id="147"/>
      <w:bookmarkEnd w:id="148"/>
      <w:bookmarkStart w:id="149" w:name="_Toc532034650"/>
      <w:bookmarkStart w:id="150" w:name="_Toc30593"/>
      <w:bookmarkStart w:id="151" w:name="_Toc144974509"/>
      <w:bookmarkStart w:id="152" w:name="_Toc152045541"/>
      <w:bookmarkStart w:id="153" w:name="_Toc152042317"/>
    </w:p>
    <w:p w14:paraId="461875DB">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不</w:t>
      </w:r>
      <w:bookmarkEnd w:id="149"/>
      <w:bookmarkEnd w:id="150"/>
      <w:bookmarkStart w:id="154" w:name="_Toc532034651"/>
      <w:r>
        <w:rPr>
          <w:rFonts w:hint="eastAsia" w:ascii="仿宋" w:hAnsi="仿宋" w:eastAsia="仿宋" w:cs="仿宋"/>
          <w:color w:val="auto"/>
          <w:sz w:val="24"/>
          <w:szCs w:val="24"/>
          <w:highlight w:val="none"/>
          <w:lang w:val="en-US" w:eastAsia="zh-CN"/>
        </w:rPr>
        <w:t>召开</w:t>
      </w:r>
    </w:p>
    <w:p w14:paraId="2B3B0EE4">
      <w:pPr>
        <w:pStyle w:val="51"/>
        <w:spacing w:line="360" w:lineRule="auto"/>
        <w:outlineLvl w:val="0"/>
        <w:rPr>
          <w:rFonts w:hint="eastAsia" w:ascii="仿宋" w:hAnsi="仿宋" w:eastAsia="仿宋" w:cs="仿宋"/>
          <w:color w:val="auto"/>
          <w:sz w:val="24"/>
          <w:szCs w:val="24"/>
          <w:highlight w:val="none"/>
        </w:rPr>
      </w:pPr>
      <w:bookmarkStart w:id="155" w:name="_Toc31129"/>
      <w:bookmarkStart w:id="156" w:name="_Toc19494"/>
      <w:bookmarkStart w:id="157" w:name="_Toc17800"/>
      <w:bookmarkStart w:id="158" w:name="_Toc4325"/>
      <w:r>
        <w:rPr>
          <w:rFonts w:hint="eastAsia" w:ascii="仿宋" w:hAnsi="仿宋" w:eastAsia="仿宋" w:cs="仿宋"/>
          <w:color w:val="auto"/>
          <w:sz w:val="24"/>
          <w:szCs w:val="24"/>
          <w:highlight w:val="none"/>
        </w:rPr>
        <w:t>1.11 分包</w:t>
      </w:r>
      <w:bookmarkEnd w:id="151"/>
      <w:bookmarkEnd w:id="152"/>
      <w:bookmarkEnd w:id="153"/>
      <w:bookmarkEnd w:id="154"/>
      <w:bookmarkEnd w:id="155"/>
      <w:bookmarkEnd w:id="156"/>
      <w:bookmarkEnd w:id="157"/>
      <w:bookmarkEnd w:id="158"/>
      <w:bookmarkStart w:id="159" w:name="_Toc532034652"/>
      <w:bookmarkStart w:id="160" w:name="_Toc21720"/>
    </w:p>
    <w:p w14:paraId="5441DA8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bookmarkEnd w:id="159"/>
      <w:bookmarkEnd w:id="160"/>
      <w:bookmarkStart w:id="161" w:name="_Toc532034653"/>
    </w:p>
    <w:p w14:paraId="273F6222">
      <w:pPr>
        <w:pStyle w:val="51"/>
        <w:spacing w:line="360" w:lineRule="auto"/>
        <w:outlineLvl w:val="0"/>
        <w:rPr>
          <w:rFonts w:hint="eastAsia" w:ascii="仿宋" w:hAnsi="仿宋" w:eastAsia="仿宋" w:cs="仿宋"/>
          <w:color w:val="auto"/>
          <w:sz w:val="24"/>
          <w:szCs w:val="24"/>
          <w:highlight w:val="none"/>
        </w:rPr>
      </w:pPr>
      <w:bookmarkStart w:id="162" w:name="_Toc30608"/>
      <w:bookmarkStart w:id="163" w:name="_Toc22128"/>
      <w:bookmarkStart w:id="164" w:name="_Toc23455"/>
      <w:bookmarkStart w:id="165" w:name="_Toc191"/>
      <w:r>
        <w:rPr>
          <w:rFonts w:hint="eastAsia" w:ascii="仿宋" w:hAnsi="仿宋" w:eastAsia="仿宋" w:cs="仿宋"/>
          <w:color w:val="auto"/>
          <w:sz w:val="24"/>
          <w:szCs w:val="24"/>
          <w:highlight w:val="none"/>
        </w:rPr>
        <w:t>1.12 偏离</w:t>
      </w:r>
      <w:bookmarkEnd w:id="161"/>
      <w:bookmarkEnd w:id="162"/>
      <w:bookmarkEnd w:id="163"/>
      <w:bookmarkEnd w:id="164"/>
      <w:bookmarkEnd w:id="165"/>
      <w:bookmarkStart w:id="166" w:name="_Toc12632"/>
      <w:bookmarkStart w:id="167" w:name="_Toc532034654"/>
      <w:bookmarkStart w:id="168" w:name="_Toc152042318"/>
      <w:bookmarkStart w:id="169" w:name="_Toc152045542"/>
      <w:bookmarkStart w:id="170" w:name="_Toc144974510"/>
    </w:p>
    <w:p w14:paraId="1FBA2F4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rPr>
        <w:t>允许</w:t>
      </w:r>
      <w:bookmarkEnd w:id="166"/>
      <w:bookmarkEnd w:id="167"/>
    </w:p>
    <w:p w14:paraId="25C7D764">
      <w:pPr>
        <w:pStyle w:val="49"/>
        <w:spacing w:before="0" w:line="360" w:lineRule="auto"/>
        <w:rPr>
          <w:rFonts w:hint="eastAsia" w:ascii="仿宋" w:hAnsi="仿宋" w:eastAsia="仿宋" w:cs="仿宋"/>
          <w:b/>
          <w:color w:val="auto"/>
          <w:sz w:val="24"/>
          <w:szCs w:val="24"/>
          <w:highlight w:val="none"/>
          <w:lang w:eastAsia="zh-CN"/>
        </w:rPr>
      </w:pPr>
      <w:bookmarkStart w:id="171" w:name="_Toc13698"/>
      <w:bookmarkStart w:id="172" w:name="_Toc4614"/>
      <w:bookmarkStart w:id="173" w:name="_Toc742"/>
      <w:bookmarkStart w:id="174" w:name="_Toc32217"/>
      <w:r>
        <w:rPr>
          <w:rFonts w:hint="eastAsia" w:ascii="仿宋" w:hAnsi="仿宋" w:eastAsia="仿宋" w:cs="仿宋"/>
          <w:b/>
          <w:color w:val="auto"/>
          <w:sz w:val="24"/>
          <w:szCs w:val="24"/>
          <w:highlight w:val="none"/>
        </w:rPr>
        <w:t xml:space="preserve">2. </w:t>
      </w:r>
      <w:bookmarkEnd w:id="168"/>
      <w:bookmarkEnd w:id="169"/>
      <w:bookmarkEnd w:id="170"/>
      <w:r>
        <w:rPr>
          <w:rFonts w:hint="eastAsia" w:ascii="仿宋" w:hAnsi="仿宋" w:eastAsia="仿宋" w:cs="仿宋"/>
          <w:b/>
          <w:color w:val="auto"/>
          <w:sz w:val="24"/>
          <w:szCs w:val="24"/>
          <w:highlight w:val="none"/>
          <w:lang w:eastAsia="zh-CN"/>
        </w:rPr>
        <w:t>磋商文件</w:t>
      </w:r>
      <w:bookmarkEnd w:id="171"/>
      <w:bookmarkEnd w:id="172"/>
      <w:bookmarkEnd w:id="173"/>
      <w:bookmarkEnd w:id="174"/>
    </w:p>
    <w:p w14:paraId="6C2B5AD6">
      <w:pPr>
        <w:pStyle w:val="51"/>
        <w:spacing w:line="360" w:lineRule="auto"/>
        <w:outlineLvl w:val="0"/>
        <w:rPr>
          <w:rFonts w:hint="eastAsia" w:ascii="仿宋" w:hAnsi="仿宋" w:eastAsia="仿宋" w:cs="仿宋"/>
          <w:color w:val="auto"/>
          <w:sz w:val="24"/>
          <w:szCs w:val="24"/>
          <w:highlight w:val="none"/>
        </w:rPr>
      </w:pPr>
      <w:bookmarkStart w:id="175" w:name="_Toc152042319"/>
      <w:bookmarkStart w:id="176" w:name="_Toc1427"/>
      <w:bookmarkStart w:id="177" w:name="_Toc23944"/>
      <w:bookmarkStart w:id="178" w:name="_Toc152045543"/>
      <w:bookmarkStart w:id="179" w:name="_Toc8110"/>
      <w:bookmarkStart w:id="180" w:name="_Toc144974511"/>
      <w:bookmarkStart w:id="181" w:name="_Toc532034656"/>
      <w:bookmarkStart w:id="182" w:name="_Toc23367"/>
      <w:r>
        <w:rPr>
          <w:rFonts w:hint="eastAsia"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w:t>
      </w:r>
      <w:bookmarkEnd w:id="175"/>
      <w:bookmarkEnd w:id="176"/>
      <w:bookmarkEnd w:id="177"/>
      <w:bookmarkEnd w:id="178"/>
      <w:bookmarkEnd w:id="179"/>
      <w:bookmarkEnd w:id="180"/>
      <w:bookmarkEnd w:id="181"/>
      <w:bookmarkEnd w:id="182"/>
    </w:p>
    <w:p w14:paraId="64EA82DC">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包括：</w:t>
      </w:r>
    </w:p>
    <w:p w14:paraId="24EC95C3">
      <w:pPr>
        <w:tabs>
          <w:tab w:val="left" w:pos="1260"/>
        </w:tabs>
        <w:autoSpaceDE w:val="0"/>
        <w:autoSpaceDN w:val="0"/>
        <w:adjustRightInd w:val="0"/>
        <w:spacing w:line="360" w:lineRule="auto"/>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公告</w:t>
      </w:r>
    </w:p>
    <w:p w14:paraId="50FA25BA">
      <w:pPr>
        <w:tabs>
          <w:tab w:val="left" w:pos="1260"/>
        </w:tabs>
        <w:autoSpaceDE w:val="0"/>
        <w:autoSpaceDN w:val="0"/>
        <w:adjustRightInd w:val="0"/>
        <w:spacing w:line="360" w:lineRule="auto"/>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（2）供应商须知；</w:t>
      </w:r>
    </w:p>
    <w:p w14:paraId="18570747">
      <w:pPr>
        <w:tabs>
          <w:tab w:val="left" w:pos="1260"/>
        </w:tabs>
        <w:autoSpaceDE w:val="0"/>
        <w:autoSpaceDN w:val="0"/>
        <w:adjustRightInd w:val="0"/>
        <w:spacing w:line="360" w:lineRule="auto"/>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办法；</w:t>
      </w:r>
    </w:p>
    <w:p w14:paraId="563F5AEA">
      <w:pPr>
        <w:tabs>
          <w:tab w:val="left" w:pos="1260"/>
        </w:tabs>
        <w:autoSpaceDE w:val="0"/>
        <w:autoSpaceDN w:val="0"/>
        <w:adjustRightInd w:val="0"/>
        <w:spacing w:line="360" w:lineRule="auto"/>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（4）合同条款及格式；</w:t>
      </w:r>
    </w:p>
    <w:p w14:paraId="51C024DB">
      <w:pPr>
        <w:tabs>
          <w:tab w:val="left" w:pos="1260"/>
        </w:tabs>
        <w:autoSpaceDE w:val="0"/>
        <w:autoSpaceDN w:val="0"/>
        <w:adjustRightInd w:val="0"/>
        <w:spacing w:line="360" w:lineRule="auto"/>
        <w:ind w:firstLine="484" w:firstLineChars="202"/>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（5）工程量清单；</w:t>
      </w:r>
    </w:p>
    <w:p w14:paraId="6B1BB19D">
      <w:pPr>
        <w:tabs>
          <w:tab w:val="left" w:pos="1260"/>
        </w:tabs>
        <w:autoSpaceDE w:val="0"/>
        <w:autoSpaceDN w:val="0"/>
        <w:adjustRightInd w:val="0"/>
        <w:spacing w:line="360" w:lineRule="auto"/>
        <w:ind w:firstLine="484" w:firstLineChars="202"/>
        <w:jc w:val="left"/>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（6）图纸</w:t>
      </w:r>
    </w:p>
    <w:p w14:paraId="67AEE618">
      <w:pPr>
        <w:tabs>
          <w:tab w:val="left" w:pos="1260"/>
        </w:tabs>
        <w:autoSpaceDE w:val="0"/>
        <w:autoSpaceDN w:val="0"/>
        <w:adjustRightInd w:val="0"/>
        <w:spacing w:line="360" w:lineRule="auto"/>
        <w:ind w:firstLine="484" w:firstLineChars="202"/>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zh-CN" w:eastAsia="zh-CN" w:bidi="ar-SA"/>
        </w:rPr>
        <w:t>技术标准和要求</w:t>
      </w:r>
      <w:r>
        <w:rPr>
          <w:rFonts w:hint="eastAsia" w:ascii="仿宋" w:hAnsi="仿宋" w:eastAsia="仿宋" w:cs="仿宋"/>
          <w:color w:val="auto"/>
          <w:kern w:val="2"/>
          <w:sz w:val="24"/>
          <w:szCs w:val="24"/>
          <w:highlight w:val="none"/>
          <w:lang w:val="en-US" w:eastAsia="zh-CN" w:bidi="ar-SA"/>
        </w:rPr>
        <w:t>；</w:t>
      </w:r>
    </w:p>
    <w:p w14:paraId="5FE3D3F1">
      <w:pPr>
        <w:tabs>
          <w:tab w:val="left" w:pos="1260"/>
        </w:tabs>
        <w:autoSpaceDE w:val="0"/>
        <w:autoSpaceDN w:val="0"/>
        <w:adjustRightInd w:val="0"/>
        <w:spacing w:line="360" w:lineRule="auto"/>
        <w:ind w:firstLine="484" w:firstLineChars="202"/>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（8）响应文件格式；</w:t>
      </w:r>
    </w:p>
    <w:p w14:paraId="7F593E3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根据本章第1.10款、第2.2款和第2.3款对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所作的澄清、修改，构成</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的组成部分。</w:t>
      </w:r>
    </w:p>
    <w:p w14:paraId="20ADD8DF">
      <w:pPr>
        <w:pStyle w:val="51"/>
        <w:spacing w:line="360" w:lineRule="auto"/>
        <w:outlineLvl w:val="0"/>
        <w:rPr>
          <w:rFonts w:hint="eastAsia" w:ascii="仿宋" w:hAnsi="仿宋" w:eastAsia="仿宋" w:cs="仿宋"/>
          <w:color w:val="auto"/>
          <w:sz w:val="24"/>
          <w:szCs w:val="24"/>
          <w:highlight w:val="none"/>
        </w:rPr>
      </w:pPr>
      <w:bookmarkStart w:id="183" w:name="_Toc144974512"/>
      <w:bookmarkStart w:id="184" w:name="_Toc17993"/>
      <w:bookmarkStart w:id="185" w:name="_Toc532034657"/>
      <w:bookmarkStart w:id="186" w:name="_Toc628"/>
      <w:bookmarkStart w:id="187" w:name="_Toc152042320"/>
      <w:bookmarkStart w:id="188" w:name="_Toc9630"/>
      <w:bookmarkStart w:id="189" w:name="_Toc1229"/>
      <w:bookmarkStart w:id="190" w:name="_Toc152045544"/>
      <w:r>
        <w:rPr>
          <w:rFonts w:hint="eastAsia"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的澄清</w:t>
      </w:r>
      <w:bookmarkEnd w:id="183"/>
      <w:bookmarkEnd w:id="184"/>
      <w:bookmarkEnd w:id="185"/>
      <w:bookmarkEnd w:id="186"/>
      <w:bookmarkEnd w:id="187"/>
      <w:bookmarkEnd w:id="188"/>
      <w:bookmarkEnd w:id="189"/>
      <w:bookmarkEnd w:id="190"/>
    </w:p>
    <w:p w14:paraId="3780CFE5">
      <w:pPr>
        <w:spacing w:line="360" w:lineRule="auto"/>
        <w:ind w:firstLine="480" w:firstLineChars="200"/>
        <w:rPr>
          <w:rFonts w:hint="eastAsia" w:ascii="仿宋" w:hAnsi="仿宋" w:eastAsia="仿宋" w:cs="仿宋"/>
          <w:color w:val="auto"/>
          <w:sz w:val="24"/>
          <w:szCs w:val="24"/>
          <w:highlight w:val="none"/>
        </w:rPr>
      </w:pPr>
      <w:bookmarkStart w:id="191" w:name="_Toc6732"/>
      <w:bookmarkStart w:id="192" w:name="_Toc152045545"/>
      <w:bookmarkStart w:id="193" w:name="_Toc144974513"/>
      <w:bookmarkStart w:id="194" w:name="_Toc152042321"/>
      <w:bookmarkStart w:id="195" w:name="_Toc152042322"/>
      <w:bookmarkStart w:id="196" w:name="_Toc144974514"/>
      <w:bookmarkStart w:id="197" w:name="_Toc152045546"/>
      <w:r>
        <w:rPr>
          <w:rFonts w:hint="eastAsia" w:ascii="仿宋" w:hAnsi="仿宋" w:eastAsia="仿宋" w:cs="仿宋"/>
          <w:color w:val="auto"/>
          <w:sz w:val="24"/>
          <w:szCs w:val="24"/>
          <w:highlight w:val="none"/>
        </w:rPr>
        <w:t>2.2.1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应仔细阅读和检查</w:t>
      </w:r>
      <w:r>
        <w:rPr>
          <w:rFonts w:hint="eastAsia" w:ascii="仿宋" w:hAnsi="仿宋" w:eastAsia="仿宋" w:cs="仿宋"/>
          <w:color w:val="auto"/>
          <w:sz w:val="24"/>
          <w:szCs w:val="24"/>
          <w:highlight w:val="none"/>
          <w:lang w:val="en-US" w:eastAsia="zh-CN"/>
        </w:rPr>
        <w:t>竞争性</w:t>
      </w:r>
      <w:r>
        <w:rPr>
          <w:rFonts w:hint="eastAsia" w:ascii="仿宋" w:hAnsi="仿宋" w:eastAsia="仿宋" w:cs="仿宋"/>
          <w:color w:val="auto"/>
          <w:sz w:val="24"/>
          <w:szCs w:val="24"/>
          <w:highlight w:val="none"/>
        </w:rPr>
        <w:t>磋商文件的全部内容。如发现缺页或附件不全，应及时向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提出，以便补齐。如有疑问，应在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须知前附表规定的时间前以书面形式（包括信函、电报、传真等可以有形地表现所载内容的形式，下同），要求</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对磋商文件予以澄清，否则由此引起的任何后果均由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自己承担，</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均不承担任何责任。</w:t>
      </w:r>
    </w:p>
    <w:p w14:paraId="3E3C0EC2">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2.2.2</w:t>
      </w:r>
      <w:r>
        <w:rPr>
          <w:rFonts w:hint="eastAsia" w:ascii="仿宋" w:hAnsi="仿宋" w:eastAsia="仿宋" w:cs="仿宋"/>
          <w:color w:val="auto"/>
          <w:sz w:val="24"/>
          <w:szCs w:val="24"/>
          <w:highlight w:val="none"/>
          <w:lang w:val="en-US" w:eastAsia="zh-CN"/>
        </w:rPr>
        <w:t>竞争性</w:t>
      </w:r>
      <w:r>
        <w:rPr>
          <w:rFonts w:hint="eastAsia" w:ascii="仿宋" w:hAnsi="仿宋" w:eastAsia="仿宋" w:cs="仿宋"/>
          <w:color w:val="auto"/>
          <w:sz w:val="24"/>
          <w:szCs w:val="24"/>
          <w:highlight w:val="none"/>
        </w:rPr>
        <w:t>磋商文件的澄清将在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须知前附表规定的提交响应文件截止时间5天前通过“荥阳市公共资源交易中心平台”发给所有</w:t>
      </w:r>
      <w:r>
        <w:rPr>
          <w:rFonts w:hint="eastAsia" w:ascii="仿宋" w:hAnsi="仿宋" w:eastAsia="仿宋" w:cs="仿宋"/>
          <w:color w:val="auto"/>
          <w:sz w:val="24"/>
          <w:szCs w:val="24"/>
          <w:highlight w:val="none"/>
          <w:lang w:val="en-US" w:eastAsia="zh-CN"/>
        </w:rPr>
        <w:t>获取</w:t>
      </w:r>
      <w:r>
        <w:rPr>
          <w:rFonts w:hint="eastAsia" w:ascii="仿宋" w:hAnsi="仿宋" w:eastAsia="仿宋" w:cs="仿宋"/>
          <w:color w:val="auto"/>
          <w:sz w:val="24"/>
          <w:szCs w:val="24"/>
          <w:highlight w:val="none"/>
        </w:rPr>
        <w:t>磋商文件的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，但不指明澄清问题的来源</w:t>
      </w:r>
      <w:r>
        <w:rPr>
          <w:rFonts w:hint="eastAsia" w:ascii="仿宋" w:hAnsi="仿宋" w:eastAsia="仿宋" w:cs="仿宋"/>
          <w:color w:val="auto"/>
          <w:sz w:val="24"/>
          <w:szCs w:val="24"/>
          <w:highlight w:val="none"/>
          <w:lang w:eastAsia="zh-CN"/>
        </w:rPr>
        <w:t>。</w:t>
      </w:r>
    </w:p>
    <w:p w14:paraId="4597EAA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z w:val="24"/>
          <w:szCs w:val="24"/>
          <w:highlight w:val="none"/>
        </w:rPr>
        <w:t>请各供应商及时关注交易平台，因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未看到或其他原因造成的后果，由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自行承担。</w:t>
      </w:r>
    </w:p>
    <w:p w14:paraId="5922B75E">
      <w:pPr>
        <w:pStyle w:val="51"/>
        <w:spacing w:line="360" w:lineRule="auto"/>
        <w:outlineLvl w:val="0"/>
        <w:rPr>
          <w:rFonts w:hint="eastAsia" w:ascii="仿宋" w:hAnsi="仿宋" w:eastAsia="仿宋" w:cs="仿宋"/>
          <w:color w:val="auto"/>
          <w:sz w:val="24"/>
          <w:szCs w:val="24"/>
          <w:highlight w:val="none"/>
        </w:rPr>
      </w:pPr>
      <w:bookmarkStart w:id="198" w:name="_Toc22646"/>
      <w:bookmarkStart w:id="199" w:name="_Toc11514"/>
      <w:bookmarkStart w:id="200" w:name="_Toc28594"/>
      <w:bookmarkStart w:id="201" w:name="_Toc19567"/>
      <w:r>
        <w:rPr>
          <w:rFonts w:hint="eastAsia" w:ascii="仿宋" w:hAnsi="仿宋" w:eastAsia="仿宋" w:cs="仿宋"/>
          <w:color w:val="auto"/>
          <w:sz w:val="24"/>
          <w:szCs w:val="24"/>
          <w:highlight w:val="none"/>
        </w:rPr>
        <w:t xml:space="preserve">2.3 </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的修改</w:t>
      </w:r>
      <w:bookmarkEnd w:id="191"/>
      <w:bookmarkEnd w:id="192"/>
      <w:bookmarkEnd w:id="193"/>
      <w:bookmarkEnd w:id="194"/>
      <w:bookmarkEnd w:id="198"/>
      <w:bookmarkEnd w:id="199"/>
      <w:bookmarkEnd w:id="200"/>
      <w:bookmarkEnd w:id="201"/>
    </w:p>
    <w:p w14:paraId="54BC34B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在提交响应文件截止5天前，</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可以书面形式修改磋商文件，并通过“荥阳市公共资源交易中心平台”通知所有已</w:t>
      </w:r>
      <w:r>
        <w:rPr>
          <w:rFonts w:hint="eastAsia" w:ascii="仿宋" w:hAnsi="仿宋" w:eastAsia="仿宋" w:cs="仿宋"/>
          <w:color w:val="auto"/>
          <w:sz w:val="24"/>
          <w:szCs w:val="24"/>
          <w:highlight w:val="none"/>
          <w:lang w:val="en-US" w:eastAsia="zh-CN"/>
        </w:rPr>
        <w:t>获取</w:t>
      </w:r>
      <w:r>
        <w:rPr>
          <w:rFonts w:hint="eastAsia" w:ascii="仿宋" w:hAnsi="仿宋" w:eastAsia="仿宋" w:cs="仿宋"/>
          <w:color w:val="auto"/>
          <w:sz w:val="24"/>
          <w:szCs w:val="24"/>
          <w:highlight w:val="none"/>
        </w:rPr>
        <w:t>磋商文件的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。如果修改磋商文件的时间距提交响应文件截止时间不足5天，相应延长提交响应文件截止时间。</w:t>
      </w:r>
    </w:p>
    <w:p w14:paraId="3EC84A90">
      <w:pPr>
        <w:keepNext w:val="0"/>
        <w:keepLines w:val="0"/>
        <w:pageBreakBefore w:val="0"/>
        <w:widowControl w:val="0"/>
        <w:kinsoku/>
        <w:wordWrap/>
        <w:overflowPunct/>
        <w:topLinePunct w:val="0"/>
        <w:autoSpaceDE/>
        <w:autoSpaceDN/>
        <w:bidi w:val="0"/>
        <w:adjustRightInd/>
        <w:snapToGrid/>
        <w:spacing w:line="360" w:lineRule="auto"/>
        <w:ind w:left="100" w:right="0"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2.3.2请各供应商及时关注交易平台，因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未看到或其他原因造成的后果，由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自行承担。</w:t>
      </w:r>
      <w:bookmarkStart w:id="202" w:name="_Toc31734"/>
      <w:bookmarkStart w:id="203" w:name="_Toc21595"/>
      <w:bookmarkStart w:id="204" w:name="_Toc14329"/>
    </w:p>
    <w:bookmarkEnd w:id="195"/>
    <w:bookmarkEnd w:id="196"/>
    <w:bookmarkEnd w:id="197"/>
    <w:p w14:paraId="4415D4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lang w:eastAsia="zh-CN"/>
        </w:rPr>
        <w:t>响应文件</w:t>
      </w:r>
      <w:bookmarkEnd w:id="202"/>
      <w:bookmarkEnd w:id="203"/>
      <w:bookmarkEnd w:id="204"/>
      <w:bookmarkStart w:id="205" w:name="_Toc144974515"/>
      <w:bookmarkStart w:id="206" w:name="_Toc16017"/>
      <w:bookmarkStart w:id="207" w:name="_Toc25805"/>
      <w:bookmarkStart w:id="208" w:name="_Toc152042323"/>
      <w:bookmarkStart w:id="209" w:name="_Toc532034660"/>
      <w:bookmarkStart w:id="210" w:name="_Toc32008"/>
      <w:bookmarkStart w:id="211" w:name="_Toc152045547"/>
    </w:p>
    <w:p w14:paraId="07C9BA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3.1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的组成</w:t>
      </w:r>
      <w:bookmarkEnd w:id="205"/>
      <w:bookmarkEnd w:id="206"/>
      <w:bookmarkEnd w:id="207"/>
      <w:bookmarkEnd w:id="208"/>
      <w:bookmarkEnd w:id="209"/>
      <w:bookmarkEnd w:id="210"/>
      <w:bookmarkEnd w:id="211"/>
    </w:p>
    <w:p w14:paraId="510EE9B5">
      <w:pPr>
        <w:pStyle w:val="24"/>
        <w:tabs>
          <w:tab w:val="left" w:pos="1260"/>
          <w:tab w:val="left" w:pos="1455"/>
        </w:tabs>
        <w:adjustRightInd/>
        <w:spacing w:before="0" w:after="0" w:line="360" w:lineRule="auto"/>
        <w:ind w:right="-63" w:rightChars="-30" w:firstLine="480" w:firstLineChars="200"/>
        <w:jc w:val="both"/>
        <w:textAlignment w:val="auto"/>
        <w:outlineLvl w:val="9"/>
        <w:rPr>
          <w:rFonts w:hint="eastAsia" w:ascii="仿宋" w:hAnsi="仿宋" w:eastAsia="仿宋" w:cs="仿宋"/>
          <w:color w:val="auto"/>
          <w:sz w:val="24"/>
          <w:szCs w:val="24"/>
          <w:highlight w:val="none"/>
        </w:rPr>
      </w:pPr>
      <w:bookmarkStart w:id="212" w:name="_Toc20961"/>
      <w:bookmarkStart w:id="213" w:name="_Toc3035"/>
      <w:bookmarkStart w:id="214" w:name="_Toc256519658"/>
      <w:bookmarkStart w:id="215" w:name="_Toc12446"/>
      <w:bookmarkStart w:id="216" w:name="_Toc532034661"/>
      <w:bookmarkStart w:id="217" w:name="_Toc4356"/>
      <w:bookmarkStart w:id="218" w:name="_Toc152042324"/>
      <w:bookmarkStart w:id="219" w:name="_Toc144974516"/>
      <w:bookmarkStart w:id="220" w:name="_Toc152045548"/>
      <w:r>
        <w:rPr>
          <w:rFonts w:hint="eastAsia" w:ascii="仿宋" w:hAnsi="仿宋" w:eastAsia="仿宋" w:cs="仿宋"/>
          <w:b w:val="0"/>
          <w:color w:val="auto"/>
          <w:sz w:val="24"/>
          <w:szCs w:val="24"/>
          <w:highlight w:val="none"/>
        </w:rPr>
        <w:t>3.1.1</w:t>
      </w:r>
      <w:r>
        <w:rPr>
          <w:rFonts w:hint="eastAsia" w:ascii="仿宋" w:hAnsi="仿宋" w:eastAsia="仿宋" w:cs="仿宋"/>
          <w:b w:val="0"/>
          <w:color w:val="auto"/>
          <w:sz w:val="24"/>
          <w:szCs w:val="24"/>
          <w:highlight w:val="none"/>
          <w:lang w:eastAsia="zh-CN"/>
        </w:rPr>
        <w:t>响应文件</w:t>
      </w:r>
      <w:r>
        <w:rPr>
          <w:rFonts w:hint="eastAsia" w:ascii="仿宋" w:hAnsi="仿宋" w:eastAsia="仿宋" w:cs="仿宋"/>
          <w:b w:val="0"/>
          <w:color w:val="auto"/>
          <w:sz w:val="24"/>
          <w:szCs w:val="24"/>
          <w:highlight w:val="none"/>
        </w:rPr>
        <w:t>应包括下列内容：</w:t>
      </w:r>
      <w:bookmarkEnd w:id="212"/>
      <w:bookmarkEnd w:id="213"/>
      <w:bookmarkEnd w:id="214"/>
      <w:bookmarkEnd w:id="215"/>
      <w:bookmarkEnd w:id="216"/>
      <w:bookmarkEnd w:id="217"/>
    </w:p>
    <w:p w14:paraId="5C40BD74">
      <w:pPr>
        <w:spacing w:line="360" w:lineRule="auto"/>
        <w:ind w:firstLine="480" w:firstLineChars="200"/>
        <w:rPr>
          <w:rFonts w:hint="eastAsia" w:ascii="仿宋" w:hAnsi="仿宋" w:eastAsia="仿宋" w:cs="仿宋"/>
          <w:color w:val="auto"/>
          <w:sz w:val="24"/>
          <w:szCs w:val="24"/>
          <w:highlight w:val="none"/>
        </w:rPr>
      </w:pPr>
      <w:bookmarkStart w:id="221" w:name="_Toc532034662"/>
      <w:bookmarkStart w:id="222" w:name="_Toc11833"/>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函及</w:t>
      </w: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一览表</w:t>
      </w:r>
    </w:p>
    <w:p w14:paraId="03EE93C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二、法定代表人身份证明及授权委托书</w:t>
      </w:r>
    </w:p>
    <w:p w14:paraId="693BF1D2">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响应承诺函</w:t>
      </w:r>
    </w:p>
    <w:p w14:paraId="50B55C6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已标价工程量清单</w:t>
      </w:r>
    </w:p>
    <w:p w14:paraId="195B029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资格证明文件</w:t>
      </w:r>
    </w:p>
    <w:p w14:paraId="5A09A23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、技术文件</w:t>
      </w:r>
    </w:p>
    <w:p w14:paraId="5515CCB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七、项目管理机构</w:t>
      </w:r>
    </w:p>
    <w:p w14:paraId="3A7C6A1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、供应商认为与本次项目有关的其他材料</w:t>
      </w:r>
    </w:p>
    <w:p w14:paraId="5E33FE93">
      <w:pPr>
        <w:pStyle w:val="51"/>
        <w:spacing w:line="360" w:lineRule="auto"/>
        <w:outlineLvl w:val="0"/>
        <w:rPr>
          <w:rFonts w:hint="eastAsia" w:ascii="仿宋" w:hAnsi="仿宋" w:eastAsia="仿宋" w:cs="仿宋"/>
          <w:color w:val="auto"/>
          <w:sz w:val="24"/>
          <w:szCs w:val="24"/>
          <w:highlight w:val="none"/>
        </w:rPr>
      </w:pPr>
      <w:bookmarkStart w:id="223" w:name="_Toc1817"/>
      <w:bookmarkStart w:id="224" w:name="_Toc29179"/>
      <w:bookmarkStart w:id="225" w:name="_Toc20315"/>
      <w:r>
        <w:rPr>
          <w:rFonts w:hint="eastAsia" w:ascii="仿宋" w:hAnsi="仿宋" w:eastAsia="仿宋" w:cs="仿宋"/>
          <w:color w:val="auto"/>
          <w:sz w:val="24"/>
          <w:szCs w:val="24"/>
          <w:highlight w:val="none"/>
        </w:rPr>
        <w:t>3.2 投标报价</w:t>
      </w:r>
      <w:bookmarkEnd w:id="218"/>
      <w:bookmarkEnd w:id="219"/>
      <w:bookmarkEnd w:id="220"/>
      <w:bookmarkEnd w:id="221"/>
      <w:bookmarkEnd w:id="222"/>
      <w:bookmarkEnd w:id="223"/>
      <w:bookmarkEnd w:id="224"/>
      <w:bookmarkEnd w:id="225"/>
    </w:p>
    <w:p w14:paraId="6D710BD1">
      <w:pPr>
        <w:spacing w:line="360" w:lineRule="auto"/>
        <w:ind w:firstLine="480" w:firstLineChars="200"/>
        <w:outlineLvl w:val="0"/>
        <w:rPr>
          <w:rFonts w:hint="eastAsia" w:ascii="仿宋" w:hAnsi="仿宋" w:eastAsia="仿宋" w:cs="仿宋"/>
          <w:color w:val="auto"/>
          <w:sz w:val="24"/>
          <w:szCs w:val="24"/>
          <w:highlight w:val="none"/>
          <w:lang w:val="en-US" w:eastAsia="zh-CN"/>
        </w:rPr>
      </w:pPr>
      <w:bookmarkStart w:id="226" w:name="_Toc25581"/>
      <w:bookmarkStart w:id="227" w:name="_Toc152045549"/>
      <w:bookmarkStart w:id="228" w:name="_Toc13404"/>
      <w:bookmarkStart w:id="229" w:name="_Toc144974517"/>
      <w:bookmarkStart w:id="230" w:name="_Toc29629"/>
      <w:bookmarkStart w:id="231" w:name="_Toc14685"/>
      <w:bookmarkStart w:id="232" w:name="_Toc152042325"/>
      <w:bookmarkStart w:id="233" w:name="_Toc532034663"/>
      <w:bookmarkStart w:id="234" w:name="_Toc686"/>
      <w:r>
        <w:rPr>
          <w:rFonts w:hint="eastAsia" w:ascii="仿宋" w:hAnsi="仿宋" w:eastAsia="仿宋" w:cs="仿宋"/>
          <w:color w:val="auto"/>
          <w:sz w:val="24"/>
          <w:szCs w:val="24"/>
          <w:highlight w:val="none"/>
          <w:lang w:val="en-US" w:eastAsia="zh-CN"/>
        </w:rPr>
        <w:t>3.2.1 响应报价应包括国家规定的增值税税金，除供应商须知前附表另有规定外，增值税税金按一般计税方法计算。供应商应按第八章“响应文件格式”的要求在投标函中进行报价。</w:t>
      </w:r>
      <w:bookmarkEnd w:id="226"/>
    </w:p>
    <w:p w14:paraId="7773BC47">
      <w:pPr>
        <w:spacing w:line="360" w:lineRule="auto"/>
        <w:ind w:firstLine="480" w:firstLineChars="200"/>
        <w:outlineLvl w:val="0"/>
        <w:rPr>
          <w:rFonts w:hint="eastAsia" w:ascii="仿宋" w:hAnsi="仿宋" w:eastAsia="仿宋" w:cs="仿宋"/>
          <w:color w:val="auto"/>
          <w:sz w:val="24"/>
          <w:szCs w:val="24"/>
          <w:highlight w:val="none"/>
          <w:lang w:val="en-US" w:eastAsia="zh-CN"/>
        </w:rPr>
      </w:pPr>
      <w:bookmarkStart w:id="235" w:name="_Toc24363"/>
      <w:r>
        <w:rPr>
          <w:rFonts w:hint="eastAsia" w:ascii="仿宋" w:hAnsi="仿宋" w:eastAsia="仿宋" w:cs="仿宋"/>
          <w:color w:val="auto"/>
          <w:sz w:val="24"/>
          <w:szCs w:val="24"/>
          <w:highlight w:val="none"/>
          <w:lang w:val="en-US" w:eastAsia="zh-CN"/>
        </w:rPr>
        <w:t>3.2.2 供应商应充分了解该项目的总体情况以及影响投标报价的其他要素。</w:t>
      </w:r>
      <w:bookmarkEnd w:id="235"/>
    </w:p>
    <w:p w14:paraId="76E0999F">
      <w:pPr>
        <w:spacing w:line="360" w:lineRule="auto"/>
        <w:ind w:firstLine="480" w:firstLineChars="200"/>
        <w:outlineLvl w:val="0"/>
        <w:rPr>
          <w:rFonts w:hint="eastAsia" w:ascii="仿宋" w:hAnsi="仿宋" w:eastAsia="仿宋" w:cs="仿宋"/>
          <w:color w:val="auto"/>
          <w:sz w:val="24"/>
          <w:szCs w:val="24"/>
          <w:highlight w:val="none"/>
          <w:lang w:val="en-US" w:eastAsia="zh-CN"/>
        </w:rPr>
      </w:pPr>
      <w:bookmarkStart w:id="236" w:name="_Toc32358"/>
      <w:r>
        <w:rPr>
          <w:rFonts w:hint="eastAsia" w:ascii="仿宋" w:hAnsi="仿宋" w:eastAsia="仿宋" w:cs="仿宋"/>
          <w:color w:val="auto"/>
          <w:sz w:val="24"/>
          <w:szCs w:val="24"/>
          <w:highlight w:val="none"/>
          <w:lang w:val="en-US" w:eastAsia="zh-CN"/>
        </w:rPr>
        <w:t>3.2.3 投标人在投标截止时间前修改投标函中的投标总报价，应同时修改第四章“工程量清单及参数”中的相应报价。此修改须符合本章第 4.3 款的有关要求。</w:t>
      </w:r>
      <w:bookmarkEnd w:id="236"/>
    </w:p>
    <w:p w14:paraId="14A2E5B9">
      <w:pPr>
        <w:spacing w:line="360" w:lineRule="auto"/>
        <w:ind w:firstLine="480" w:firstLineChars="200"/>
        <w:outlineLvl w:val="0"/>
        <w:rPr>
          <w:rFonts w:hint="eastAsia" w:ascii="仿宋" w:hAnsi="仿宋" w:eastAsia="仿宋" w:cs="仿宋"/>
          <w:color w:val="auto"/>
          <w:sz w:val="24"/>
          <w:szCs w:val="24"/>
          <w:highlight w:val="none"/>
          <w:lang w:val="en-US" w:eastAsia="zh-CN"/>
        </w:rPr>
      </w:pPr>
      <w:bookmarkStart w:id="237" w:name="_Toc8513"/>
      <w:r>
        <w:rPr>
          <w:rFonts w:hint="eastAsia" w:ascii="仿宋" w:hAnsi="仿宋" w:eastAsia="仿宋" w:cs="仿宋"/>
          <w:color w:val="auto"/>
          <w:sz w:val="24"/>
          <w:szCs w:val="24"/>
          <w:highlight w:val="none"/>
          <w:lang w:val="en-US" w:eastAsia="zh-CN"/>
        </w:rPr>
        <w:t>3.2.4 采购人设有最高投标限价的，供应商的投标报价不得超过最高投标限价，最高投标限价在供应商须知前附表中载明。</w:t>
      </w:r>
      <w:bookmarkEnd w:id="237"/>
    </w:p>
    <w:p w14:paraId="1CF3E40D">
      <w:pPr>
        <w:spacing w:line="360" w:lineRule="auto"/>
        <w:ind w:firstLine="480" w:firstLineChars="200"/>
        <w:outlineLvl w:val="0"/>
        <w:rPr>
          <w:rFonts w:hint="eastAsia" w:ascii="仿宋" w:hAnsi="仿宋" w:eastAsia="仿宋" w:cs="仿宋"/>
          <w:color w:val="auto"/>
          <w:sz w:val="24"/>
          <w:szCs w:val="24"/>
          <w:highlight w:val="none"/>
          <w:lang w:val="en-US" w:eastAsia="zh-CN"/>
        </w:rPr>
      </w:pPr>
      <w:bookmarkStart w:id="238" w:name="_Toc23735"/>
      <w:r>
        <w:rPr>
          <w:rFonts w:hint="eastAsia" w:ascii="仿宋" w:hAnsi="仿宋" w:eastAsia="仿宋" w:cs="仿宋"/>
          <w:color w:val="auto"/>
          <w:sz w:val="24"/>
          <w:szCs w:val="24"/>
          <w:highlight w:val="none"/>
          <w:lang w:val="en-US" w:eastAsia="zh-CN"/>
        </w:rPr>
        <w:t>3.2.5 投标报价的其他要求见供应商须知前附表。</w:t>
      </w:r>
      <w:bookmarkEnd w:id="238"/>
    </w:p>
    <w:p w14:paraId="2B243C9E">
      <w:pPr>
        <w:spacing w:line="360" w:lineRule="auto"/>
        <w:outlineLvl w:val="0"/>
        <w:rPr>
          <w:rFonts w:hint="eastAsia" w:ascii="仿宋" w:hAnsi="仿宋" w:eastAsia="仿宋" w:cs="仿宋"/>
          <w:color w:val="auto"/>
          <w:sz w:val="24"/>
          <w:szCs w:val="24"/>
          <w:highlight w:val="none"/>
          <w:lang w:eastAsia="zh-CN"/>
        </w:rPr>
      </w:pPr>
      <w:bookmarkStart w:id="239" w:name="_Toc3376"/>
      <w:r>
        <w:rPr>
          <w:rFonts w:hint="eastAsia" w:ascii="仿宋" w:hAnsi="仿宋" w:eastAsia="仿宋" w:cs="仿宋"/>
          <w:color w:val="auto"/>
          <w:sz w:val="24"/>
          <w:szCs w:val="24"/>
          <w:highlight w:val="none"/>
        </w:rPr>
        <w:t xml:space="preserve">3.3 </w:t>
      </w:r>
      <w:bookmarkEnd w:id="227"/>
      <w:bookmarkEnd w:id="228"/>
      <w:bookmarkEnd w:id="229"/>
      <w:bookmarkEnd w:id="230"/>
      <w:bookmarkEnd w:id="231"/>
      <w:bookmarkEnd w:id="232"/>
      <w:bookmarkEnd w:id="233"/>
      <w:bookmarkEnd w:id="234"/>
      <w:r>
        <w:rPr>
          <w:rFonts w:hint="eastAsia" w:ascii="仿宋" w:hAnsi="仿宋" w:eastAsia="仿宋" w:cs="仿宋"/>
          <w:color w:val="auto"/>
          <w:sz w:val="24"/>
          <w:szCs w:val="24"/>
          <w:highlight w:val="none"/>
          <w:lang w:eastAsia="zh-CN"/>
        </w:rPr>
        <w:t>磋商有效期</w:t>
      </w:r>
      <w:bookmarkEnd w:id="239"/>
    </w:p>
    <w:p w14:paraId="09087CC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3.3.1在供应商须知前附表规定的</w:t>
      </w:r>
      <w:r>
        <w:rPr>
          <w:rFonts w:hint="eastAsia" w:ascii="仿宋" w:hAnsi="仿宋" w:eastAsia="仿宋" w:cs="仿宋"/>
          <w:color w:val="auto"/>
          <w:sz w:val="24"/>
          <w:szCs w:val="24"/>
          <w:highlight w:val="none"/>
          <w:lang w:eastAsia="zh-CN"/>
        </w:rPr>
        <w:t>磋商有效期</w:t>
      </w:r>
      <w:r>
        <w:rPr>
          <w:rFonts w:hint="eastAsia" w:ascii="仿宋" w:hAnsi="仿宋" w:eastAsia="仿宋" w:cs="仿宋"/>
          <w:color w:val="auto"/>
          <w:sz w:val="24"/>
          <w:szCs w:val="24"/>
          <w:highlight w:val="none"/>
        </w:rPr>
        <w:t>内，供应商不得要求撤销或修改其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14:paraId="4C199E0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3.3.2出现特殊情况需要延长</w:t>
      </w:r>
      <w:r>
        <w:rPr>
          <w:rFonts w:hint="eastAsia" w:ascii="仿宋" w:hAnsi="仿宋" w:eastAsia="仿宋" w:cs="仿宋"/>
          <w:color w:val="auto"/>
          <w:sz w:val="24"/>
          <w:szCs w:val="24"/>
          <w:highlight w:val="none"/>
          <w:lang w:eastAsia="zh-CN"/>
        </w:rPr>
        <w:t>磋商有效期</w:t>
      </w:r>
      <w:r>
        <w:rPr>
          <w:rFonts w:hint="eastAsia" w:ascii="仿宋" w:hAnsi="仿宋" w:eastAsia="仿宋" w:cs="仿宋"/>
          <w:color w:val="auto"/>
          <w:sz w:val="24"/>
          <w:szCs w:val="24"/>
          <w:highlight w:val="none"/>
        </w:rPr>
        <w:t>的，采购人以书面形式通知所有供应商延长</w:t>
      </w:r>
      <w:r>
        <w:rPr>
          <w:rFonts w:hint="eastAsia" w:ascii="仿宋" w:hAnsi="仿宋" w:eastAsia="仿宋" w:cs="仿宋"/>
          <w:color w:val="auto"/>
          <w:sz w:val="24"/>
          <w:szCs w:val="24"/>
          <w:highlight w:val="none"/>
          <w:lang w:eastAsia="zh-CN"/>
        </w:rPr>
        <w:t>磋商有效期</w:t>
      </w:r>
      <w:r>
        <w:rPr>
          <w:rFonts w:hint="eastAsia" w:ascii="仿宋" w:hAnsi="仿宋" w:eastAsia="仿宋" w:cs="仿宋"/>
          <w:color w:val="auto"/>
          <w:sz w:val="24"/>
          <w:szCs w:val="24"/>
          <w:highlight w:val="none"/>
        </w:rPr>
        <w:t>。供应商同意延长的，应相应延长其</w:t>
      </w:r>
      <w:r>
        <w:rPr>
          <w:rFonts w:hint="eastAsia" w:ascii="仿宋" w:hAnsi="仿宋" w:eastAsia="仿宋" w:cs="仿宋"/>
          <w:color w:val="auto"/>
          <w:sz w:val="24"/>
          <w:szCs w:val="24"/>
          <w:highlight w:val="none"/>
          <w:lang w:eastAsia="zh-CN"/>
        </w:rPr>
        <w:t>响应承诺函</w:t>
      </w:r>
      <w:r>
        <w:rPr>
          <w:rFonts w:hint="eastAsia" w:ascii="仿宋" w:hAnsi="仿宋" w:eastAsia="仿宋" w:cs="仿宋"/>
          <w:color w:val="auto"/>
          <w:sz w:val="24"/>
          <w:szCs w:val="24"/>
          <w:highlight w:val="none"/>
        </w:rPr>
        <w:t>的有效期，但不得要求或被允许修改或撤销其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；供应商拒绝延长的，其投标失效。</w:t>
      </w:r>
    </w:p>
    <w:p w14:paraId="65297DED">
      <w:pPr>
        <w:pStyle w:val="51"/>
        <w:spacing w:line="360" w:lineRule="auto"/>
        <w:outlineLvl w:val="0"/>
        <w:rPr>
          <w:rFonts w:hint="eastAsia" w:ascii="仿宋" w:hAnsi="仿宋" w:eastAsia="仿宋" w:cs="仿宋"/>
          <w:color w:val="auto"/>
          <w:sz w:val="24"/>
          <w:szCs w:val="24"/>
          <w:highlight w:val="none"/>
          <w:lang w:eastAsia="zh-CN"/>
        </w:rPr>
      </w:pPr>
      <w:bookmarkStart w:id="240" w:name="_Toc532034664"/>
      <w:bookmarkStart w:id="241" w:name="_Toc144974518"/>
      <w:bookmarkStart w:id="242" w:name="_Toc152045550"/>
      <w:bookmarkStart w:id="243" w:name="_Toc12143"/>
      <w:bookmarkStart w:id="244" w:name="_Toc5879"/>
      <w:bookmarkStart w:id="245" w:name="_Toc4601"/>
      <w:bookmarkStart w:id="246" w:name="_Toc152042326"/>
      <w:bookmarkStart w:id="247" w:name="_Toc9828"/>
      <w:bookmarkStart w:id="248" w:name="_Toc152045552"/>
      <w:bookmarkStart w:id="249" w:name="_Toc152042328"/>
      <w:bookmarkStart w:id="250" w:name="_Toc144974520"/>
      <w:r>
        <w:rPr>
          <w:rFonts w:hint="eastAsia" w:ascii="仿宋" w:hAnsi="仿宋" w:eastAsia="仿宋" w:cs="仿宋"/>
          <w:color w:val="auto"/>
          <w:sz w:val="24"/>
          <w:szCs w:val="24"/>
          <w:highlight w:val="none"/>
        </w:rPr>
        <w:t xml:space="preserve">3.4 </w:t>
      </w:r>
      <w:bookmarkEnd w:id="240"/>
      <w:bookmarkEnd w:id="241"/>
      <w:bookmarkEnd w:id="242"/>
      <w:bookmarkEnd w:id="243"/>
      <w:bookmarkEnd w:id="244"/>
      <w:bookmarkEnd w:id="245"/>
      <w:bookmarkEnd w:id="246"/>
      <w:r>
        <w:rPr>
          <w:rFonts w:hint="eastAsia" w:ascii="仿宋" w:hAnsi="仿宋" w:eastAsia="仿宋" w:cs="仿宋"/>
          <w:color w:val="auto"/>
          <w:sz w:val="24"/>
          <w:szCs w:val="24"/>
          <w:highlight w:val="none"/>
          <w:lang w:eastAsia="zh-CN"/>
        </w:rPr>
        <w:t>磋商保证金</w:t>
      </w:r>
      <w:bookmarkEnd w:id="247"/>
    </w:p>
    <w:bookmarkEnd w:id="248"/>
    <w:bookmarkEnd w:id="249"/>
    <w:bookmarkEnd w:id="250"/>
    <w:p w14:paraId="4863811B">
      <w:pPr>
        <w:spacing w:line="360" w:lineRule="auto"/>
        <w:ind w:firstLine="480" w:firstLineChars="200"/>
        <w:rPr>
          <w:rFonts w:hint="eastAsia" w:ascii="仿宋" w:hAnsi="仿宋" w:eastAsia="仿宋" w:cs="仿宋"/>
          <w:color w:val="auto"/>
          <w:sz w:val="24"/>
          <w:szCs w:val="24"/>
          <w:highlight w:val="none"/>
        </w:rPr>
      </w:pPr>
      <w:bookmarkStart w:id="251" w:name="_Toc152042329"/>
      <w:bookmarkStart w:id="252" w:name="_Toc152045553"/>
      <w:bookmarkStart w:id="253" w:name="_Toc144974521"/>
      <w:bookmarkStart w:id="254" w:name="_Toc532034665"/>
      <w:r>
        <w:rPr>
          <w:rFonts w:hint="eastAsia" w:ascii="仿宋" w:hAnsi="仿宋" w:eastAsia="仿宋" w:cs="仿宋"/>
          <w:color w:val="auto"/>
          <w:sz w:val="24"/>
          <w:szCs w:val="24"/>
          <w:highlight w:val="none"/>
        </w:rPr>
        <w:t>按照河南省财政厅发布《关于优化政府采购营商环境有关问题的通知》，本采购项目不再收取</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w:t>
      </w:r>
    </w:p>
    <w:bookmarkEnd w:id="251"/>
    <w:bookmarkEnd w:id="252"/>
    <w:bookmarkEnd w:id="253"/>
    <w:bookmarkEnd w:id="254"/>
    <w:p w14:paraId="23DB7E64">
      <w:pPr>
        <w:spacing w:line="360" w:lineRule="auto"/>
        <w:rPr>
          <w:rFonts w:hint="eastAsia" w:ascii="仿宋" w:hAnsi="仿宋" w:eastAsia="仿宋" w:cs="仿宋"/>
          <w:color w:val="auto"/>
          <w:sz w:val="24"/>
          <w:szCs w:val="24"/>
          <w:highlight w:val="none"/>
        </w:rPr>
      </w:pPr>
      <w:bookmarkStart w:id="255" w:name="_Toc144974523"/>
      <w:bookmarkStart w:id="256" w:name="_Toc152045555"/>
      <w:bookmarkStart w:id="257" w:name="_Toc152042331"/>
      <w:r>
        <w:rPr>
          <w:rFonts w:hint="eastAsia" w:ascii="仿宋" w:hAnsi="仿宋" w:eastAsia="仿宋" w:cs="仿宋"/>
          <w:color w:val="auto"/>
          <w:sz w:val="24"/>
          <w:szCs w:val="24"/>
          <w:highlight w:val="none"/>
        </w:rPr>
        <w:t>3.5 资格审查资料</w:t>
      </w:r>
    </w:p>
    <w:p w14:paraId="3D8D2C17">
      <w:pPr>
        <w:spacing w:line="360" w:lineRule="auto"/>
        <w:ind w:firstLine="480" w:firstLineChars="200"/>
        <w:rPr>
          <w:rFonts w:hint="eastAsia" w:ascii="仿宋" w:hAnsi="仿宋" w:eastAsia="仿宋" w:cs="仿宋"/>
          <w:color w:val="auto"/>
          <w:sz w:val="24"/>
          <w:szCs w:val="24"/>
          <w:highlight w:val="none"/>
        </w:rPr>
      </w:pPr>
      <w:bookmarkStart w:id="258" w:name="_Toc395081960"/>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应满足</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须知1.4.1条规定的资格条件，并按照相关规定在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中附有相关资格证明材料复印件。</w:t>
      </w:r>
      <w:bookmarkEnd w:id="258"/>
    </w:p>
    <w:p w14:paraId="6E509675">
      <w:pPr>
        <w:pStyle w:val="51"/>
        <w:spacing w:line="360" w:lineRule="auto"/>
        <w:outlineLvl w:val="0"/>
        <w:rPr>
          <w:rFonts w:hint="eastAsia" w:ascii="仿宋" w:hAnsi="仿宋" w:eastAsia="仿宋" w:cs="仿宋"/>
          <w:color w:val="auto"/>
          <w:sz w:val="24"/>
          <w:szCs w:val="24"/>
          <w:highlight w:val="none"/>
        </w:rPr>
      </w:pPr>
      <w:bookmarkStart w:id="259" w:name="_Toc27001"/>
      <w:bookmarkStart w:id="260" w:name="_Toc8540"/>
      <w:bookmarkStart w:id="261" w:name="_Toc12185"/>
      <w:bookmarkStart w:id="262" w:name="_Toc19241"/>
      <w:bookmarkStart w:id="263" w:name="_Toc21617"/>
      <w:r>
        <w:rPr>
          <w:rFonts w:hint="eastAsia" w:ascii="仿宋" w:hAnsi="仿宋" w:eastAsia="仿宋" w:cs="仿宋"/>
          <w:color w:val="auto"/>
          <w:sz w:val="24"/>
          <w:szCs w:val="24"/>
          <w:highlight w:val="none"/>
        </w:rPr>
        <w:t>3.6 备选投标方案</w:t>
      </w:r>
      <w:bookmarkEnd w:id="259"/>
      <w:bookmarkEnd w:id="260"/>
      <w:bookmarkEnd w:id="261"/>
      <w:bookmarkEnd w:id="262"/>
      <w:bookmarkEnd w:id="263"/>
    </w:p>
    <w:p w14:paraId="2A36AA0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除供应商须知前附表另有规定外，供应商不得递交备选投标方案。允许供应商递交备选投标方案的，只有</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人所递交的备选投标方案方可予以考虑。</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认为中标人的备选投标方案优于其按照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要求编制的投标方案的，采购人可以接受该备选投标方案。</w:t>
      </w:r>
    </w:p>
    <w:p w14:paraId="1EBDC163">
      <w:pPr>
        <w:pStyle w:val="51"/>
        <w:spacing w:line="360" w:lineRule="auto"/>
        <w:outlineLvl w:val="0"/>
        <w:rPr>
          <w:rFonts w:hint="eastAsia" w:ascii="仿宋" w:hAnsi="仿宋" w:eastAsia="仿宋" w:cs="仿宋"/>
          <w:color w:val="auto"/>
          <w:sz w:val="24"/>
          <w:szCs w:val="24"/>
          <w:highlight w:val="none"/>
        </w:rPr>
      </w:pPr>
      <w:bookmarkStart w:id="264" w:name="_Toc9548"/>
      <w:bookmarkStart w:id="265" w:name="_Toc24496"/>
      <w:bookmarkStart w:id="266" w:name="_Toc2797"/>
      <w:bookmarkStart w:id="267" w:name="_Toc18794"/>
      <w:bookmarkStart w:id="268" w:name="_Toc2304"/>
      <w:bookmarkStart w:id="269" w:name="_Toc152042330"/>
      <w:bookmarkStart w:id="270" w:name="_Toc144974522"/>
      <w:bookmarkStart w:id="271" w:name="_Toc152045554"/>
      <w:r>
        <w:rPr>
          <w:rFonts w:hint="eastAsia" w:ascii="仿宋" w:hAnsi="仿宋" w:eastAsia="仿宋" w:cs="仿宋"/>
          <w:color w:val="auto"/>
          <w:sz w:val="24"/>
          <w:szCs w:val="24"/>
          <w:highlight w:val="none"/>
        </w:rPr>
        <w:t xml:space="preserve">3.7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的编制</w:t>
      </w:r>
      <w:bookmarkEnd w:id="264"/>
      <w:bookmarkEnd w:id="265"/>
      <w:bookmarkEnd w:id="266"/>
      <w:bookmarkEnd w:id="267"/>
      <w:bookmarkEnd w:id="268"/>
      <w:bookmarkEnd w:id="269"/>
      <w:bookmarkEnd w:id="270"/>
      <w:bookmarkEnd w:id="271"/>
    </w:p>
    <w:p w14:paraId="0FDEDA2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3.7.1</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应按第</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格式”进行编写，如有必要，可以增加附页，作为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的组成部分。其中，</w:t>
      </w: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函附录在满足</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实质性要求的基础上，可以提出比</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要求更有利于采购人的承诺。</w:t>
      </w:r>
    </w:p>
    <w:p w14:paraId="2E7EEF9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应当对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有关</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范围、</w:t>
      </w:r>
      <w:r>
        <w:rPr>
          <w:rFonts w:hint="eastAsia" w:ascii="仿宋" w:hAnsi="仿宋" w:eastAsia="仿宋" w:cs="仿宋"/>
          <w:color w:val="auto"/>
          <w:sz w:val="24"/>
          <w:szCs w:val="24"/>
          <w:highlight w:val="none"/>
          <w:lang w:eastAsia="zh-CN"/>
        </w:rPr>
        <w:t>磋商有效期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工期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质量标准</w:t>
      </w:r>
      <w:r>
        <w:rPr>
          <w:rFonts w:hint="eastAsia" w:ascii="仿宋" w:hAnsi="仿宋" w:eastAsia="仿宋" w:cs="仿宋"/>
          <w:color w:val="auto"/>
          <w:sz w:val="24"/>
          <w:szCs w:val="24"/>
          <w:highlight w:val="none"/>
        </w:rPr>
        <w:t>等实质性内容作出响应。</w:t>
      </w:r>
    </w:p>
    <w:p w14:paraId="6B153BD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3.7.3供应商必须对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所提供的全部资料的真实性承担法律责任，并无条件接受招标单位及招标监督管理部门等对其中任何资料进行核实的要求。</w:t>
      </w:r>
    </w:p>
    <w:p w14:paraId="65524B5A">
      <w:pPr>
        <w:pStyle w:val="51"/>
        <w:spacing w:line="360" w:lineRule="auto"/>
        <w:outlineLvl w:val="0"/>
        <w:rPr>
          <w:rFonts w:hint="eastAsia" w:ascii="仿宋" w:hAnsi="仿宋" w:eastAsia="仿宋" w:cs="仿宋"/>
          <w:color w:val="auto"/>
          <w:sz w:val="24"/>
          <w:szCs w:val="24"/>
          <w:highlight w:val="none"/>
        </w:rPr>
      </w:pPr>
      <w:bookmarkStart w:id="272" w:name="_Toc28164"/>
      <w:bookmarkStart w:id="273" w:name="_Toc6683"/>
      <w:bookmarkStart w:id="274" w:name="_Toc79"/>
      <w:bookmarkStart w:id="275" w:name="_Toc7868"/>
      <w:bookmarkStart w:id="276" w:name="_Toc15337"/>
      <w:r>
        <w:rPr>
          <w:rFonts w:hint="eastAsia" w:ascii="仿宋" w:hAnsi="仿宋" w:eastAsia="仿宋" w:cs="仿宋"/>
          <w:color w:val="auto"/>
          <w:sz w:val="24"/>
          <w:szCs w:val="24"/>
          <w:highlight w:val="none"/>
        </w:rPr>
        <w:t>3.8</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的样式和签署</w:t>
      </w:r>
      <w:bookmarkEnd w:id="272"/>
      <w:bookmarkEnd w:id="273"/>
      <w:bookmarkEnd w:id="274"/>
      <w:bookmarkEnd w:id="275"/>
      <w:bookmarkEnd w:id="276"/>
    </w:p>
    <w:p w14:paraId="0224D79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3.8.1供应商须在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递交截止时间前制作并提交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14:paraId="55D2E21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（1）加密的电子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,应在投标截止时间前通过“荥阳市公共资源交易中心（http://ggzyjyzx.xingyang.gov.cn/）”电子交易平台内上传；</w:t>
      </w:r>
    </w:p>
    <w:p w14:paraId="3C370FAD">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3.8.2加密的电子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为“荥阳市公共资源交易中心（http://ggzyjyzx.xi</w:t>
      </w:r>
    </w:p>
    <w:p w14:paraId="3F7408BF">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ngyang.gov.cn/）”网站提供的“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制作工具”软件制作生成的加密版</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14:paraId="10C52B8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3.8.3供应商在制作电子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，按采购文件和系统要求进行电子签章：</w:t>
      </w:r>
    </w:p>
    <w:p w14:paraId="5D9AD62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（1）所有要求响应人加盖公章的地方都应用供应商单位的CA电子签章。</w:t>
      </w:r>
    </w:p>
    <w:p w14:paraId="2CE1625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（2）所有要求法定代表人签字的地方都应用法定代表人的CA电子签章。若有委托代理人，且委托代理人没有 CA 锁，则响应文件可以上传手写签名的扫描件。</w:t>
      </w:r>
    </w:p>
    <w:p w14:paraId="00312C5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3.8.4</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格式所要求包含的全部资料应全部制作在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内，严格按照本项目</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所有格式如实填写（不涉及的内容除外），不应存在漏项或缺项，否则将存在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被拒绝的风险。开标一览表，须严格按照格式编辑，并作为电子开评标系统上传的依据。</w:t>
      </w:r>
    </w:p>
    <w:p w14:paraId="2E25BF2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3.8.5电子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以外的任何资料采购人和代理机构将拒收。</w:t>
      </w:r>
    </w:p>
    <w:p w14:paraId="5122AEB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3.8.6供应商编辑电子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时，根据</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要求用 CA 密钥进行签章制作；最后一步生成电子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时，只能用本单位的企业 CA 密钥。</w:t>
      </w:r>
    </w:p>
    <w:p w14:paraId="00BCD615">
      <w:pPr>
        <w:pStyle w:val="49"/>
        <w:spacing w:before="0" w:line="360" w:lineRule="auto"/>
        <w:outlineLvl w:val="0"/>
        <w:rPr>
          <w:rFonts w:hint="eastAsia" w:ascii="仿宋" w:hAnsi="仿宋" w:eastAsia="仿宋" w:cs="仿宋"/>
          <w:b/>
          <w:color w:val="auto"/>
          <w:sz w:val="24"/>
          <w:szCs w:val="24"/>
          <w:highlight w:val="none"/>
        </w:rPr>
      </w:pPr>
      <w:bookmarkStart w:id="277" w:name="_Toc10961"/>
      <w:bookmarkStart w:id="278" w:name="_Toc8356"/>
      <w:bookmarkStart w:id="279" w:name="_Toc12590"/>
      <w:r>
        <w:rPr>
          <w:rFonts w:hint="eastAsia" w:ascii="仿宋" w:hAnsi="仿宋" w:eastAsia="仿宋" w:cs="仿宋"/>
          <w:b/>
          <w:color w:val="auto"/>
          <w:sz w:val="24"/>
          <w:szCs w:val="24"/>
          <w:highlight w:val="none"/>
        </w:rPr>
        <w:t>4. 投标</w:t>
      </w:r>
      <w:bookmarkEnd w:id="255"/>
      <w:bookmarkEnd w:id="256"/>
      <w:bookmarkEnd w:id="257"/>
      <w:bookmarkEnd w:id="277"/>
      <w:bookmarkEnd w:id="278"/>
      <w:bookmarkEnd w:id="279"/>
    </w:p>
    <w:p w14:paraId="39398B99">
      <w:pPr>
        <w:pStyle w:val="51"/>
        <w:spacing w:line="360" w:lineRule="auto"/>
        <w:outlineLvl w:val="0"/>
        <w:rPr>
          <w:rFonts w:hint="eastAsia" w:ascii="仿宋" w:hAnsi="仿宋" w:eastAsia="仿宋" w:cs="仿宋"/>
          <w:color w:val="auto"/>
          <w:sz w:val="24"/>
          <w:szCs w:val="24"/>
          <w:highlight w:val="none"/>
        </w:rPr>
      </w:pPr>
      <w:bookmarkStart w:id="280" w:name="_Toc8285"/>
      <w:bookmarkStart w:id="281" w:name="_Toc20899"/>
      <w:bookmarkStart w:id="282" w:name="_Toc29519"/>
      <w:bookmarkStart w:id="283" w:name="_Toc14858"/>
      <w:bookmarkStart w:id="284" w:name="_Toc25782"/>
      <w:bookmarkStart w:id="285" w:name="_Toc10945"/>
      <w:bookmarkStart w:id="286" w:name="_Toc2329"/>
      <w:bookmarkStart w:id="287" w:name="_Toc25132"/>
      <w:bookmarkStart w:id="288" w:name="_Toc152042335"/>
      <w:bookmarkStart w:id="289" w:name="_Toc144974527"/>
      <w:bookmarkStart w:id="290" w:name="_Toc152045559"/>
      <w:r>
        <w:rPr>
          <w:rFonts w:hint="eastAsia" w:ascii="仿宋" w:hAnsi="仿宋" w:eastAsia="仿宋" w:cs="仿宋"/>
          <w:b/>
          <w:bCs/>
          <w:color w:val="auto"/>
          <w:sz w:val="24"/>
          <w:szCs w:val="24"/>
          <w:highlight w:val="none"/>
        </w:rPr>
        <w:t>4.1</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的密封和标记</w:t>
      </w:r>
      <w:bookmarkEnd w:id="280"/>
      <w:bookmarkEnd w:id="281"/>
      <w:bookmarkEnd w:id="282"/>
      <w:bookmarkEnd w:id="283"/>
      <w:bookmarkEnd w:id="284"/>
      <w:bookmarkEnd w:id="285"/>
      <w:bookmarkEnd w:id="286"/>
      <w:bookmarkEnd w:id="287"/>
    </w:p>
    <w:p w14:paraId="0A99723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交易中心系统上传的电子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应使用数字证书认证并加密。</w:t>
      </w:r>
    </w:p>
    <w:p w14:paraId="3B5B3E90">
      <w:p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4.2</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的递交</w:t>
      </w:r>
    </w:p>
    <w:p w14:paraId="0F250B2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4.2.1供应商应在投标截止时间前上传加密的电子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到</w:t>
      </w:r>
      <w:r>
        <w:rPr>
          <w:rFonts w:hint="eastAsia" w:ascii="仿宋" w:hAnsi="仿宋" w:eastAsia="仿宋" w:cs="仿宋"/>
          <w:color w:val="auto"/>
          <w:sz w:val="24"/>
          <w:szCs w:val="24"/>
          <w:highlight w:val="none"/>
          <w:lang w:val="en-US" w:eastAsia="zh-CN"/>
        </w:rPr>
        <w:t>荥阳市公共资源交易平台</w:t>
      </w:r>
      <w:r>
        <w:rPr>
          <w:rFonts w:hint="eastAsia" w:ascii="仿宋" w:hAnsi="仿宋" w:eastAsia="仿宋" w:cs="仿宋"/>
          <w:color w:val="auto"/>
          <w:sz w:val="24"/>
          <w:szCs w:val="24"/>
          <w:highlight w:val="none"/>
        </w:rPr>
        <w:t>系统的指定位置。上传时必须得到电脑“上传成功”的确认。请供应商在上传时认真检查上传</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是否完整、正确。</w:t>
      </w:r>
    </w:p>
    <w:p w14:paraId="579DA56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4.2.2供应商因交易中心投标系统问题无法上传电子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时，请在工作时间与荥阳市公共资源交易中心联系。</w:t>
      </w:r>
    </w:p>
    <w:p w14:paraId="508DB77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4.2.3逾期上传的或者未上传至指定位置的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，采购人不予受理。</w:t>
      </w:r>
    </w:p>
    <w:p w14:paraId="266FD4FD">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4.3</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的修改与撤回</w:t>
      </w:r>
    </w:p>
    <w:p w14:paraId="25BE752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4.3.1供应商在递交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后，在投标截止时间之前可以修改或撤回其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，但供应商必须在投标截止时间之前。在投标截止时间后，供应商不得再要求修改或撤回其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。最终</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以投标截止时间前完成上传至荥阳市公共资源交易中心交易系统最后一份</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为准。</w:t>
      </w:r>
    </w:p>
    <w:p w14:paraId="338865C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4.3.2从投标截止期至供应商在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中载明的</w:t>
      </w:r>
      <w:r>
        <w:rPr>
          <w:rFonts w:hint="eastAsia" w:ascii="仿宋" w:hAnsi="仿宋" w:eastAsia="仿宋" w:cs="仿宋"/>
          <w:color w:val="auto"/>
          <w:sz w:val="24"/>
          <w:szCs w:val="24"/>
          <w:highlight w:val="none"/>
          <w:lang w:eastAsia="zh-CN"/>
        </w:rPr>
        <w:t>磋商有效期</w:t>
      </w:r>
      <w:r>
        <w:rPr>
          <w:rFonts w:hint="eastAsia" w:ascii="仿宋" w:hAnsi="仿宋" w:eastAsia="仿宋" w:cs="仿宋"/>
          <w:color w:val="auto"/>
          <w:sz w:val="24"/>
          <w:szCs w:val="24"/>
          <w:highlight w:val="none"/>
        </w:rPr>
        <w:t>满期间，供应商不得撤回其投标。</w:t>
      </w:r>
    </w:p>
    <w:p w14:paraId="282ACD05">
      <w:pPr>
        <w:pStyle w:val="49"/>
        <w:spacing w:before="0" w:line="360" w:lineRule="auto"/>
        <w:outlineLvl w:val="0"/>
        <w:rPr>
          <w:rFonts w:hint="eastAsia" w:ascii="仿宋" w:hAnsi="仿宋" w:eastAsia="仿宋" w:cs="仿宋"/>
          <w:b/>
          <w:color w:val="auto"/>
          <w:sz w:val="24"/>
          <w:szCs w:val="24"/>
          <w:highlight w:val="none"/>
        </w:rPr>
      </w:pPr>
      <w:bookmarkStart w:id="291" w:name="_Toc25177"/>
      <w:bookmarkStart w:id="292" w:name="_Toc10356"/>
      <w:bookmarkStart w:id="293" w:name="_Toc11619"/>
      <w:r>
        <w:rPr>
          <w:rFonts w:hint="eastAsia" w:ascii="仿宋" w:hAnsi="仿宋" w:eastAsia="仿宋" w:cs="仿宋"/>
          <w:b/>
          <w:color w:val="auto"/>
          <w:sz w:val="24"/>
          <w:szCs w:val="24"/>
          <w:highlight w:val="none"/>
        </w:rPr>
        <w:t>5. 开标</w:t>
      </w:r>
      <w:bookmarkEnd w:id="288"/>
      <w:bookmarkEnd w:id="289"/>
      <w:bookmarkEnd w:id="290"/>
      <w:bookmarkEnd w:id="291"/>
      <w:bookmarkEnd w:id="292"/>
      <w:bookmarkEnd w:id="293"/>
    </w:p>
    <w:p w14:paraId="57A4D566">
      <w:pPr>
        <w:spacing w:line="360" w:lineRule="auto"/>
        <w:rPr>
          <w:rFonts w:hint="eastAsia" w:ascii="仿宋" w:hAnsi="仿宋" w:eastAsia="仿宋" w:cs="仿宋"/>
          <w:color w:val="auto"/>
          <w:sz w:val="24"/>
          <w:szCs w:val="24"/>
          <w:highlight w:val="none"/>
        </w:rPr>
      </w:pPr>
      <w:bookmarkStart w:id="294" w:name="_Toc152045562"/>
      <w:bookmarkStart w:id="295" w:name="_Toc144974530"/>
      <w:bookmarkStart w:id="296" w:name="_Toc152042338"/>
      <w:r>
        <w:rPr>
          <w:rFonts w:hint="eastAsia" w:ascii="仿宋" w:hAnsi="仿宋" w:eastAsia="仿宋" w:cs="仿宋"/>
          <w:color w:val="auto"/>
          <w:sz w:val="24"/>
          <w:szCs w:val="24"/>
          <w:highlight w:val="none"/>
          <w:lang w:val="en-US" w:eastAsia="zh-CN"/>
        </w:rPr>
        <w:t xml:space="preserve">5.1 开标时间和地点 </w:t>
      </w:r>
    </w:p>
    <w:p w14:paraId="0564925A">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采购人在本章第 2.2.2 项规定的响应截止时间（开启时间）和供应商须知前附表规定的地点远程开标。</w:t>
      </w:r>
    </w:p>
    <w:p w14:paraId="1711BDA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5.2 </w:t>
      </w:r>
      <w:r>
        <w:rPr>
          <w:rFonts w:hint="eastAsia" w:ascii="仿宋" w:hAnsi="仿宋" w:eastAsia="仿宋" w:cs="仿宋"/>
          <w:color w:val="auto"/>
          <w:sz w:val="24"/>
          <w:szCs w:val="24"/>
          <w:highlight w:val="none"/>
        </w:rPr>
        <w:t>开标程序</w:t>
      </w:r>
    </w:p>
    <w:p w14:paraId="2424C94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开标会由采购人或其委托的采购代理机构主持。主持人按“供应商须知前附表”确定的以下程序进行开标：</w:t>
      </w:r>
    </w:p>
    <w:p w14:paraId="34EB6EB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本项目采用“远程不见面”开标方式,供应商无需到荥阳市公共资源交易中心现场参加开标会议，供应商应当在招标文件确定的投标截止时间前,登录远程开标大厅,在线准时参加开标活动并在规定时间内进行文件解密、答疑澄清等。逾期解密不成功的，按无效响应处理。 </w:t>
      </w:r>
    </w:p>
    <w:p w14:paraId="54A33E7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（2）开标后供应商对所上传加密的响应文件在规定时间内进行解密； </w:t>
      </w:r>
    </w:p>
    <w:p w14:paraId="1C7EEDE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（3）所有供应商解密完成后，开始唱标。 </w:t>
      </w:r>
    </w:p>
    <w:p w14:paraId="2D7FECC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（4）唱标完毕后，无供应商提出异议，开标结束。 </w:t>
      </w:r>
    </w:p>
    <w:p w14:paraId="1E16B85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5.3 开标时出现下列情况的，采购人将拒绝其开标。 </w:t>
      </w:r>
    </w:p>
    <w:p w14:paraId="6D24407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（1）经检查数字证书无效的响应文件； </w:t>
      </w:r>
    </w:p>
    <w:p w14:paraId="6A6762B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（2）供应商未在规定的时间内解密响应文件的； </w:t>
      </w:r>
    </w:p>
    <w:p w14:paraId="6EE4C42B">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（3）供应商未按时参加远程开标会议的。</w:t>
      </w:r>
    </w:p>
    <w:p w14:paraId="1D72BF60">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5.4 采购过程质疑</w:t>
      </w:r>
    </w:p>
    <w:p w14:paraId="222D901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（1）供应商对采购过程有质疑的，应当在开标结束起 7 个工作日内日提出。 </w:t>
      </w:r>
    </w:p>
    <w:p w14:paraId="6AB8BE0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（2）供应商须在法定质疑期内一次性提出针对同一采购程序环节的质疑。</w:t>
      </w:r>
    </w:p>
    <w:p w14:paraId="0A372B9C">
      <w:pPr>
        <w:pStyle w:val="49"/>
        <w:spacing w:before="0" w:line="360" w:lineRule="auto"/>
        <w:outlineLvl w:val="0"/>
        <w:rPr>
          <w:rFonts w:hint="eastAsia" w:ascii="仿宋" w:hAnsi="仿宋" w:eastAsia="仿宋" w:cs="仿宋"/>
          <w:b/>
          <w:color w:val="auto"/>
          <w:sz w:val="24"/>
          <w:szCs w:val="24"/>
          <w:highlight w:val="none"/>
          <w:lang w:eastAsia="zh-CN"/>
        </w:rPr>
      </w:pPr>
      <w:bookmarkStart w:id="297" w:name="_Toc20982"/>
      <w:bookmarkStart w:id="298" w:name="_Toc29431"/>
      <w:bookmarkStart w:id="299" w:name="_Toc8410"/>
      <w:r>
        <w:rPr>
          <w:rFonts w:hint="eastAsia" w:ascii="仿宋" w:hAnsi="仿宋" w:eastAsia="仿宋" w:cs="仿宋"/>
          <w:b/>
          <w:color w:val="auto"/>
          <w:sz w:val="24"/>
          <w:szCs w:val="24"/>
          <w:highlight w:val="none"/>
        </w:rPr>
        <w:t xml:space="preserve">6. </w:t>
      </w:r>
      <w:bookmarkEnd w:id="294"/>
      <w:bookmarkEnd w:id="295"/>
      <w:bookmarkEnd w:id="296"/>
      <w:bookmarkEnd w:id="297"/>
      <w:bookmarkEnd w:id="298"/>
      <w:r>
        <w:rPr>
          <w:rFonts w:hint="eastAsia" w:ascii="仿宋" w:hAnsi="仿宋" w:eastAsia="仿宋" w:cs="仿宋"/>
          <w:b/>
          <w:color w:val="auto"/>
          <w:sz w:val="24"/>
          <w:szCs w:val="24"/>
          <w:highlight w:val="none"/>
          <w:lang w:val="en-US" w:eastAsia="zh-CN"/>
        </w:rPr>
        <w:t>磋商</w:t>
      </w:r>
      <w:bookmarkEnd w:id="299"/>
    </w:p>
    <w:p w14:paraId="4D1429EA">
      <w:pPr>
        <w:pStyle w:val="51"/>
        <w:spacing w:line="360" w:lineRule="auto"/>
        <w:outlineLvl w:val="0"/>
        <w:rPr>
          <w:rFonts w:hint="eastAsia" w:ascii="仿宋" w:hAnsi="仿宋" w:eastAsia="仿宋" w:cs="仿宋"/>
          <w:color w:val="auto"/>
          <w:sz w:val="24"/>
          <w:szCs w:val="24"/>
          <w:highlight w:val="none"/>
          <w:lang w:eastAsia="zh-CN"/>
        </w:rPr>
      </w:pPr>
      <w:bookmarkStart w:id="300" w:name="_Toc532034675"/>
      <w:bookmarkStart w:id="301" w:name="_Toc144974531"/>
      <w:bookmarkStart w:id="302" w:name="_Toc25684"/>
      <w:bookmarkStart w:id="303" w:name="_Toc8863"/>
      <w:bookmarkStart w:id="304" w:name="_Toc152045563"/>
      <w:bookmarkStart w:id="305" w:name="_Toc9485"/>
      <w:bookmarkStart w:id="306" w:name="_Toc152042339"/>
      <w:bookmarkStart w:id="307" w:name="_Toc16443"/>
      <w:r>
        <w:rPr>
          <w:rFonts w:hint="eastAsia" w:ascii="仿宋" w:hAnsi="仿宋" w:eastAsia="仿宋" w:cs="仿宋"/>
          <w:color w:val="auto"/>
          <w:sz w:val="24"/>
          <w:szCs w:val="24"/>
          <w:highlight w:val="none"/>
        </w:rPr>
        <w:t xml:space="preserve">6.1 </w:t>
      </w:r>
      <w:bookmarkEnd w:id="300"/>
      <w:bookmarkEnd w:id="301"/>
      <w:bookmarkEnd w:id="302"/>
      <w:bookmarkEnd w:id="303"/>
      <w:bookmarkEnd w:id="304"/>
      <w:bookmarkEnd w:id="305"/>
      <w:bookmarkEnd w:id="306"/>
      <w:r>
        <w:rPr>
          <w:rFonts w:hint="eastAsia" w:ascii="仿宋" w:hAnsi="仿宋" w:eastAsia="仿宋" w:cs="仿宋"/>
          <w:color w:val="auto"/>
          <w:sz w:val="24"/>
          <w:szCs w:val="24"/>
          <w:highlight w:val="none"/>
          <w:lang w:eastAsia="zh-CN"/>
        </w:rPr>
        <w:t>磋商小组</w:t>
      </w:r>
      <w:bookmarkEnd w:id="307"/>
    </w:p>
    <w:p w14:paraId="0A758039">
      <w:pPr>
        <w:spacing w:line="360" w:lineRule="auto"/>
        <w:ind w:firstLine="480" w:firstLineChars="200"/>
        <w:rPr>
          <w:rFonts w:hint="eastAsia" w:ascii="仿宋" w:hAnsi="仿宋" w:eastAsia="仿宋" w:cs="仿宋"/>
          <w:color w:val="auto"/>
          <w:sz w:val="24"/>
          <w:szCs w:val="24"/>
          <w:highlight w:val="none"/>
        </w:rPr>
      </w:pPr>
      <w:bookmarkStart w:id="308" w:name="_Toc144974534"/>
      <w:bookmarkStart w:id="309" w:name="_Toc152042342"/>
      <w:bookmarkStart w:id="310" w:name="_Toc152045566"/>
      <w:r>
        <w:rPr>
          <w:rFonts w:hint="eastAsia" w:ascii="仿宋" w:hAnsi="仿宋" w:eastAsia="仿宋" w:cs="仿宋"/>
          <w:color w:val="auto"/>
          <w:sz w:val="24"/>
          <w:szCs w:val="24"/>
          <w:highlight w:val="none"/>
        </w:rPr>
        <w:t xml:space="preserve">6.1.1 </w:t>
      </w:r>
      <w:r>
        <w:rPr>
          <w:rFonts w:hint="eastAsia" w:ascii="仿宋" w:hAnsi="仿宋" w:eastAsia="仿宋" w:cs="仿宋"/>
          <w:color w:val="auto"/>
          <w:sz w:val="24"/>
          <w:szCs w:val="24"/>
          <w:highlight w:val="none"/>
          <w:lang w:val="en-US" w:eastAsia="zh-CN"/>
        </w:rPr>
        <w:t>磋商活动</w:t>
      </w:r>
      <w:r>
        <w:rPr>
          <w:rFonts w:hint="eastAsia" w:ascii="仿宋" w:hAnsi="仿宋" w:eastAsia="仿宋" w:cs="仿宋"/>
          <w:color w:val="auto"/>
          <w:sz w:val="24"/>
          <w:szCs w:val="24"/>
          <w:highlight w:val="none"/>
        </w:rPr>
        <w:t>由采购人依法组建的</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负责。</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由采购人以及有关技术、经济等方面的专家组成。</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成员人数以及技术、经济等方面专家的确定方式见供应商须知前附表。</w:t>
      </w:r>
    </w:p>
    <w:p w14:paraId="66E1AE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6.1.2 </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成员有下列情形之一的，应当回避：</w:t>
      </w:r>
    </w:p>
    <w:p w14:paraId="08E87344">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(1）采购人或供应商的主要负责人的近亲属；</w:t>
      </w:r>
    </w:p>
    <w:p w14:paraId="6FAEBD5D">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(2）项目主管部门或者行政监督部门的人员：</w:t>
      </w:r>
    </w:p>
    <w:p w14:paraId="4A519CCA">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(3）与供应商有经济利益关系，可能影响对投标公正评审的；</w:t>
      </w:r>
    </w:p>
    <w:p w14:paraId="5F6740E9">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(4）曾因在采购、评标以及其他与采购投标有关活动中从事违法行为而受过行政处罚或刑事处罚的。</w:t>
      </w:r>
    </w:p>
    <w:p w14:paraId="3D027E94">
      <w:pPr>
        <w:pStyle w:val="5"/>
        <w:spacing w:before="0" w:after="0" w:line="360" w:lineRule="auto"/>
        <w:rPr>
          <w:rFonts w:hint="eastAsia" w:ascii="仿宋" w:hAnsi="仿宋" w:eastAsia="仿宋" w:cs="仿宋"/>
          <w:b w:val="0"/>
          <w:bCs w:val="0"/>
          <w:color w:val="auto"/>
          <w:sz w:val="24"/>
          <w:szCs w:val="24"/>
          <w:highlight w:val="none"/>
        </w:rPr>
      </w:pPr>
      <w:bookmarkStart w:id="311" w:name="_Toc532034676"/>
      <w:bookmarkStart w:id="312" w:name="_Toc3548"/>
      <w:bookmarkStart w:id="313" w:name="_Toc345139489"/>
      <w:bookmarkStart w:id="314" w:name="_Toc22810"/>
      <w:bookmarkStart w:id="315" w:name="_Toc29920"/>
      <w:bookmarkStart w:id="316" w:name="_Toc31998"/>
      <w:bookmarkStart w:id="317" w:name="_Toc8164"/>
      <w:r>
        <w:rPr>
          <w:rFonts w:hint="eastAsia" w:ascii="仿宋" w:hAnsi="仿宋" w:eastAsia="仿宋" w:cs="仿宋"/>
          <w:b w:val="0"/>
          <w:bCs w:val="0"/>
          <w:color w:val="auto"/>
          <w:sz w:val="24"/>
          <w:szCs w:val="24"/>
          <w:highlight w:val="none"/>
        </w:rPr>
        <w:t xml:space="preserve">6.2 </w:t>
      </w:r>
      <w:r>
        <w:rPr>
          <w:rFonts w:hint="eastAsia" w:ascii="仿宋" w:hAnsi="仿宋" w:eastAsia="仿宋" w:cs="仿宋"/>
          <w:b w:val="0"/>
          <w:bCs w:val="0"/>
          <w:color w:val="auto"/>
          <w:sz w:val="24"/>
          <w:szCs w:val="24"/>
          <w:highlight w:val="none"/>
          <w:lang w:eastAsia="zh-CN"/>
        </w:rPr>
        <w:t>磋商</w:t>
      </w:r>
      <w:r>
        <w:rPr>
          <w:rFonts w:hint="eastAsia" w:ascii="仿宋" w:hAnsi="仿宋" w:eastAsia="仿宋" w:cs="仿宋"/>
          <w:b w:val="0"/>
          <w:bCs w:val="0"/>
          <w:color w:val="auto"/>
          <w:sz w:val="24"/>
          <w:szCs w:val="24"/>
          <w:highlight w:val="none"/>
        </w:rPr>
        <w:t>原则</w:t>
      </w:r>
      <w:bookmarkEnd w:id="311"/>
      <w:bookmarkEnd w:id="312"/>
      <w:bookmarkEnd w:id="313"/>
      <w:bookmarkEnd w:id="314"/>
      <w:bookmarkEnd w:id="315"/>
      <w:bookmarkEnd w:id="316"/>
      <w:bookmarkEnd w:id="317"/>
    </w:p>
    <w:p w14:paraId="4474BA7A">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b w:val="0"/>
          <w:bCs w:val="0"/>
          <w:color w:val="auto"/>
          <w:sz w:val="24"/>
          <w:szCs w:val="24"/>
          <w:highlight w:val="none"/>
          <w:lang w:eastAsia="zh-CN"/>
        </w:rPr>
        <w:t>磋商</w:t>
      </w:r>
      <w:r>
        <w:rPr>
          <w:rFonts w:hint="eastAsia" w:ascii="仿宋" w:hAnsi="仿宋" w:eastAsia="仿宋" w:cs="仿宋"/>
          <w:color w:val="auto"/>
          <w:kern w:val="0"/>
          <w:sz w:val="24"/>
          <w:szCs w:val="24"/>
          <w:highlight w:val="none"/>
        </w:rPr>
        <w:t>活动遵循公平、公正、科学和择优的原则。</w:t>
      </w:r>
    </w:p>
    <w:p w14:paraId="2CF219FA">
      <w:pPr>
        <w:pStyle w:val="5"/>
        <w:spacing w:before="0" w:after="0" w:line="360" w:lineRule="auto"/>
        <w:rPr>
          <w:rFonts w:hint="eastAsia" w:ascii="仿宋" w:hAnsi="仿宋" w:eastAsia="仿宋" w:cs="仿宋"/>
          <w:b w:val="0"/>
          <w:bCs w:val="0"/>
          <w:color w:val="auto"/>
          <w:sz w:val="24"/>
          <w:szCs w:val="24"/>
          <w:highlight w:val="none"/>
        </w:rPr>
      </w:pPr>
      <w:bookmarkStart w:id="318" w:name="_Toc532034677"/>
      <w:bookmarkStart w:id="319" w:name="_Toc139"/>
      <w:bookmarkStart w:id="320" w:name="_Toc345139490"/>
      <w:bookmarkStart w:id="321" w:name="_Toc13889"/>
      <w:bookmarkStart w:id="322" w:name="_Toc32016"/>
      <w:bookmarkStart w:id="323" w:name="_Toc16271"/>
      <w:bookmarkStart w:id="324" w:name="_Toc11358"/>
      <w:r>
        <w:rPr>
          <w:rFonts w:hint="eastAsia" w:ascii="仿宋" w:hAnsi="仿宋" w:eastAsia="仿宋" w:cs="仿宋"/>
          <w:b w:val="0"/>
          <w:bCs w:val="0"/>
          <w:color w:val="auto"/>
          <w:sz w:val="24"/>
          <w:szCs w:val="24"/>
          <w:highlight w:val="none"/>
        </w:rPr>
        <w:t xml:space="preserve">6.3 </w:t>
      </w:r>
      <w:bookmarkEnd w:id="318"/>
      <w:bookmarkEnd w:id="319"/>
      <w:bookmarkEnd w:id="320"/>
      <w:bookmarkEnd w:id="321"/>
      <w:bookmarkEnd w:id="322"/>
      <w:bookmarkEnd w:id="323"/>
      <w:r>
        <w:rPr>
          <w:rFonts w:hint="eastAsia" w:ascii="仿宋" w:hAnsi="仿宋" w:eastAsia="仿宋" w:cs="仿宋"/>
          <w:b w:val="0"/>
          <w:bCs w:val="0"/>
          <w:color w:val="auto"/>
          <w:sz w:val="24"/>
          <w:szCs w:val="24"/>
          <w:highlight w:val="none"/>
          <w:lang w:eastAsia="zh-CN"/>
        </w:rPr>
        <w:t>磋商</w:t>
      </w:r>
      <w:bookmarkEnd w:id="324"/>
    </w:p>
    <w:p w14:paraId="09BB8BA5">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按照第三章“</w:t>
      </w:r>
      <w:r>
        <w:rPr>
          <w:rFonts w:hint="eastAsia" w:ascii="仿宋" w:hAnsi="仿宋" w:eastAsia="仿宋" w:cs="仿宋"/>
          <w:color w:val="auto"/>
          <w:kern w:val="0"/>
          <w:sz w:val="24"/>
          <w:szCs w:val="24"/>
          <w:highlight w:val="none"/>
          <w:lang w:val="en-US" w:eastAsia="zh-CN"/>
        </w:rPr>
        <w:t>磋商</w:t>
      </w:r>
      <w:r>
        <w:rPr>
          <w:rFonts w:hint="eastAsia" w:ascii="仿宋" w:hAnsi="仿宋" w:eastAsia="仿宋" w:cs="仿宋"/>
          <w:color w:val="auto"/>
          <w:kern w:val="0"/>
          <w:sz w:val="24"/>
          <w:szCs w:val="24"/>
          <w:highlight w:val="none"/>
        </w:rPr>
        <w:t>办法”规定的方法、评审因素、标准和程序对</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进行评审。通过初步评审的投标人进行最终报价，最终报价参加</w:t>
      </w:r>
      <w:r>
        <w:rPr>
          <w:rFonts w:hint="eastAsia" w:ascii="仿宋" w:hAnsi="仿宋" w:eastAsia="仿宋" w:cs="仿宋"/>
          <w:color w:val="auto"/>
          <w:kern w:val="0"/>
          <w:sz w:val="24"/>
          <w:szCs w:val="24"/>
          <w:highlight w:val="none"/>
          <w:lang w:val="en-US" w:eastAsia="zh-CN"/>
        </w:rPr>
        <w:t>二次磋商</w:t>
      </w:r>
      <w:r>
        <w:rPr>
          <w:rFonts w:hint="eastAsia" w:ascii="仿宋" w:hAnsi="仿宋" w:eastAsia="仿宋" w:cs="仿宋"/>
          <w:color w:val="auto"/>
          <w:kern w:val="0"/>
          <w:sz w:val="24"/>
          <w:szCs w:val="24"/>
          <w:highlight w:val="none"/>
        </w:rPr>
        <w:t>报价评审</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第三章“</w:t>
      </w:r>
      <w:r>
        <w:rPr>
          <w:rFonts w:hint="eastAsia" w:ascii="仿宋" w:hAnsi="仿宋" w:eastAsia="仿宋" w:cs="仿宋"/>
          <w:color w:val="auto"/>
          <w:kern w:val="0"/>
          <w:sz w:val="24"/>
          <w:szCs w:val="24"/>
          <w:highlight w:val="none"/>
          <w:lang w:val="en-US" w:eastAsia="zh-CN"/>
        </w:rPr>
        <w:t>磋商</w:t>
      </w:r>
      <w:r>
        <w:rPr>
          <w:rFonts w:hint="eastAsia" w:ascii="仿宋" w:hAnsi="仿宋" w:eastAsia="仿宋" w:cs="仿宋"/>
          <w:color w:val="auto"/>
          <w:kern w:val="0"/>
          <w:sz w:val="24"/>
          <w:szCs w:val="24"/>
          <w:highlight w:val="none"/>
        </w:rPr>
        <w:t>办法”没有规定的方法、评审因素和标准，不作为</w:t>
      </w:r>
      <w:r>
        <w:rPr>
          <w:rFonts w:hint="eastAsia" w:ascii="仿宋" w:hAnsi="仿宋" w:eastAsia="仿宋" w:cs="仿宋"/>
          <w:color w:val="auto"/>
          <w:kern w:val="0"/>
          <w:sz w:val="24"/>
          <w:szCs w:val="24"/>
          <w:highlight w:val="none"/>
          <w:lang w:val="en-US" w:eastAsia="zh-CN"/>
        </w:rPr>
        <w:t>评审</w:t>
      </w:r>
      <w:r>
        <w:rPr>
          <w:rFonts w:hint="eastAsia" w:ascii="仿宋" w:hAnsi="仿宋" w:eastAsia="仿宋" w:cs="仿宋"/>
          <w:color w:val="auto"/>
          <w:kern w:val="0"/>
          <w:sz w:val="24"/>
          <w:szCs w:val="24"/>
          <w:highlight w:val="none"/>
        </w:rPr>
        <w:t>依据。</w:t>
      </w:r>
    </w:p>
    <w:p w14:paraId="17F50A0A">
      <w:pPr>
        <w:pStyle w:val="49"/>
        <w:spacing w:before="0" w:line="360" w:lineRule="auto"/>
        <w:outlineLvl w:val="0"/>
        <w:rPr>
          <w:rFonts w:hint="eastAsia" w:ascii="仿宋" w:hAnsi="仿宋" w:eastAsia="仿宋" w:cs="仿宋"/>
          <w:b/>
          <w:color w:val="auto"/>
          <w:sz w:val="24"/>
          <w:szCs w:val="24"/>
          <w:highlight w:val="none"/>
        </w:rPr>
      </w:pPr>
      <w:bookmarkStart w:id="325" w:name="_Toc17593"/>
      <w:bookmarkStart w:id="326" w:name="_Toc23187"/>
      <w:bookmarkStart w:id="327" w:name="_Toc7585"/>
      <w:r>
        <w:rPr>
          <w:rFonts w:hint="eastAsia" w:ascii="仿宋" w:hAnsi="仿宋" w:eastAsia="仿宋" w:cs="仿宋"/>
          <w:b/>
          <w:color w:val="auto"/>
          <w:sz w:val="24"/>
          <w:szCs w:val="24"/>
          <w:highlight w:val="none"/>
        </w:rPr>
        <w:t>7. 合同授予</w:t>
      </w:r>
      <w:bookmarkEnd w:id="308"/>
      <w:bookmarkEnd w:id="309"/>
      <w:bookmarkEnd w:id="310"/>
      <w:bookmarkEnd w:id="325"/>
      <w:bookmarkEnd w:id="326"/>
      <w:bookmarkEnd w:id="327"/>
    </w:p>
    <w:p w14:paraId="681B882F">
      <w:pPr>
        <w:pStyle w:val="51"/>
        <w:spacing w:line="360" w:lineRule="auto"/>
        <w:outlineLvl w:val="0"/>
        <w:rPr>
          <w:rFonts w:hint="eastAsia" w:ascii="仿宋" w:hAnsi="仿宋" w:eastAsia="仿宋" w:cs="仿宋"/>
          <w:color w:val="auto"/>
          <w:sz w:val="24"/>
          <w:szCs w:val="24"/>
          <w:highlight w:val="none"/>
        </w:rPr>
      </w:pPr>
      <w:bookmarkStart w:id="328" w:name="_Toc12600"/>
      <w:bookmarkStart w:id="329" w:name="_Toc4853"/>
      <w:bookmarkStart w:id="330" w:name="_Toc28656"/>
      <w:bookmarkStart w:id="331" w:name="_Toc532034679"/>
      <w:bookmarkStart w:id="332" w:name="_Toc144974535"/>
      <w:bookmarkStart w:id="333" w:name="_Toc152045567"/>
      <w:bookmarkStart w:id="334" w:name="_Toc152042343"/>
      <w:bookmarkStart w:id="335" w:name="_Toc14214"/>
      <w:r>
        <w:rPr>
          <w:rFonts w:hint="eastAsia" w:ascii="仿宋" w:hAnsi="仿宋" w:eastAsia="仿宋" w:cs="仿宋"/>
          <w:color w:val="auto"/>
          <w:sz w:val="24"/>
          <w:szCs w:val="24"/>
          <w:highlight w:val="none"/>
        </w:rPr>
        <w:t>7.1 定标方式</w:t>
      </w:r>
      <w:bookmarkEnd w:id="328"/>
      <w:bookmarkEnd w:id="329"/>
      <w:bookmarkEnd w:id="330"/>
      <w:bookmarkEnd w:id="331"/>
      <w:bookmarkEnd w:id="332"/>
      <w:bookmarkEnd w:id="333"/>
      <w:bookmarkEnd w:id="334"/>
      <w:bookmarkEnd w:id="335"/>
    </w:p>
    <w:p w14:paraId="4684E38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除供应商须知前附表规定</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直接确定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人外，采购人依据</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推荐的</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推荐</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候选人的人数见供应商须知前附表。</w:t>
      </w:r>
    </w:p>
    <w:p w14:paraId="7A2F46EF">
      <w:pPr>
        <w:pStyle w:val="51"/>
        <w:spacing w:line="360" w:lineRule="auto"/>
        <w:outlineLvl w:val="0"/>
        <w:rPr>
          <w:rFonts w:hint="eastAsia" w:ascii="仿宋" w:hAnsi="仿宋" w:eastAsia="仿宋" w:cs="仿宋"/>
          <w:color w:val="auto"/>
          <w:sz w:val="24"/>
          <w:szCs w:val="24"/>
          <w:highlight w:val="none"/>
        </w:rPr>
      </w:pPr>
      <w:bookmarkStart w:id="336" w:name="_Toc532034680"/>
      <w:bookmarkStart w:id="337" w:name="_Toc144974536"/>
      <w:bookmarkStart w:id="338" w:name="_Toc16445"/>
      <w:bookmarkStart w:id="339" w:name="_Toc152042344"/>
      <w:bookmarkStart w:id="340" w:name="_Toc152045568"/>
      <w:bookmarkStart w:id="341" w:name="_Toc629"/>
      <w:bookmarkStart w:id="342" w:name="_Toc2108"/>
      <w:bookmarkStart w:id="343" w:name="_Toc19004"/>
      <w:r>
        <w:rPr>
          <w:rFonts w:hint="eastAsia" w:ascii="仿宋" w:hAnsi="仿宋" w:eastAsia="仿宋" w:cs="仿宋"/>
          <w:color w:val="auto"/>
          <w:sz w:val="24"/>
          <w:szCs w:val="24"/>
          <w:highlight w:val="none"/>
        </w:rPr>
        <w:t xml:space="preserve">7.2 </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w:t>
      </w:r>
      <w:bookmarkEnd w:id="336"/>
      <w:bookmarkEnd w:id="337"/>
      <w:bookmarkEnd w:id="338"/>
      <w:bookmarkEnd w:id="339"/>
      <w:bookmarkEnd w:id="340"/>
      <w:bookmarkEnd w:id="341"/>
      <w:bookmarkEnd w:id="342"/>
      <w:bookmarkEnd w:id="343"/>
    </w:p>
    <w:p w14:paraId="38435CF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7.2.1采购代理机构应当在评标结束后2个工作日内将评标报告送采购人。</w:t>
      </w:r>
    </w:p>
    <w:p w14:paraId="292C6C6B">
      <w:pPr>
        <w:spacing w:line="360" w:lineRule="auto"/>
        <w:ind w:firstLine="480" w:firstLineChars="200"/>
        <w:rPr>
          <w:rFonts w:hint="eastAsia" w:ascii="仿宋" w:hAnsi="仿宋" w:eastAsia="仿宋" w:cs="仿宋"/>
          <w:color w:val="auto"/>
          <w:sz w:val="24"/>
          <w:szCs w:val="24"/>
          <w:highlight w:val="red"/>
        </w:rPr>
      </w:pPr>
      <w:r>
        <w:rPr>
          <w:rFonts w:hint="eastAsia" w:ascii="仿宋" w:hAnsi="仿宋" w:eastAsia="仿宋" w:cs="仿宋"/>
          <w:color w:val="auto"/>
          <w:sz w:val="24"/>
          <w:szCs w:val="24"/>
          <w:highlight w:val="none"/>
        </w:rPr>
        <w:t>7.2.2采购人应当自收到评标报告之日起5个工作日内，在评标报告确定的中标候选人名单中按顺序确定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p>
    <w:p w14:paraId="53B0E0B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7.2.3采购人在收到评标报告5个工作日内未按评标报告推荐的</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候选人顺序确定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人，又不能说明合法理由的，视同按评标报告推荐的顺序确定排名第一的</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p>
    <w:p w14:paraId="77671A4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7.2.4采购人或者采购代理机构应当自</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人确定之日起2个工作日内，在省级以上财政部门指定的媒体上公告</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结果，</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应当随</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结果同时公告。</w:t>
      </w:r>
    </w:p>
    <w:p w14:paraId="61F30EE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w:t>
      </w:r>
      <w:r>
        <w:rPr>
          <w:rFonts w:hint="eastAsia" w:ascii="仿宋" w:hAnsi="仿宋" w:eastAsia="仿宋" w:cs="仿宋"/>
          <w:color w:val="auto"/>
          <w:sz w:val="24"/>
          <w:szCs w:val="24"/>
          <w:highlight w:val="none"/>
          <w:lang w:val="en-US" w:eastAsia="zh-CN"/>
        </w:rPr>
        <w:t>5成交</w:t>
      </w:r>
      <w:r>
        <w:rPr>
          <w:rFonts w:hint="eastAsia" w:ascii="仿宋" w:hAnsi="仿宋" w:eastAsia="仿宋" w:cs="仿宋"/>
          <w:color w:val="auto"/>
          <w:sz w:val="24"/>
          <w:szCs w:val="24"/>
          <w:highlight w:val="none"/>
        </w:rPr>
        <w:t>公告期限为1个工作日。</w:t>
      </w:r>
    </w:p>
    <w:p w14:paraId="3B10278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在公告</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结果的同时，采购人或者采购代理机构应当向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人发出</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w:t>
      </w:r>
    </w:p>
    <w:p w14:paraId="2AF408E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w:t>
      </w:r>
      <w:r>
        <w:rPr>
          <w:rFonts w:hint="eastAsia" w:ascii="仿宋" w:hAnsi="仿宋" w:eastAsia="仿宋" w:cs="仿宋"/>
          <w:color w:val="auto"/>
          <w:sz w:val="24"/>
          <w:szCs w:val="24"/>
          <w:highlight w:val="none"/>
          <w:lang w:val="en-US" w:eastAsia="zh-CN"/>
        </w:rPr>
        <w:t>7成交</w:t>
      </w:r>
      <w:r>
        <w:rPr>
          <w:rFonts w:hint="eastAsia" w:ascii="仿宋" w:hAnsi="仿宋" w:eastAsia="仿宋" w:cs="仿宋"/>
          <w:color w:val="auto"/>
          <w:sz w:val="24"/>
          <w:szCs w:val="24"/>
          <w:highlight w:val="none"/>
        </w:rPr>
        <w:t>通知书发出后，采购人不得违法改变</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结果，</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人无正当理由不得放弃中标。</w:t>
      </w:r>
    </w:p>
    <w:p w14:paraId="3FCD1CD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7.2.8各有关当事人对成交结果有异议的，可以在成交结果公告期限届满之日起七个工作日内，以书面形式同时向采购人和采购代理机构提出质疑(加盖单位公章且法人签字)，由法定代表人或其授权代表携带企业营业执照复印件（加盖公章）及本人身份证件（原件）一并提交（邮寄、传真件不予受理），并以质疑函接收日期作为受理时间。逾期提交或未按照要求提交的质疑函将不予受理。 </w:t>
      </w:r>
    </w:p>
    <w:p w14:paraId="5684089E">
      <w:pPr>
        <w:pStyle w:val="51"/>
        <w:spacing w:line="360" w:lineRule="auto"/>
        <w:outlineLvl w:val="0"/>
        <w:rPr>
          <w:rFonts w:hint="eastAsia" w:ascii="仿宋" w:hAnsi="仿宋" w:eastAsia="仿宋" w:cs="仿宋"/>
          <w:color w:val="auto"/>
          <w:sz w:val="24"/>
          <w:szCs w:val="24"/>
          <w:highlight w:val="none"/>
        </w:rPr>
      </w:pPr>
      <w:bookmarkStart w:id="344" w:name="_Toc5838"/>
      <w:bookmarkStart w:id="345" w:name="_Toc11740"/>
      <w:bookmarkStart w:id="346" w:name="_Toc12553"/>
      <w:bookmarkStart w:id="347" w:name="_Toc532034681"/>
      <w:bookmarkStart w:id="348" w:name="_Toc152042346"/>
      <w:bookmarkStart w:id="349" w:name="_Toc144974538"/>
      <w:bookmarkStart w:id="350" w:name="_Toc30098"/>
      <w:bookmarkStart w:id="351" w:name="_Toc152045570"/>
      <w:r>
        <w:rPr>
          <w:rFonts w:hint="eastAsia" w:ascii="仿宋" w:hAnsi="仿宋" w:eastAsia="仿宋" w:cs="仿宋"/>
          <w:color w:val="auto"/>
          <w:sz w:val="24"/>
          <w:szCs w:val="24"/>
          <w:highlight w:val="none"/>
        </w:rPr>
        <w:t>7.3 签订合同</w:t>
      </w:r>
      <w:bookmarkEnd w:id="344"/>
      <w:bookmarkEnd w:id="345"/>
      <w:bookmarkEnd w:id="346"/>
      <w:bookmarkEnd w:id="347"/>
      <w:bookmarkEnd w:id="348"/>
      <w:bookmarkEnd w:id="349"/>
      <w:bookmarkEnd w:id="350"/>
      <w:bookmarkEnd w:id="351"/>
    </w:p>
    <w:p w14:paraId="5DAF412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7.3.1采购人应当自中标通知书发出之日起</w:t>
      </w:r>
      <w:r>
        <w:rPr>
          <w:rFonts w:hint="eastAsia" w:ascii="仿宋" w:hAnsi="仿宋" w:eastAsia="仿宋" w:cs="仿宋"/>
          <w:color w:val="auto"/>
          <w:sz w:val="24"/>
          <w:szCs w:val="24"/>
          <w:highlight w:val="none"/>
          <w:lang w:val="en-US" w:eastAsia="zh-CN"/>
        </w:rPr>
        <w:t>2个工作</w:t>
      </w:r>
      <w:r>
        <w:rPr>
          <w:rFonts w:hint="eastAsia" w:ascii="仿宋" w:hAnsi="仿宋" w:eastAsia="仿宋" w:cs="仿宋"/>
          <w:color w:val="auto"/>
          <w:sz w:val="24"/>
          <w:szCs w:val="24"/>
          <w:highlight w:val="none"/>
        </w:rPr>
        <w:t>日内，按照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的规定，与</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人签订书面合同。所签订的合同不得对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确定的事项和</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作实质性修改。</w:t>
      </w:r>
    </w:p>
    <w:p w14:paraId="10708AB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7.3.2采购人不得向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人提出任何不合理的要求作为签订合同的条件。</w:t>
      </w:r>
    </w:p>
    <w:p w14:paraId="7F4CB16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7.3.3 发出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通知书后，采购人无正当理由拒签合同的，给</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人造成损失的，还应当赔偿损失。</w:t>
      </w:r>
    </w:p>
    <w:p w14:paraId="2D0E6C6D">
      <w:pPr>
        <w:pStyle w:val="49"/>
        <w:spacing w:before="0" w:line="360" w:lineRule="auto"/>
        <w:outlineLvl w:val="0"/>
        <w:rPr>
          <w:rFonts w:hint="eastAsia" w:ascii="仿宋" w:hAnsi="仿宋" w:eastAsia="仿宋" w:cs="仿宋"/>
          <w:b/>
          <w:color w:val="auto"/>
          <w:sz w:val="24"/>
          <w:szCs w:val="24"/>
          <w:highlight w:val="none"/>
        </w:rPr>
      </w:pPr>
      <w:bookmarkStart w:id="352" w:name="_Toc144974539"/>
      <w:bookmarkStart w:id="353" w:name="_Toc152045571"/>
      <w:bookmarkStart w:id="354" w:name="_Toc152042347"/>
      <w:bookmarkStart w:id="355" w:name="_Toc4812"/>
      <w:bookmarkStart w:id="356" w:name="_Toc23777"/>
      <w:bookmarkStart w:id="357" w:name="_Toc9896"/>
      <w:r>
        <w:rPr>
          <w:rFonts w:hint="eastAsia" w:ascii="仿宋" w:hAnsi="仿宋" w:eastAsia="仿宋" w:cs="仿宋"/>
          <w:b/>
          <w:color w:val="auto"/>
          <w:sz w:val="24"/>
          <w:szCs w:val="24"/>
          <w:highlight w:val="none"/>
        </w:rPr>
        <w:t>8. 重新采购和</w:t>
      </w:r>
      <w:bookmarkEnd w:id="352"/>
      <w:bookmarkEnd w:id="353"/>
      <w:bookmarkEnd w:id="354"/>
      <w:r>
        <w:rPr>
          <w:rFonts w:hint="eastAsia" w:ascii="仿宋" w:hAnsi="仿宋" w:eastAsia="仿宋" w:cs="仿宋"/>
          <w:b/>
          <w:color w:val="auto"/>
          <w:sz w:val="24"/>
          <w:szCs w:val="24"/>
          <w:highlight w:val="none"/>
        </w:rPr>
        <w:t>采购变更</w:t>
      </w:r>
      <w:bookmarkEnd w:id="355"/>
      <w:bookmarkEnd w:id="356"/>
      <w:bookmarkEnd w:id="357"/>
    </w:p>
    <w:p w14:paraId="35D351FD">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8.1 重新采购</w:t>
      </w:r>
    </w:p>
    <w:p w14:paraId="01EDF9E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出现下列情形之一的，采购人或者采购代理机构应当终止竞争性磋商采购活动，发布项目终止公告并说明原因，重新开展采购活动：</w:t>
      </w:r>
    </w:p>
    <w:p w14:paraId="04FEC9F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（一）因情况变化，不再符合规定的竞争性磋商采购方式适用情形的； </w:t>
      </w:r>
    </w:p>
    <w:p w14:paraId="37612EAF">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（二）出现影响采购公正的违法、违规行为的； </w:t>
      </w:r>
    </w:p>
    <w:p w14:paraId="645E6C1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（三）除《政府采购竞争性磋商采购方式管理暂行办法》第二十一条第三款规定的情形外，在采购过程中符合要求的供应商或者报价未超过采购预算的供应商不足3家的。</w:t>
      </w:r>
    </w:p>
    <w:p w14:paraId="66C93966">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8.2 </w:t>
      </w:r>
      <w:r>
        <w:rPr>
          <w:rFonts w:hint="eastAsia" w:ascii="仿宋" w:hAnsi="仿宋" w:eastAsia="仿宋" w:cs="仿宋"/>
          <w:color w:val="auto"/>
          <w:sz w:val="24"/>
          <w:szCs w:val="24"/>
          <w:highlight w:val="none"/>
          <w:lang w:eastAsia="zh-CN"/>
        </w:rPr>
        <w:t>不</w:t>
      </w:r>
      <w:r>
        <w:rPr>
          <w:rFonts w:hint="eastAsia" w:ascii="仿宋" w:hAnsi="仿宋" w:eastAsia="仿宋" w:cs="仿宋"/>
          <w:color w:val="auto"/>
          <w:sz w:val="24"/>
          <w:szCs w:val="24"/>
          <w:highlight w:val="none"/>
          <w:lang w:val="en-US" w:eastAsia="zh-CN"/>
        </w:rPr>
        <w:t>再采购</w:t>
      </w:r>
    </w:p>
    <w:p w14:paraId="7F23473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在采购活动中因重大变故，采购任务取消的，采购人或者采购代理机构应当终止采购活动，通知所有参加采购活动的供应商，并将项目实施情况和采购任务取消原因报送本级财政部门。</w:t>
      </w:r>
    </w:p>
    <w:p w14:paraId="05216D84">
      <w:pPr>
        <w:pStyle w:val="49"/>
        <w:spacing w:before="0" w:line="360" w:lineRule="auto"/>
        <w:outlineLvl w:val="0"/>
        <w:rPr>
          <w:rFonts w:hint="eastAsia" w:ascii="仿宋" w:hAnsi="仿宋" w:eastAsia="仿宋" w:cs="仿宋"/>
          <w:b/>
          <w:color w:val="auto"/>
          <w:sz w:val="24"/>
          <w:szCs w:val="24"/>
          <w:highlight w:val="none"/>
        </w:rPr>
      </w:pPr>
      <w:bookmarkStart w:id="358" w:name="_Toc152042350"/>
      <w:bookmarkStart w:id="359" w:name="_Toc23048"/>
      <w:bookmarkStart w:id="360" w:name="_Toc152045574"/>
      <w:bookmarkStart w:id="361" w:name="_Toc144974542"/>
      <w:bookmarkStart w:id="362" w:name="_Toc3820"/>
      <w:bookmarkStart w:id="363" w:name="_Toc7774"/>
      <w:r>
        <w:rPr>
          <w:rFonts w:hint="eastAsia" w:ascii="仿宋" w:hAnsi="仿宋" w:eastAsia="仿宋" w:cs="仿宋"/>
          <w:b/>
          <w:color w:val="auto"/>
          <w:sz w:val="24"/>
          <w:szCs w:val="24"/>
          <w:highlight w:val="none"/>
        </w:rPr>
        <w:t>9. 纪律和监督</w:t>
      </w:r>
      <w:bookmarkEnd w:id="358"/>
      <w:bookmarkEnd w:id="359"/>
      <w:bookmarkEnd w:id="360"/>
      <w:bookmarkEnd w:id="361"/>
      <w:bookmarkEnd w:id="362"/>
      <w:bookmarkEnd w:id="363"/>
    </w:p>
    <w:p w14:paraId="1E9B5049">
      <w:pPr>
        <w:pStyle w:val="51"/>
        <w:spacing w:line="360" w:lineRule="auto"/>
        <w:outlineLvl w:val="0"/>
        <w:rPr>
          <w:rFonts w:hint="eastAsia" w:ascii="仿宋" w:hAnsi="仿宋" w:eastAsia="仿宋" w:cs="仿宋"/>
          <w:color w:val="auto"/>
          <w:sz w:val="24"/>
          <w:szCs w:val="24"/>
          <w:highlight w:val="none"/>
        </w:rPr>
      </w:pPr>
      <w:bookmarkStart w:id="364" w:name="_Toc144974543"/>
      <w:bookmarkStart w:id="365" w:name="_Toc532034686"/>
      <w:bookmarkStart w:id="366" w:name="_Toc2030"/>
      <w:bookmarkStart w:id="367" w:name="_Toc152042351"/>
      <w:bookmarkStart w:id="368" w:name="_Toc15536"/>
      <w:bookmarkStart w:id="369" w:name="_Toc10011"/>
      <w:bookmarkStart w:id="370" w:name="_Toc19352"/>
      <w:bookmarkStart w:id="371" w:name="_Toc152045575"/>
      <w:r>
        <w:rPr>
          <w:rFonts w:hint="eastAsia" w:ascii="仿宋" w:hAnsi="仿宋" w:eastAsia="仿宋" w:cs="仿宋"/>
          <w:color w:val="auto"/>
          <w:sz w:val="24"/>
          <w:szCs w:val="24"/>
          <w:highlight w:val="none"/>
        </w:rPr>
        <w:t>9.1 对采购人的纪律要求</w:t>
      </w:r>
      <w:bookmarkEnd w:id="364"/>
      <w:bookmarkEnd w:id="365"/>
      <w:bookmarkEnd w:id="366"/>
      <w:bookmarkEnd w:id="367"/>
      <w:bookmarkEnd w:id="368"/>
      <w:bookmarkEnd w:id="369"/>
      <w:bookmarkEnd w:id="370"/>
      <w:bookmarkEnd w:id="371"/>
    </w:p>
    <w:p w14:paraId="7CA75A7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采购人不得泄漏采购投标活动中应当保密的情况和资料，不得与供应商串通损害国家利益、社会公共利益或者他人合法权益。</w:t>
      </w:r>
    </w:p>
    <w:p w14:paraId="684FB571">
      <w:pPr>
        <w:pStyle w:val="51"/>
        <w:spacing w:line="360" w:lineRule="auto"/>
        <w:outlineLvl w:val="0"/>
        <w:rPr>
          <w:rFonts w:hint="eastAsia" w:ascii="仿宋" w:hAnsi="仿宋" w:eastAsia="仿宋" w:cs="仿宋"/>
          <w:color w:val="auto"/>
          <w:sz w:val="24"/>
          <w:szCs w:val="24"/>
          <w:highlight w:val="none"/>
        </w:rPr>
      </w:pPr>
      <w:bookmarkStart w:id="372" w:name="_Toc22076"/>
      <w:bookmarkStart w:id="373" w:name="_Toc152045576"/>
      <w:bookmarkStart w:id="374" w:name="_Toc13740"/>
      <w:bookmarkStart w:id="375" w:name="_Toc152042352"/>
      <w:bookmarkStart w:id="376" w:name="_Toc144974544"/>
      <w:bookmarkStart w:id="377" w:name="_Toc15611"/>
      <w:bookmarkStart w:id="378" w:name="_Toc14457"/>
      <w:bookmarkStart w:id="379" w:name="_Toc532034687"/>
      <w:r>
        <w:rPr>
          <w:rFonts w:hint="eastAsia" w:ascii="仿宋" w:hAnsi="仿宋" w:eastAsia="仿宋" w:cs="仿宋"/>
          <w:color w:val="auto"/>
          <w:sz w:val="24"/>
          <w:szCs w:val="24"/>
          <w:highlight w:val="none"/>
        </w:rPr>
        <w:t>9.2 对供应商的纪律要求</w:t>
      </w:r>
      <w:bookmarkEnd w:id="372"/>
      <w:bookmarkEnd w:id="373"/>
      <w:bookmarkEnd w:id="374"/>
      <w:bookmarkEnd w:id="375"/>
      <w:bookmarkEnd w:id="376"/>
      <w:bookmarkEnd w:id="377"/>
      <w:bookmarkEnd w:id="378"/>
      <w:bookmarkEnd w:id="379"/>
    </w:p>
    <w:p w14:paraId="6F3C58E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供应商不得相互串通投标或者与采购人串通投标，不得向采购人或者</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成员行贿谋取中标，不得以他人名义投标或者以其他方式弄虚作假骗取中标；供应商不得以任何方式干扰、影响评标工作。</w:t>
      </w:r>
    </w:p>
    <w:p w14:paraId="5A94538C">
      <w:pPr>
        <w:pStyle w:val="51"/>
        <w:spacing w:line="360" w:lineRule="auto"/>
        <w:outlineLvl w:val="0"/>
        <w:rPr>
          <w:rFonts w:hint="eastAsia" w:ascii="仿宋" w:hAnsi="仿宋" w:eastAsia="仿宋" w:cs="仿宋"/>
          <w:color w:val="auto"/>
          <w:sz w:val="24"/>
          <w:szCs w:val="24"/>
          <w:highlight w:val="none"/>
        </w:rPr>
      </w:pPr>
      <w:bookmarkStart w:id="380" w:name="_Toc152042353"/>
      <w:bookmarkStart w:id="381" w:name="_Toc532034688"/>
      <w:bookmarkStart w:id="382" w:name="_Toc144974545"/>
      <w:bookmarkStart w:id="383" w:name="_Toc18893"/>
      <w:bookmarkStart w:id="384" w:name="_Toc1861"/>
      <w:bookmarkStart w:id="385" w:name="_Toc28998"/>
      <w:bookmarkStart w:id="386" w:name="_Toc8899"/>
      <w:bookmarkStart w:id="387" w:name="_Toc152045577"/>
      <w:r>
        <w:rPr>
          <w:rFonts w:hint="eastAsia" w:ascii="仿宋" w:hAnsi="仿宋" w:eastAsia="仿宋" w:cs="仿宋"/>
          <w:color w:val="auto"/>
          <w:sz w:val="24"/>
          <w:szCs w:val="24"/>
          <w:highlight w:val="none"/>
        </w:rPr>
        <w:t>9.3 对</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成员的纪律要求</w:t>
      </w:r>
      <w:bookmarkEnd w:id="380"/>
      <w:bookmarkEnd w:id="381"/>
      <w:bookmarkEnd w:id="382"/>
      <w:bookmarkEnd w:id="383"/>
      <w:bookmarkEnd w:id="384"/>
      <w:bookmarkEnd w:id="385"/>
      <w:bookmarkEnd w:id="386"/>
      <w:bookmarkEnd w:id="387"/>
    </w:p>
    <w:p w14:paraId="3CDB8AF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9.3.1</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成员不得收受他人的财物或者其他好处，不得向他人透漏对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的评审和比较、</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候选人的推荐情况以及评标有关的其他情况。在评标活动中，</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成员不得擅离职守，影响评标程序正常进行，不得使用第三章“评标办法”没有规定的评审因素和标准进行评标。</w:t>
      </w:r>
    </w:p>
    <w:p w14:paraId="2C00E29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9.3.2</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及其成员不得有下列行为：</w:t>
      </w:r>
    </w:p>
    <w:p w14:paraId="11182E9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（一）确定参与评标至评标结束前私自接触供应商；</w:t>
      </w:r>
    </w:p>
    <w:p w14:paraId="060195C5">
      <w:pPr>
        <w:spacing w:line="360" w:lineRule="auto"/>
        <w:ind w:left="540" w:leftChars="20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（二）接受供应商提出的与</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不一致的澄清或者说明，《政府采购货物和服务采购投标管理办法》（财政部令第87号）第五十一条规定的情形除外；</w:t>
      </w:r>
    </w:p>
    <w:p w14:paraId="39909CB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（三）违反评标纪律发表倾向性意见或者征询采购人的倾向性意见；</w:t>
      </w:r>
    </w:p>
    <w:p w14:paraId="4D7E768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（四）对需要专业判断的主观评审因素协商评分；</w:t>
      </w:r>
    </w:p>
    <w:p w14:paraId="39D1FAE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（五）在评标过程中擅离职守，影响评标程序正常进行的；</w:t>
      </w:r>
    </w:p>
    <w:p w14:paraId="793A710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（六）记录、复制或者带走任何评标资料；</w:t>
      </w:r>
    </w:p>
    <w:p w14:paraId="021A5D1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（七）其他不遵守评标纪律的行为。</w:t>
      </w:r>
    </w:p>
    <w:p w14:paraId="665F521D">
      <w:pPr>
        <w:pStyle w:val="51"/>
        <w:spacing w:line="360" w:lineRule="auto"/>
        <w:outlineLvl w:val="0"/>
        <w:rPr>
          <w:rFonts w:hint="eastAsia" w:ascii="仿宋" w:hAnsi="仿宋" w:eastAsia="仿宋" w:cs="仿宋"/>
          <w:color w:val="auto"/>
          <w:sz w:val="24"/>
          <w:szCs w:val="24"/>
          <w:highlight w:val="none"/>
        </w:rPr>
      </w:pPr>
      <w:bookmarkStart w:id="388" w:name="_Toc152042354"/>
      <w:bookmarkStart w:id="389" w:name="_Toc24353"/>
      <w:bookmarkStart w:id="390" w:name="_Toc22906"/>
      <w:bookmarkStart w:id="391" w:name="_Toc15961"/>
      <w:bookmarkStart w:id="392" w:name="_Toc152045578"/>
      <w:bookmarkStart w:id="393" w:name="_Toc532034689"/>
      <w:bookmarkStart w:id="394" w:name="_Toc6665"/>
      <w:bookmarkStart w:id="395" w:name="_Toc144974546"/>
      <w:r>
        <w:rPr>
          <w:rFonts w:hint="eastAsia" w:ascii="仿宋" w:hAnsi="仿宋" w:eastAsia="仿宋" w:cs="仿宋"/>
          <w:color w:val="auto"/>
          <w:sz w:val="24"/>
          <w:szCs w:val="24"/>
          <w:highlight w:val="none"/>
        </w:rPr>
        <w:t>9.4 对与评标活动有关的工作人员的纪律要求</w:t>
      </w:r>
      <w:bookmarkEnd w:id="388"/>
      <w:bookmarkEnd w:id="389"/>
      <w:bookmarkEnd w:id="390"/>
      <w:bookmarkEnd w:id="391"/>
      <w:bookmarkEnd w:id="392"/>
      <w:bookmarkEnd w:id="393"/>
      <w:bookmarkEnd w:id="394"/>
    </w:p>
    <w:p w14:paraId="07BF8F56">
      <w:pPr>
        <w:spacing w:line="360" w:lineRule="auto"/>
        <w:ind w:firstLine="480" w:firstLineChars="200"/>
        <w:rPr>
          <w:rFonts w:hint="eastAsia" w:ascii="仿宋" w:hAnsi="仿宋" w:eastAsia="仿宋" w:cs="仿宋"/>
          <w:color w:val="auto"/>
          <w:sz w:val="24"/>
          <w:szCs w:val="24"/>
          <w:highlight w:val="none"/>
        </w:rPr>
      </w:pPr>
      <w:bookmarkStart w:id="396" w:name="_Toc152042355"/>
      <w:r>
        <w:rPr>
          <w:rFonts w:hint="eastAsia" w:ascii="仿宋" w:hAnsi="仿宋" w:eastAsia="仿宋" w:cs="仿宋"/>
          <w:color w:val="auto"/>
          <w:sz w:val="24"/>
          <w:szCs w:val="24"/>
          <w:highlight w:val="none"/>
        </w:rPr>
        <w:t>与评标活动有关的工作人员不得收受他人的财物或者其他好处，不得向他人透漏对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的评审和比较、</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候选人的推荐情况以及评标有关的其他情况。在评标活动中，与评标活动有关的工作人员不得擅离职守，影响评标程序正常进行。</w:t>
      </w:r>
      <w:bookmarkEnd w:id="396"/>
    </w:p>
    <w:p w14:paraId="3E6F9827">
      <w:pPr>
        <w:pStyle w:val="51"/>
        <w:spacing w:line="360" w:lineRule="auto"/>
        <w:outlineLvl w:val="0"/>
        <w:rPr>
          <w:rFonts w:hint="eastAsia" w:ascii="仿宋" w:hAnsi="仿宋" w:eastAsia="仿宋" w:cs="仿宋"/>
          <w:color w:val="auto"/>
          <w:sz w:val="24"/>
          <w:szCs w:val="24"/>
          <w:highlight w:val="none"/>
        </w:rPr>
      </w:pPr>
      <w:bookmarkStart w:id="397" w:name="_Toc152042356"/>
      <w:bookmarkStart w:id="398" w:name="_Toc30295"/>
      <w:bookmarkStart w:id="399" w:name="_Toc532034690"/>
      <w:bookmarkStart w:id="400" w:name="_Toc29970"/>
      <w:bookmarkStart w:id="401" w:name="_Toc152045579"/>
      <w:bookmarkStart w:id="402" w:name="_Toc857"/>
      <w:bookmarkStart w:id="403" w:name="_Toc17141"/>
      <w:r>
        <w:rPr>
          <w:rFonts w:hint="eastAsia" w:ascii="仿宋" w:hAnsi="仿宋" w:eastAsia="仿宋" w:cs="仿宋"/>
          <w:color w:val="auto"/>
          <w:sz w:val="24"/>
          <w:szCs w:val="24"/>
          <w:highlight w:val="none"/>
        </w:rPr>
        <w:t>9.5 投诉</w:t>
      </w:r>
      <w:bookmarkEnd w:id="395"/>
      <w:bookmarkEnd w:id="397"/>
      <w:bookmarkEnd w:id="398"/>
      <w:bookmarkEnd w:id="399"/>
      <w:bookmarkEnd w:id="400"/>
      <w:bookmarkEnd w:id="401"/>
      <w:bookmarkEnd w:id="402"/>
      <w:bookmarkEnd w:id="403"/>
    </w:p>
    <w:p w14:paraId="6AD9DDF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供应商和其他利害关系人认为本次采购活动违反法律、法规和规章规定的，有权向有关行政监督部门投诉。</w:t>
      </w:r>
    </w:p>
    <w:p w14:paraId="223C2551">
      <w:pPr>
        <w:pStyle w:val="49"/>
        <w:spacing w:before="0" w:line="360" w:lineRule="auto"/>
        <w:outlineLvl w:val="0"/>
        <w:rPr>
          <w:rFonts w:hint="eastAsia" w:ascii="仿宋" w:hAnsi="仿宋" w:eastAsia="仿宋" w:cs="仿宋"/>
          <w:b/>
          <w:color w:val="auto"/>
          <w:sz w:val="24"/>
          <w:szCs w:val="24"/>
          <w:highlight w:val="none"/>
        </w:rPr>
      </w:pPr>
      <w:bookmarkStart w:id="404" w:name="_Toc27677"/>
      <w:bookmarkStart w:id="405" w:name="_Toc144974547"/>
      <w:bookmarkStart w:id="406" w:name="_Toc152042357"/>
      <w:bookmarkStart w:id="407" w:name="_Toc21904"/>
      <w:bookmarkStart w:id="408" w:name="_Toc23296"/>
      <w:bookmarkStart w:id="409" w:name="_Toc152045580"/>
      <w:r>
        <w:rPr>
          <w:rFonts w:hint="eastAsia" w:ascii="仿宋" w:hAnsi="仿宋" w:eastAsia="仿宋" w:cs="仿宋"/>
          <w:b/>
          <w:color w:val="auto"/>
          <w:sz w:val="24"/>
          <w:szCs w:val="24"/>
          <w:highlight w:val="none"/>
        </w:rPr>
        <w:t>10. 需要补充的其他内容</w:t>
      </w:r>
      <w:bookmarkEnd w:id="404"/>
      <w:bookmarkEnd w:id="405"/>
      <w:bookmarkEnd w:id="406"/>
      <w:bookmarkEnd w:id="407"/>
      <w:bookmarkEnd w:id="408"/>
      <w:bookmarkEnd w:id="409"/>
    </w:p>
    <w:p w14:paraId="57D42CE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需要补充的其他内容：见供应商须知前附表。</w:t>
      </w:r>
    </w:p>
    <w:p w14:paraId="2149B210">
      <w:pPr>
        <w:pStyle w:val="45"/>
        <w:spacing w:line="360" w:lineRule="auto"/>
        <w:ind w:firstLine="420"/>
        <w:jc w:val="both"/>
        <w:rPr>
          <w:rFonts w:hint="eastAsia" w:ascii="仿宋" w:hAnsi="仿宋" w:eastAsia="仿宋" w:cs="仿宋"/>
          <w:color w:val="auto"/>
          <w:sz w:val="24"/>
          <w:szCs w:val="24"/>
          <w:highlight w:val="none"/>
        </w:rPr>
      </w:pPr>
    </w:p>
    <w:p w14:paraId="79C15FEA">
      <w:pPr>
        <w:autoSpaceDE w:val="0"/>
        <w:autoSpaceDN w:val="0"/>
        <w:adjustRightInd w:val="0"/>
        <w:spacing w:line="360" w:lineRule="auto"/>
        <w:jc w:val="left"/>
        <w:rPr>
          <w:rFonts w:hint="eastAsia" w:ascii="仿宋" w:hAnsi="仿宋" w:eastAsia="仿宋" w:cs="仿宋"/>
          <w:color w:val="auto"/>
          <w:kern w:val="0"/>
          <w:sz w:val="24"/>
          <w:szCs w:val="24"/>
          <w:highlight w:val="none"/>
        </w:rPr>
        <w:sectPr>
          <w:headerReference r:id="rId10" w:type="first"/>
          <w:footerReference r:id="rId12" w:type="first"/>
          <w:footerReference r:id="rId11" w:type="default"/>
          <w:pgSz w:w="11906" w:h="16838"/>
          <w:pgMar w:top="1440" w:right="1080" w:bottom="1440" w:left="1140" w:header="851" w:footer="992" w:gutter="0"/>
          <w:pgNumType w:fmt="decimal"/>
          <w:cols w:space="720" w:num="1"/>
          <w:titlePg/>
          <w:docGrid w:type="linesAndChars" w:linePitch="312" w:charSpace="0"/>
        </w:sectPr>
      </w:pPr>
    </w:p>
    <w:p w14:paraId="74A57913">
      <w:pPr>
        <w:pStyle w:val="3"/>
        <w:spacing w:before="120" w:after="120" w:line="500" w:lineRule="exact"/>
        <w:jc w:val="center"/>
        <w:rPr>
          <w:rFonts w:hint="eastAsia" w:ascii="仿宋" w:hAnsi="仿宋" w:eastAsia="仿宋" w:cs="仿宋"/>
          <w:color w:val="auto"/>
          <w:sz w:val="10"/>
          <w:szCs w:val="10"/>
          <w:highlight w:val="none"/>
        </w:rPr>
      </w:pPr>
      <w:bookmarkStart w:id="410" w:name="_Toc27510"/>
      <w:bookmarkStart w:id="411" w:name="_Toc152045598"/>
      <w:bookmarkStart w:id="412" w:name="_Toc144974565"/>
      <w:bookmarkStart w:id="413" w:name="_Toc152042375"/>
      <w:r>
        <w:rPr>
          <w:rFonts w:hint="eastAsia" w:ascii="仿宋" w:hAnsi="仿宋" w:eastAsia="仿宋" w:cs="仿宋"/>
          <w:color w:val="auto"/>
          <w:sz w:val="32"/>
          <w:highlight w:val="none"/>
        </w:rPr>
        <w:t xml:space="preserve">第三章 </w:t>
      </w:r>
      <w:r>
        <w:rPr>
          <w:rFonts w:hint="eastAsia" w:ascii="仿宋" w:hAnsi="仿宋" w:eastAsia="仿宋" w:cs="仿宋"/>
          <w:color w:val="auto"/>
          <w:sz w:val="32"/>
          <w:highlight w:val="none"/>
          <w:lang w:val="en-US" w:eastAsia="zh-CN"/>
        </w:rPr>
        <w:t>磋商</w:t>
      </w:r>
      <w:r>
        <w:rPr>
          <w:rFonts w:hint="eastAsia" w:ascii="仿宋" w:hAnsi="仿宋" w:eastAsia="仿宋" w:cs="仿宋"/>
          <w:color w:val="auto"/>
          <w:sz w:val="32"/>
          <w:highlight w:val="none"/>
        </w:rPr>
        <w:t>办法（综合评分法）</w:t>
      </w:r>
      <w:bookmarkEnd w:id="410"/>
      <w:bookmarkEnd w:id="411"/>
      <w:bookmarkEnd w:id="412"/>
      <w:bookmarkEnd w:id="413"/>
    </w:p>
    <w:p w14:paraId="1C832546">
      <w:pPr>
        <w:spacing w:line="32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评分办法前附表</w:t>
      </w:r>
      <w:bookmarkStart w:id="414" w:name="_Toc26261451"/>
      <w:bookmarkStart w:id="415" w:name="_Toc130028398"/>
      <w:bookmarkStart w:id="416" w:name="_Toc25037540"/>
      <w:bookmarkStart w:id="417" w:name="_Toc120416258"/>
      <w:bookmarkStart w:id="418" w:name="_Toc350881051"/>
      <w:bookmarkStart w:id="419" w:name="_Toc138753174"/>
      <w:bookmarkStart w:id="420" w:name="_Toc25726404"/>
    </w:p>
    <w:tbl>
      <w:tblPr>
        <w:tblStyle w:val="27"/>
        <w:tblW w:w="1041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519"/>
        <w:gridCol w:w="1892"/>
        <w:gridCol w:w="6107"/>
      </w:tblGrid>
      <w:tr w14:paraId="0DF760C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419" w:type="dxa"/>
            <w:gridSpan w:val="2"/>
            <w:tcBorders>
              <w:top w:val="single" w:color="auto" w:sz="4" w:space="0"/>
              <w:left w:val="single" w:color="auto" w:sz="4" w:space="0"/>
            </w:tcBorders>
            <w:noWrap w:val="0"/>
            <w:vAlign w:val="center"/>
          </w:tcPr>
          <w:p w14:paraId="6AC8B45C">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1892" w:type="dxa"/>
            <w:tcBorders>
              <w:top w:val="single" w:color="auto" w:sz="4" w:space="0"/>
            </w:tcBorders>
            <w:noWrap w:val="0"/>
            <w:vAlign w:val="center"/>
          </w:tcPr>
          <w:p w14:paraId="698E4851">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c>
          <w:tcPr>
            <w:tcW w:w="6107" w:type="dxa"/>
            <w:tcBorders>
              <w:top w:val="single" w:color="auto" w:sz="4" w:space="0"/>
              <w:right w:val="single" w:color="auto" w:sz="4" w:space="0"/>
            </w:tcBorders>
            <w:noWrap w:val="0"/>
            <w:vAlign w:val="center"/>
          </w:tcPr>
          <w:p w14:paraId="7CC8F62C">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评审标准</w:t>
            </w:r>
          </w:p>
        </w:tc>
      </w:tr>
      <w:tr w14:paraId="6BA0FFA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restart"/>
            <w:tcBorders>
              <w:left w:val="single" w:color="auto" w:sz="4" w:space="0"/>
            </w:tcBorders>
            <w:noWrap w:val="0"/>
            <w:vAlign w:val="center"/>
          </w:tcPr>
          <w:p w14:paraId="1D8F4410">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eastAsia="zh-CN"/>
              </w:rPr>
              <w:t>1</w:t>
            </w:r>
          </w:p>
        </w:tc>
        <w:tc>
          <w:tcPr>
            <w:tcW w:w="1519" w:type="dxa"/>
            <w:vMerge w:val="restart"/>
            <w:noWrap w:val="0"/>
            <w:vAlign w:val="center"/>
          </w:tcPr>
          <w:p w14:paraId="2E8046F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资格评审</w:t>
            </w:r>
          </w:p>
          <w:p w14:paraId="05B6643F">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标准</w:t>
            </w:r>
          </w:p>
        </w:tc>
        <w:tc>
          <w:tcPr>
            <w:tcW w:w="1892" w:type="dxa"/>
            <w:tcBorders>
              <w:bottom w:val="single" w:color="auto" w:sz="4" w:space="0"/>
            </w:tcBorders>
            <w:noWrap w:val="0"/>
            <w:vAlign w:val="center"/>
          </w:tcPr>
          <w:p w14:paraId="0CCDF6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具有独立承担民事责任的能力</w:t>
            </w:r>
          </w:p>
        </w:tc>
        <w:tc>
          <w:tcPr>
            <w:tcW w:w="6107" w:type="dxa"/>
            <w:tcBorders>
              <w:bottom w:val="single" w:color="auto" w:sz="4" w:space="0"/>
              <w:right w:val="single" w:color="auto" w:sz="4" w:space="0"/>
            </w:tcBorders>
            <w:noWrap w:val="0"/>
            <w:vAlign w:val="center"/>
          </w:tcPr>
          <w:p w14:paraId="432D4EAD">
            <w:pPr>
              <w:spacing w:line="44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提供有效期内的营业执照</w:t>
            </w:r>
            <w:r>
              <w:rPr>
                <w:rFonts w:hint="eastAsia" w:ascii="仿宋" w:hAnsi="仿宋" w:eastAsia="仿宋" w:cs="仿宋"/>
                <w:color w:val="auto"/>
                <w:sz w:val="24"/>
                <w:szCs w:val="24"/>
                <w:highlight w:val="none"/>
                <w:lang w:val="en-US" w:eastAsia="zh-CN"/>
              </w:rPr>
              <w:t>或其他组织证明材料</w:t>
            </w:r>
          </w:p>
        </w:tc>
      </w:tr>
      <w:tr w14:paraId="1F0DBAE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0690D987">
            <w:pPr>
              <w:spacing w:line="440" w:lineRule="exact"/>
              <w:jc w:val="center"/>
              <w:rPr>
                <w:rFonts w:hint="eastAsia" w:ascii="仿宋" w:hAnsi="仿宋" w:eastAsia="仿宋" w:cs="仿宋"/>
                <w:color w:val="auto"/>
                <w:sz w:val="24"/>
                <w:szCs w:val="24"/>
                <w:highlight w:val="none"/>
              </w:rPr>
            </w:pPr>
          </w:p>
        </w:tc>
        <w:tc>
          <w:tcPr>
            <w:tcW w:w="1519" w:type="dxa"/>
            <w:vMerge w:val="continue"/>
            <w:noWrap w:val="0"/>
            <w:vAlign w:val="center"/>
          </w:tcPr>
          <w:p w14:paraId="3CFE2DF6">
            <w:pPr>
              <w:spacing w:line="440" w:lineRule="exact"/>
              <w:jc w:val="center"/>
              <w:rPr>
                <w:rFonts w:hint="eastAsia" w:ascii="仿宋" w:hAnsi="仿宋" w:eastAsia="仿宋" w:cs="仿宋"/>
                <w:color w:val="auto"/>
                <w:sz w:val="24"/>
                <w:szCs w:val="24"/>
                <w:highlight w:val="none"/>
              </w:rPr>
            </w:pPr>
          </w:p>
        </w:tc>
        <w:tc>
          <w:tcPr>
            <w:tcW w:w="1892" w:type="dxa"/>
            <w:tcBorders>
              <w:bottom w:val="single" w:color="auto" w:sz="4" w:space="0"/>
            </w:tcBorders>
            <w:noWrap w:val="0"/>
            <w:vAlign w:val="center"/>
          </w:tcPr>
          <w:p w14:paraId="79EAD723">
            <w:pPr>
              <w:keepNext w:val="0"/>
              <w:keepLines w:val="0"/>
              <w:pageBreakBefore w:val="0"/>
              <w:widowControl w:val="0"/>
              <w:kinsoku/>
              <w:wordWrap/>
              <w:overflowPunct/>
              <w:topLinePunct w:val="0"/>
              <w:autoSpaceDE/>
              <w:autoSpaceDN/>
              <w:bidi w:val="0"/>
              <w:adjustRightInd/>
              <w:snapToGrid/>
              <w:spacing w:line="400" w:lineRule="exact"/>
              <w:ind w:right="0" w:rightChars="0" w:firstLine="67" w:firstLineChars="28"/>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资质证明</w:t>
            </w:r>
          </w:p>
        </w:tc>
        <w:tc>
          <w:tcPr>
            <w:tcW w:w="6107" w:type="dxa"/>
            <w:tcBorders>
              <w:bottom w:val="single" w:color="auto" w:sz="4" w:space="0"/>
              <w:right w:val="single" w:color="auto" w:sz="4" w:space="0"/>
            </w:tcBorders>
            <w:noWrap w:val="0"/>
            <w:vAlign w:val="center"/>
          </w:tcPr>
          <w:p w14:paraId="32AC5988">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提供有效期内的</w:t>
            </w:r>
            <w:r>
              <w:rPr>
                <w:rFonts w:hint="eastAsia" w:ascii="仿宋" w:hAnsi="仿宋" w:eastAsia="仿宋" w:cs="仿宋"/>
                <w:color w:val="auto"/>
                <w:sz w:val="24"/>
                <w:szCs w:val="24"/>
                <w:highlight w:val="none"/>
                <w:lang w:val="en-US" w:eastAsia="zh-CN"/>
              </w:rPr>
              <w:t>资质证书、安全生产许可证</w:t>
            </w:r>
          </w:p>
        </w:tc>
      </w:tr>
      <w:tr w14:paraId="33E8252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3B71A72F">
            <w:pPr>
              <w:spacing w:line="440" w:lineRule="exact"/>
              <w:jc w:val="center"/>
              <w:rPr>
                <w:rFonts w:hint="eastAsia" w:ascii="仿宋" w:hAnsi="仿宋" w:eastAsia="仿宋" w:cs="仿宋"/>
                <w:color w:val="auto"/>
                <w:sz w:val="24"/>
                <w:szCs w:val="24"/>
                <w:highlight w:val="none"/>
              </w:rPr>
            </w:pPr>
          </w:p>
        </w:tc>
        <w:tc>
          <w:tcPr>
            <w:tcW w:w="1519" w:type="dxa"/>
            <w:vMerge w:val="continue"/>
            <w:noWrap w:val="0"/>
            <w:vAlign w:val="center"/>
          </w:tcPr>
          <w:p w14:paraId="089C2B5F">
            <w:pPr>
              <w:spacing w:line="440" w:lineRule="exact"/>
              <w:jc w:val="center"/>
              <w:rPr>
                <w:rFonts w:hint="eastAsia" w:ascii="仿宋" w:hAnsi="仿宋" w:eastAsia="仿宋" w:cs="仿宋"/>
                <w:color w:val="auto"/>
                <w:sz w:val="24"/>
                <w:szCs w:val="24"/>
                <w:highlight w:val="none"/>
              </w:rPr>
            </w:pPr>
          </w:p>
        </w:tc>
        <w:tc>
          <w:tcPr>
            <w:tcW w:w="1892" w:type="dxa"/>
            <w:tcBorders>
              <w:bottom w:val="single" w:color="auto" w:sz="4" w:space="0"/>
            </w:tcBorders>
            <w:noWrap w:val="0"/>
            <w:vAlign w:val="center"/>
          </w:tcPr>
          <w:p w14:paraId="2A7413D7">
            <w:pPr>
              <w:keepNext w:val="0"/>
              <w:keepLines w:val="0"/>
              <w:pageBreakBefore w:val="0"/>
              <w:widowControl w:val="0"/>
              <w:kinsoku/>
              <w:wordWrap/>
              <w:overflowPunct/>
              <w:topLinePunct w:val="0"/>
              <w:autoSpaceDE/>
              <w:autoSpaceDN/>
              <w:bidi w:val="0"/>
              <w:adjustRightInd/>
              <w:snapToGrid/>
              <w:spacing w:line="400" w:lineRule="exact"/>
              <w:ind w:right="0" w:rightChars="0" w:firstLine="67" w:firstLineChars="28"/>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项目经理资格</w:t>
            </w:r>
          </w:p>
          <w:p w14:paraId="753240E3">
            <w:pPr>
              <w:keepNext w:val="0"/>
              <w:keepLines w:val="0"/>
              <w:pageBreakBefore w:val="0"/>
              <w:widowControl w:val="0"/>
              <w:kinsoku/>
              <w:wordWrap/>
              <w:overflowPunct/>
              <w:topLinePunct w:val="0"/>
              <w:autoSpaceDE/>
              <w:autoSpaceDN/>
              <w:bidi w:val="0"/>
              <w:adjustRightInd/>
              <w:snapToGrid/>
              <w:spacing w:line="400" w:lineRule="exact"/>
              <w:ind w:right="0" w:rightChars="0" w:firstLine="67" w:firstLineChars="28"/>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条件</w:t>
            </w:r>
          </w:p>
        </w:tc>
        <w:tc>
          <w:tcPr>
            <w:tcW w:w="6107" w:type="dxa"/>
            <w:tcBorders>
              <w:bottom w:val="single" w:color="auto" w:sz="4" w:space="0"/>
              <w:right w:val="single" w:color="auto" w:sz="4" w:space="0"/>
            </w:tcBorders>
            <w:noWrap w:val="0"/>
            <w:vAlign w:val="center"/>
          </w:tcPr>
          <w:p w14:paraId="73ED1CD0">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提供有效期内的</w:t>
            </w:r>
            <w:r>
              <w:rPr>
                <w:rFonts w:hint="eastAsia" w:ascii="仿宋" w:hAnsi="仿宋" w:eastAsia="仿宋" w:cs="仿宋"/>
                <w:color w:val="auto"/>
                <w:sz w:val="24"/>
                <w:szCs w:val="24"/>
                <w:highlight w:val="none"/>
                <w:lang w:val="en-US" w:eastAsia="zh-CN"/>
              </w:rPr>
              <w:t>注册建造师证书、</w:t>
            </w:r>
            <w:r>
              <w:rPr>
                <w:rFonts w:hint="eastAsia" w:ascii="仿宋" w:hAnsi="仿宋" w:eastAsia="仿宋" w:cs="仿宋"/>
                <w:bCs/>
                <w:color w:val="auto"/>
                <w:sz w:val="24"/>
                <w:szCs w:val="24"/>
                <w:highlight w:val="none"/>
                <w:lang w:eastAsia="zh-CN"/>
              </w:rPr>
              <w:t>安全生产考核合格证</w:t>
            </w:r>
            <w:r>
              <w:rPr>
                <w:rFonts w:hint="eastAsia" w:ascii="仿宋" w:hAnsi="仿宋" w:eastAsia="仿宋" w:cs="仿宋"/>
                <w:color w:val="auto"/>
                <w:sz w:val="24"/>
                <w:szCs w:val="24"/>
                <w:highlight w:val="none"/>
                <w:lang w:val="en-US" w:eastAsia="zh-CN"/>
              </w:rPr>
              <w:t>、社保证明、无在建承诺书（</w:t>
            </w:r>
            <w:r>
              <w:rPr>
                <w:rFonts w:hint="eastAsia" w:ascii="仿宋" w:hAnsi="仿宋" w:eastAsia="仿宋" w:cs="仿宋"/>
                <w:color w:val="auto"/>
                <w:sz w:val="24"/>
                <w:szCs w:val="24"/>
                <w:highlight w:val="none"/>
                <w:lang w:eastAsia="zh-CN"/>
              </w:rPr>
              <w:t>自行承诺，格式自拟</w:t>
            </w:r>
            <w:r>
              <w:rPr>
                <w:rFonts w:hint="eastAsia" w:ascii="仿宋" w:hAnsi="仿宋" w:eastAsia="仿宋" w:cs="仿宋"/>
                <w:color w:val="auto"/>
                <w:sz w:val="24"/>
                <w:szCs w:val="24"/>
                <w:highlight w:val="none"/>
                <w:lang w:val="en-US" w:eastAsia="zh-CN"/>
              </w:rPr>
              <w:t>）</w:t>
            </w:r>
          </w:p>
        </w:tc>
      </w:tr>
      <w:tr w14:paraId="3B1D1BE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02FF8B14">
            <w:pPr>
              <w:spacing w:line="440" w:lineRule="exact"/>
              <w:jc w:val="center"/>
              <w:rPr>
                <w:rFonts w:hint="eastAsia" w:ascii="仿宋" w:hAnsi="仿宋" w:eastAsia="仿宋" w:cs="仿宋"/>
                <w:color w:val="auto"/>
                <w:sz w:val="24"/>
                <w:szCs w:val="24"/>
                <w:highlight w:val="none"/>
              </w:rPr>
            </w:pPr>
          </w:p>
        </w:tc>
        <w:tc>
          <w:tcPr>
            <w:tcW w:w="1519" w:type="dxa"/>
            <w:vMerge w:val="continue"/>
            <w:noWrap w:val="0"/>
            <w:vAlign w:val="center"/>
          </w:tcPr>
          <w:p w14:paraId="2272DAF3">
            <w:pPr>
              <w:spacing w:line="440" w:lineRule="exact"/>
              <w:jc w:val="center"/>
              <w:rPr>
                <w:rFonts w:hint="eastAsia" w:ascii="仿宋" w:hAnsi="仿宋" w:eastAsia="仿宋" w:cs="仿宋"/>
                <w:color w:val="auto"/>
                <w:sz w:val="24"/>
                <w:szCs w:val="24"/>
                <w:highlight w:val="none"/>
              </w:rPr>
            </w:pPr>
          </w:p>
        </w:tc>
        <w:tc>
          <w:tcPr>
            <w:tcW w:w="1892" w:type="dxa"/>
            <w:tcBorders>
              <w:bottom w:val="single" w:color="auto" w:sz="4" w:space="0"/>
            </w:tcBorders>
            <w:noWrap w:val="0"/>
            <w:vAlign w:val="center"/>
          </w:tcPr>
          <w:p w14:paraId="29898725">
            <w:pPr>
              <w:keepNext w:val="0"/>
              <w:keepLines w:val="0"/>
              <w:pageBreakBefore w:val="0"/>
              <w:widowControl w:val="0"/>
              <w:kinsoku/>
              <w:wordWrap/>
              <w:overflowPunct/>
              <w:topLinePunct w:val="0"/>
              <w:autoSpaceDE/>
              <w:autoSpaceDN/>
              <w:bidi w:val="0"/>
              <w:adjustRightInd/>
              <w:snapToGrid/>
              <w:spacing w:line="400" w:lineRule="exact"/>
              <w:ind w:right="0" w:rightChars="0" w:firstLine="67" w:firstLineChars="28"/>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资格声明文件</w:t>
            </w:r>
          </w:p>
        </w:tc>
        <w:tc>
          <w:tcPr>
            <w:tcW w:w="6107" w:type="dxa"/>
            <w:tcBorders>
              <w:bottom w:val="single" w:color="auto" w:sz="4" w:space="0"/>
              <w:right w:val="single" w:color="auto" w:sz="4" w:space="0"/>
            </w:tcBorders>
            <w:noWrap w:val="0"/>
            <w:vAlign w:val="center"/>
          </w:tcPr>
          <w:p w14:paraId="3B2D32A9">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提供符合招标文件要求的资格承诺声明函</w:t>
            </w:r>
          </w:p>
        </w:tc>
      </w:tr>
      <w:tr w14:paraId="484BA75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1F5F9505">
            <w:pPr>
              <w:spacing w:line="440" w:lineRule="exact"/>
              <w:jc w:val="center"/>
              <w:rPr>
                <w:rFonts w:hint="eastAsia" w:ascii="仿宋" w:hAnsi="仿宋" w:eastAsia="仿宋" w:cs="仿宋"/>
                <w:color w:val="auto"/>
                <w:sz w:val="24"/>
                <w:szCs w:val="24"/>
                <w:highlight w:val="none"/>
              </w:rPr>
            </w:pPr>
          </w:p>
        </w:tc>
        <w:tc>
          <w:tcPr>
            <w:tcW w:w="1519" w:type="dxa"/>
            <w:vMerge w:val="continue"/>
            <w:noWrap w:val="0"/>
            <w:vAlign w:val="center"/>
          </w:tcPr>
          <w:p w14:paraId="6BC0A6FC">
            <w:pPr>
              <w:spacing w:line="440" w:lineRule="exact"/>
              <w:jc w:val="center"/>
              <w:rPr>
                <w:rFonts w:hint="eastAsia" w:ascii="仿宋" w:hAnsi="仿宋" w:eastAsia="仿宋" w:cs="仿宋"/>
                <w:color w:val="auto"/>
                <w:sz w:val="24"/>
                <w:szCs w:val="24"/>
                <w:highlight w:val="none"/>
              </w:rPr>
            </w:pPr>
          </w:p>
        </w:tc>
        <w:tc>
          <w:tcPr>
            <w:tcW w:w="1892" w:type="dxa"/>
            <w:tcBorders>
              <w:bottom w:val="single" w:color="auto" w:sz="4" w:space="0"/>
            </w:tcBorders>
            <w:noWrap w:val="0"/>
            <w:vAlign w:val="center"/>
          </w:tcPr>
          <w:p w14:paraId="185561A7">
            <w:pPr>
              <w:keepNext w:val="0"/>
              <w:keepLines w:val="0"/>
              <w:pageBreakBefore w:val="0"/>
              <w:widowControl w:val="0"/>
              <w:kinsoku/>
              <w:wordWrap/>
              <w:overflowPunct/>
              <w:topLinePunct w:val="0"/>
              <w:autoSpaceDE/>
              <w:autoSpaceDN/>
              <w:bidi w:val="0"/>
              <w:adjustRightInd/>
              <w:snapToGrid/>
              <w:spacing w:line="400" w:lineRule="exact"/>
              <w:ind w:right="0" w:rightChars="0" w:firstLine="67" w:firstLineChars="28"/>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信用结果查询</w:t>
            </w:r>
          </w:p>
        </w:tc>
        <w:tc>
          <w:tcPr>
            <w:tcW w:w="6107" w:type="dxa"/>
            <w:tcBorders>
              <w:bottom w:val="single" w:color="auto" w:sz="4" w:space="0"/>
              <w:right w:val="single" w:color="auto" w:sz="4" w:space="0"/>
            </w:tcBorders>
            <w:noWrap w:val="0"/>
            <w:vAlign w:val="center"/>
          </w:tcPr>
          <w:p w14:paraId="67918F99">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对列入失信被执行人、重大税收违法失信主体、政府采购严重违法失信行为记录名单的投标人，拒绝参与本项目政府采购活动</w:t>
            </w:r>
          </w:p>
        </w:tc>
      </w:tr>
      <w:tr w14:paraId="3738148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Merge w:val="continue"/>
            <w:tcBorders>
              <w:left w:val="single" w:color="auto" w:sz="4" w:space="0"/>
            </w:tcBorders>
            <w:noWrap w:val="0"/>
            <w:vAlign w:val="center"/>
          </w:tcPr>
          <w:p w14:paraId="5B156423">
            <w:pPr>
              <w:spacing w:line="440" w:lineRule="exact"/>
              <w:jc w:val="center"/>
              <w:rPr>
                <w:rFonts w:hint="eastAsia" w:ascii="仿宋" w:hAnsi="仿宋" w:eastAsia="仿宋" w:cs="仿宋"/>
                <w:color w:val="auto"/>
                <w:sz w:val="24"/>
                <w:szCs w:val="24"/>
                <w:highlight w:val="none"/>
              </w:rPr>
            </w:pPr>
          </w:p>
        </w:tc>
        <w:tc>
          <w:tcPr>
            <w:tcW w:w="1519" w:type="dxa"/>
            <w:vMerge w:val="continue"/>
            <w:noWrap w:val="0"/>
            <w:vAlign w:val="center"/>
          </w:tcPr>
          <w:p w14:paraId="56EBB639">
            <w:pPr>
              <w:spacing w:line="440" w:lineRule="exact"/>
              <w:jc w:val="center"/>
              <w:rPr>
                <w:rFonts w:hint="eastAsia" w:ascii="仿宋" w:hAnsi="仿宋" w:eastAsia="仿宋" w:cs="仿宋"/>
                <w:color w:val="auto"/>
                <w:sz w:val="24"/>
                <w:szCs w:val="24"/>
                <w:highlight w:val="none"/>
              </w:rPr>
            </w:pPr>
          </w:p>
        </w:tc>
        <w:tc>
          <w:tcPr>
            <w:tcW w:w="1892" w:type="dxa"/>
            <w:tcBorders>
              <w:bottom w:val="single" w:color="auto" w:sz="4" w:space="0"/>
            </w:tcBorders>
            <w:noWrap w:val="0"/>
            <w:vAlign w:val="center"/>
          </w:tcPr>
          <w:p w14:paraId="465254DC">
            <w:pPr>
              <w:keepNext w:val="0"/>
              <w:keepLines w:val="0"/>
              <w:pageBreakBefore w:val="0"/>
              <w:widowControl w:val="0"/>
              <w:kinsoku/>
              <w:wordWrap/>
              <w:overflowPunct/>
              <w:topLinePunct w:val="0"/>
              <w:autoSpaceDE/>
              <w:autoSpaceDN/>
              <w:bidi w:val="0"/>
              <w:adjustRightInd/>
              <w:snapToGrid/>
              <w:spacing w:line="400" w:lineRule="exact"/>
              <w:ind w:right="0" w:rightChars="0" w:firstLine="67" w:firstLineChars="28"/>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政府采购政策</w:t>
            </w:r>
          </w:p>
          <w:p w14:paraId="2403CDC2">
            <w:pPr>
              <w:keepNext w:val="0"/>
              <w:keepLines w:val="0"/>
              <w:pageBreakBefore w:val="0"/>
              <w:widowControl w:val="0"/>
              <w:kinsoku/>
              <w:wordWrap/>
              <w:overflowPunct/>
              <w:topLinePunct w:val="0"/>
              <w:autoSpaceDE/>
              <w:autoSpaceDN/>
              <w:bidi w:val="0"/>
              <w:adjustRightInd/>
              <w:snapToGrid/>
              <w:spacing w:line="400" w:lineRule="exact"/>
              <w:ind w:right="0" w:rightChars="0" w:firstLine="67" w:firstLineChars="28"/>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资格要求</w:t>
            </w:r>
          </w:p>
        </w:tc>
        <w:tc>
          <w:tcPr>
            <w:tcW w:w="6107" w:type="dxa"/>
            <w:tcBorders>
              <w:bottom w:val="single" w:color="auto" w:sz="4" w:space="0"/>
              <w:right w:val="single" w:color="auto" w:sz="4" w:space="0"/>
            </w:tcBorders>
            <w:noWrap w:val="0"/>
            <w:vAlign w:val="center"/>
          </w:tcPr>
          <w:p w14:paraId="7131CAA6">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本项目属于专门面向中小企业采购的项目，即本项目承建企业应为中小微企业、监狱企业、残疾人福利性单位。提供《中小企业声明函》（格式见附件）</w:t>
            </w:r>
          </w:p>
        </w:tc>
      </w:tr>
      <w:tr w14:paraId="35C28E4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51B05156">
            <w:pPr>
              <w:spacing w:line="440" w:lineRule="exact"/>
              <w:jc w:val="center"/>
              <w:rPr>
                <w:rFonts w:hint="eastAsia" w:ascii="仿宋" w:hAnsi="仿宋" w:eastAsia="仿宋" w:cs="仿宋"/>
                <w:color w:val="auto"/>
                <w:sz w:val="24"/>
                <w:szCs w:val="24"/>
                <w:highlight w:val="none"/>
              </w:rPr>
            </w:pPr>
          </w:p>
        </w:tc>
        <w:tc>
          <w:tcPr>
            <w:tcW w:w="1519" w:type="dxa"/>
            <w:vMerge w:val="continue"/>
            <w:noWrap w:val="0"/>
            <w:vAlign w:val="center"/>
          </w:tcPr>
          <w:p w14:paraId="64CB7CF3">
            <w:pPr>
              <w:spacing w:line="440" w:lineRule="exact"/>
              <w:jc w:val="center"/>
              <w:rPr>
                <w:rFonts w:hint="eastAsia" w:ascii="仿宋" w:hAnsi="仿宋" w:eastAsia="仿宋" w:cs="仿宋"/>
                <w:color w:val="auto"/>
                <w:sz w:val="24"/>
                <w:szCs w:val="24"/>
                <w:highlight w:val="none"/>
              </w:rPr>
            </w:pPr>
          </w:p>
        </w:tc>
        <w:tc>
          <w:tcPr>
            <w:tcW w:w="1892" w:type="dxa"/>
            <w:tcBorders>
              <w:bottom w:val="single" w:color="auto" w:sz="4" w:space="0"/>
            </w:tcBorders>
            <w:noWrap w:val="0"/>
            <w:vAlign w:val="center"/>
          </w:tcPr>
          <w:p w14:paraId="5DF5C9B0">
            <w:pPr>
              <w:keepNext w:val="0"/>
              <w:keepLines w:val="0"/>
              <w:pageBreakBefore w:val="0"/>
              <w:widowControl w:val="0"/>
              <w:kinsoku/>
              <w:wordWrap/>
              <w:overflowPunct/>
              <w:topLinePunct w:val="0"/>
              <w:autoSpaceDE/>
              <w:autoSpaceDN/>
              <w:bidi w:val="0"/>
              <w:adjustRightInd/>
              <w:snapToGrid/>
              <w:spacing w:before="50" w:line="400" w:lineRule="exact"/>
              <w:ind w:right="96" w:rightChars="0" w:firstLine="67" w:firstLineChars="28"/>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控股关系</w:t>
            </w:r>
          </w:p>
        </w:tc>
        <w:tc>
          <w:tcPr>
            <w:tcW w:w="6107" w:type="dxa"/>
            <w:tcBorders>
              <w:bottom w:val="single" w:color="auto" w:sz="4" w:space="0"/>
              <w:right w:val="single" w:color="auto" w:sz="4" w:space="0"/>
            </w:tcBorders>
            <w:noWrap w:val="0"/>
            <w:vAlign w:val="center"/>
          </w:tcPr>
          <w:p w14:paraId="58AEF112">
            <w:pPr>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位负责人为同一人或者存在直接控股、管理关系的不同响应人，不得参加同一合同项下的政府采购活动。（提供“国家企业信用信息公示系统”查询结果，需包含公司基本信息、股东信息及股权变更信息等内容）。</w:t>
            </w:r>
          </w:p>
        </w:tc>
      </w:tr>
      <w:tr w14:paraId="4A909CF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restart"/>
            <w:tcBorders>
              <w:top w:val="single" w:color="auto" w:sz="4" w:space="0"/>
              <w:left w:val="single" w:color="auto" w:sz="4" w:space="0"/>
              <w:right w:val="single" w:color="auto" w:sz="4" w:space="0"/>
            </w:tcBorders>
            <w:noWrap w:val="0"/>
            <w:vAlign w:val="center"/>
          </w:tcPr>
          <w:p w14:paraId="0AC70784">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eastAsia="zh-CN"/>
              </w:rPr>
              <w:t>2</w:t>
            </w:r>
          </w:p>
        </w:tc>
        <w:tc>
          <w:tcPr>
            <w:tcW w:w="1519" w:type="dxa"/>
            <w:vMerge w:val="restart"/>
            <w:tcBorders>
              <w:top w:val="single" w:color="auto" w:sz="4" w:space="0"/>
              <w:left w:val="single" w:color="auto" w:sz="4" w:space="0"/>
              <w:right w:val="single" w:color="auto" w:sz="4" w:space="0"/>
            </w:tcBorders>
            <w:noWrap w:val="0"/>
            <w:vAlign w:val="center"/>
          </w:tcPr>
          <w:p w14:paraId="1A77FBF8">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初步</w:t>
            </w:r>
            <w:r>
              <w:rPr>
                <w:rFonts w:hint="eastAsia" w:ascii="仿宋" w:hAnsi="仿宋" w:eastAsia="仿宋" w:cs="仿宋"/>
                <w:color w:val="auto"/>
                <w:sz w:val="24"/>
                <w:szCs w:val="24"/>
                <w:highlight w:val="none"/>
              </w:rPr>
              <w:t>评审</w:t>
            </w:r>
          </w:p>
          <w:p w14:paraId="75CB7ACC">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标准</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A6B3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供应商名称</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6E576D39">
            <w:pPr>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与营业执照一致</w:t>
            </w:r>
          </w:p>
        </w:tc>
      </w:tr>
      <w:tr w14:paraId="3AEF7D0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center"/>
          </w:tcPr>
          <w:p w14:paraId="2545509B">
            <w:pPr>
              <w:spacing w:line="440" w:lineRule="exact"/>
              <w:jc w:val="center"/>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4173F0A0">
            <w:pPr>
              <w:spacing w:line="440" w:lineRule="exact"/>
              <w:jc w:val="center"/>
              <w:rPr>
                <w:rFonts w:hint="eastAsia" w:ascii="仿宋" w:hAnsi="仿宋" w:eastAsia="仿宋" w:cs="仿宋"/>
                <w:color w:val="auto"/>
                <w:sz w:val="24"/>
                <w:szCs w:val="24"/>
                <w:highlight w:val="none"/>
                <w:lang w:val="en-US" w:eastAsia="zh-CN"/>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55A4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响应文件签字盖章</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159224CF">
            <w:pPr>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符合第二章“供应商须知”第 3.7.3 的规定</w:t>
            </w:r>
          </w:p>
        </w:tc>
      </w:tr>
      <w:tr w14:paraId="40503C7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center"/>
          </w:tcPr>
          <w:p w14:paraId="454A380B">
            <w:pPr>
              <w:spacing w:line="440" w:lineRule="exact"/>
              <w:jc w:val="center"/>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111499C7">
            <w:pPr>
              <w:spacing w:line="440" w:lineRule="exact"/>
              <w:jc w:val="center"/>
              <w:rPr>
                <w:rFonts w:hint="eastAsia" w:ascii="仿宋" w:hAnsi="仿宋" w:eastAsia="仿宋" w:cs="仿宋"/>
                <w:color w:val="auto"/>
                <w:sz w:val="24"/>
                <w:szCs w:val="24"/>
                <w:highlight w:val="none"/>
                <w:lang w:val="en-US" w:eastAsia="zh-CN"/>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6E6BC1A">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响应文件格式</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35BF1912">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符合</w:t>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val="en-US" w:eastAsia="zh-CN"/>
              </w:rPr>
              <w:t>响应文件格式”的规定</w:t>
            </w:r>
          </w:p>
        </w:tc>
      </w:tr>
      <w:tr w14:paraId="55018DD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center"/>
          </w:tcPr>
          <w:p w14:paraId="711E1AB0">
            <w:pPr>
              <w:spacing w:line="440" w:lineRule="exact"/>
              <w:jc w:val="center"/>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2DFC1753">
            <w:pPr>
              <w:spacing w:line="440" w:lineRule="exact"/>
              <w:jc w:val="center"/>
              <w:rPr>
                <w:rFonts w:hint="eastAsia" w:ascii="仿宋" w:hAnsi="仿宋" w:eastAsia="仿宋" w:cs="仿宋"/>
                <w:color w:val="auto"/>
                <w:sz w:val="24"/>
                <w:szCs w:val="24"/>
                <w:highlight w:val="none"/>
                <w:lang w:val="en-US" w:eastAsia="zh-CN"/>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96B0806">
            <w:pPr>
              <w:spacing w:line="44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响应内容</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4B1E60A9">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符合第二章“供应商须知”第1.3.1项规定</w:t>
            </w:r>
          </w:p>
        </w:tc>
      </w:tr>
      <w:tr w14:paraId="3FECBF0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0" w:type="dxa"/>
            <w:vMerge w:val="continue"/>
            <w:tcBorders>
              <w:left w:val="single" w:color="auto" w:sz="4" w:space="0"/>
              <w:right w:val="single" w:color="auto" w:sz="4" w:space="0"/>
            </w:tcBorders>
            <w:noWrap w:val="0"/>
            <w:vAlign w:val="top"/>
          </w:tcPr>
          <w:p w14:paraId="53CECD05">
            <w:pPr>
              <w:spacing w:line="440" w:lineRule="exact"/>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top"/>
          </w:tcPr>
          <w:p w14:paraId="367E6670">
            <w:pPr>
              <w:spacing w:line="440" w:lineRule="exact"/>
              <w:rPr>
                <w:rFonts w:hint="eastAsia" w:ascii="仿宋" w:hAnsi="仿宋" w:eastAsia="仿宋" w:cs="仿宋"/>
                <w:color w:val="auto"/>
                <w:sz w:val="24"/>
                <w:szCs w:val="24"/>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800C324">
            <w:pPr>
              <w:pStyle w:val="14"/>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工</w:t>
            </w:r>
            <w:r>
              <w:rPr>
                <w:rFonts w:hint="eastAsia" w:ascii="仿宋" w:hAnsi="仿宋" w:eastAsia="仿宋" w:cs="仿宋"/>
                <w:color w:val="auto"/>
                <w:sz w:val="24"/>
                <w:szCs w:val="24"/>
                <w:highlight w:val="none"/>
              </w:rPr>
              <w:t>期</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63DA4215">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符合第二章“供应商须知”第1.3.2项规定</w:t>
            </w:r>
          </w:p>
        </w:tc>
      </w:tr>
      <w:tr w14:paraId="674A74D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top"/>
          </w:tcPr>
          <w:p w14:paraId="50941520">
            <w:pPr>
              <w:spacing w:line="440" w:lineRule="exact"/>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top"/>
          </w:tcPr>
          <w:p w14:paraId="0E1095F8">
            <w:pPr>
              <w:spacing w:line="440" w:lineRule="exact"/>
              <w:rPr>
                <w:rFonts w:hint="eastAsia" w:ascii="仿宋" w:hAnsi="仿宋" w:eastAsia="仿宋" w:cs="仿宋"/>
                <w:color w:val="auto"/>
                <w:sz w:val="24"/>
                <w:szCs w:val="24"/>
                <w:highlight w:val="none"/>
              </w:rPr>
            </w:pPr>
          </w:p>
        </w:tc>
        <w:tc>
          <w:tcPr>
            <w:tcW w:w="1892" w:type="dxa"/>
            <w:tcBorders>
              <w:top w:val="single" w:color="auto" w:sz="4" w:space="0"/>
            </w:tcBorders>
            <w:noWrap w:val="0"/>
            <w:vAlign w:val="center"/>
          </w:tcPr>
          <w:p w14:paraId="1423DA6C">
            <w:pPr>
              <w:pStyle w:val="14"/>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val="en-US" w:eastAsia="zh-CN"/>
              </w:rPr>
              <w:t>标准</w:t>
            </w:r>
          </w:p>
        </w:tc>
        <w:tc>
          <w:tcPr>
            <w:tcW w:w="6107" w:type="dxa"/>
            <w:tcBorders>
              <w:top w:val="single" w:color="auto" w:sz="4" w:space="0"/>
              <w:right w:val="single" w:color="auto" w:sz="4" w:space="0"/>
            </w:tcBorders>
            <w:noWrap w:val="0"/>
            <w:vAlign w:val="center"/>
          </w:tcPr>
          <w:p w14:paraId="0F8DE9EF">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符合第二章“供应商须知”第1.3.3项规定</w:t>
            </w:r>
          </w:p>
        </w:tc>
      </w:tr>
      <w:tr w14:paraId="365E590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top"/>
          </w:tcPr>
          <w:p w14:paraId="32E8FAA7">
            <w:pPr>
              <w:spacing w:line="440" w:lineRule="exact"/>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top"/>
          </w:tcPr>
          <w:p w14:paraId="16011D89">
            <w:pPr>
              <w:spacing w:line="440" w:lineRule="exact"/>
              <w:rPr>
                <w:rFonts w:hint="eastAsia" w:ascii="仿宋" w:hAnsi="仿宋" w:eastAsia="仿宋" w:cs="仿宋"/>
                <w:color w:val="auto"/>
                <w:sz w:val="24"/>
                <w:szCs w:val="24"/>
                <w:highlight w:val="none"/>
              </w:rPr>
            </w:pPr>
          </w:p>
        </w:tc>
        <w:tc>
          <w:tcPr>
            <w:tcW w:w="1892" w:type="dxa"/>
            <w:noWrap w:val="0"/>
            <w:vAlign w:val="center"/>
          </w:tcPr>
          <w:p w14:paraId="1F832126">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磋商有效期</w:t>
            </w:r>
          </w:p>
        </w:tc>
        <w:tc>
          <w:tcPr>
            <w:tcW w:w="6107" w:type="dxa"/>
            <w:tcBorders>
              <w:right w:val="single" w:color="auto" w:sz="4" w:space="0"/>
            </w:tcBorders>
            <w:noWrap w:val="0"/>
            <w:vAlign w:val="center"/>
          </w:tcPr>
          <w:p w14:paraId="2232AD17">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符合第二章“供应商须知”第3.3.1项规定</w:t>
            </w:r>
          </w:p>
        </w:tc>
      </w:tr>
      <w:tr w14:paraId="0BE6D3A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top"/>
          </w:tcPr>
          <w:p w14:paraId="7157C559">
            <w:pPr>
              <w:spacing w:line="440" w:lineRule="exact"/>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top"/>
          </w:tcPr>
          <w:p w14:paraId="7117695B">
            <w:pPr>
              <w:spacing w:line="440" w:lineRule="exact"/>
              <w:rPr>
                <w:rFonts w:hint="eastAsia" w:ascii="仿宋" w:hAnsi="仿宋" w:eastAsia="仿宋" w:cs="仿宋"/>
                <w:color w:val="auto"/>
                <w:sz w:val="24"/>
                <w:szCs w:val="24"/>
                <w:highlight w:val="none"/>
              </w:rPr>
            </w:pPr>
          </w:p>
        </w:tc>
        <w:tc>
          <w:tcPr>
            <w:tcW w:w="1892" w:type="dxa"/>
            <w:noWrap w:val="0"/>
            <w:vAlign w:val="center"/>
          </w:tcPr>
          <w:p w14:paraId="262DEB41">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已标价工程量清单</w:t>
            </w:r>
          </w:p>
        </w:tc>
        <w:tc>
          <w:tcPr>
            <w:tcW w:w="6107" w:type="dxa"/>
            <w:tcBorders>
              <w:right w:val="single" w:color="auto" w:sz="4" w:space="0"/>
            </w:tcBorders>
            <w:noWrap w:val="0"/>
            <w:vAlign w:val="center"/>
          </w:tcPr>
          <w:p w14:paraId="6805F90D">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符合第五章“工程量清单”给出的范围及数量</w:t>
            </w:r>
          </w:p>
        </w:tc>
      </w:tr>
      <w:tr w14:paraId="7AE1B4E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top"/>
          </w:tcPr>
          <w:p w14:paraId="17D729AB">
            <w:pPr>
              <w:spacing w:line="440" w:lineRule="exact"/>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top"/>
          </w:tcPr>
          <w:p w14:paraId="2A55E89B">
            <w:pPr>
              <w:spacing w:line="440" w:lineRule="exact"/>
              <w:rPr>
                <w:rFonts w:hint="eastAsia" w:ascii="仿宋" w:hAnsi="仿宋" w:eastAsia="仿宋" w:cs="仿宋"/>
                <w:color w:val="auto"/>
                <w:sz w:val="24"/>
                <w:szCs w:val="24"/>
                <w:highlight w:val="none"/>
              </w:rPr>
            </w:pPr>
          </w:p>
        </w:tc>
        <w:tc>
          <w:tcPr>
            <w:tcW w:w="1892" w:type="dxa"/>
            <w:noWrap w:val="0"/>
            <w:vAlign w:val="center"/>
          </w:tcPr>
          <w:p w14:paraId="08D8BE33">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磋商报价</w:t>
            </w:r>
          </w:p>
        </w:tc>
        <w:tc>
          <w:tcPr>
            <w:tcW w:w="6107" w:type="dxa"/>
            <w:tcBorders>
              <w:right w:val="single" w:color="auto" w:sz="4" w:space="0"/>
            </w:tcBorders>
            <w:noWrap w:val="0"/>
            <w:vAlign w:val="center"/>
          </w:tcPr>
          <w:p w14:paraId="13DC830F">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不高于最高限价</w:t>
            </w:r>
          </w:p>
        </w:tc>
      </w:tr>
      <w:tr w14:paraId="390E112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tcBorders>
              <w:left w:val="single" w:color="auto" w:sz="4" w:space="0"/>
            </w:tcBorders>
            <w:noWrap w:val="0"/>
            <w:vAlign w:val="center"/>
          </w:tcPr>
          <w:p w14:paraId="413D659A">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3411" w:type="dxa"/>
            <w:gridSpan w:val="2"/>
            <w:tcBorders>
              <w:left w:val="single" w:color="auto" w:sz="4" w:space="0"/>
            </w:tcBorders>
            <w:noWrap w:val="0"/>
            <w:vAlign w:val="center"/>
          </w:tcPr>
          <w:p w14:paraId="78110628">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2.2.1</w:t>
            </w:r>
            <w:r>
              <w:rPr>
                <w:rFonts w:hint="eastAsia" w:ascii="仿宋" w:hAnsi="仿宋" w:eastAsia="仿宋" w:cs="仿宋"/>
                <w:color w:val="auto"/>
                <w:sz w:val="24"/>
                <w:szCs w:val="24"/>
                <w:highlight w:val="none"/>
              </w:rPr>
              <w:t>分值构成</w:t>
            </w:r>
          </w:p>
        </w:tc>
        <w:tc>
          <w:tcPr>
            <w:tcW w:w="6107" w:type="dxa"/>
            <w:tcBorders>
              <w:right w:val="single" w:color="auto" w:sz="4" w:space="0"/>
            </w:tcBorders>
            <w:noWrap w:val="0"/>
            <w:vAlign w:val="center"/>
          </w:tcPr>
          <w:p w14:paraId="7F60BE33">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报价部分：</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p w14:paraId="4423DB84">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r>
              <w:rPr>
                <w:rFonts w:hint="eastAsia" w:ascii="仿宋" w:hAnsi="仿宋" w:eastAsia="仿宋" w:cs="仿宋"/>
                <w:color w:val="auto"/>
                <w:sz w:val="24"/>
                <w:szCs w:val="24"/>
                <w:highlight w:val="none"/>
                <w:lang w:val="en-US" w:eastAsia="zh-CN"/>
              </w:rPr>
              <w:t>50</w:t>
            </w:r>
            <w:r>
              <w:rPr>
                <w:rFonts w:hint="eastAsia" w:ascii="仿宋" w:hAnsi="仿宋" w:eastAsia="仿宋" w:cs="仿宋"/>
                <w:color w:val="auto"/>
                <w:sz w:val="24"/>
                <w:szCs w:val="24"/>
                <w:highlight w:val="none"/>
              </w:rPr>
              <w:t>分；</w:t>
            </w:r>
          </w:p>
          <w:p w14:paraId="09A029D2">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商务部分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tc>
      </w:tr>
      <w:bookmarkEnd w:id="414"/>
      <w:bookmarkEnd w:id="415"/>
      <w:bookmarkEnd w:id="416"/>
      <w:bookmarkEnd w:id="417"/>
      <w:bookmarkEnd w:id="418"/>
      <w:bookmarkEnd w:id="419"/>
      <w:bookmarkEnd w:id="420"/>
      <w:tr w14:paraId="3A18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7FAC3D9F">
            <w:pPr>
              <w:jc w:val="center"/>
              <w:rPr>
                <w:rFonts w:hint="eastAsia" w:ascii="仿宋" w:hAnsi="仿宋" w:eastAsia="仿宋" w:cs="仿宋"/>
                <w:color w:val="auto"/>
                <w:sz w:val="24"/>
                <w:szCs w:val="24"/>
                <w:highlight w:val="none"/>
              </w:rPr>
            </w:pPr>
            <w:bookmarkStart w:id="421" w:name="_Toc346731841"/>
            <w:bookmarkStart w:id="422" w:name="_Toc23834"/>
            <w:bookmarkStart w:id="423" w:name="_Toc256519728"/>
            <w:bookmarkStart w:id="424" w:name="_Toc254788514"/>
            <w:bookmarkStart w:id="425" w:name="_Toc6915"/>
            <w:bookmarkStart w:id="426" w:name="_Toc18868"/>
            <w:r>
              <w:rPr>
                <w:rFonts w:hint="eastAsia" w:ascii="仿宋" w:hAnsi="仿宋" w:eastAsia="仿宋" w:cs="仿宋"/>
                <w:color w:val="auto"/>
                <w:sz w:val="24"/>
                <w:szCs w:val="24"/>
                <w:highlight w:val="none"/>
              </w:rPr>
              <w:t>序号</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13BB2DD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评分内容</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8A2A47B">
            <w:pPr>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评分因素</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5F14139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评分标准</w:t>
            </w:r>
          </w:p>
        </w:tc>
      </w:tr>
      <w:tr w14:paraId="52D5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00" w:type="dxa"/>
            <w:tcBorders>
              <w:top w:val="single" w:color="auto" w:sz="4" w:space="0"/>
              <w:left w:val="single" w:color="auto" w:sz="4" w:space="0"/>
              <w:right w:val="single" w:color="auto" w:sz="4" w:space="0"/>
            </w:tcBorders>
            <w:noWrap w:val="0"/>
            <w:vAlign w:val="center"/>
          </w:tcPr>
          <w:p w14:paraId="25DD05DB">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2</w:t>
            </w:r>
          </w:p>
          <w:p w14:paraId="2A0277BE">
            <w:pPr>
              <w:autoSpaceDE w:val="0"/>
              <w:autoSpaceDN w:val="0"/>
              <w:adjustRightInd w:val="0"/>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（1）</w:t>
            </w:r>
          </w:p>
        </w:tc>
        <w:tc>
          <w:tcPr>
            <w:tcW w:w="1519" w:type="dxa"/>
            <w:tcBorders>
              <w:top w:val="single" w:color="auto" w:sz="4" w:space="0"/>
              <w:left w:val="single" w:color="auto" w:sz="4" w:space="0"/>
              <w:right w:val="single" w:color="auto" w:sz="4" w:space="0"/>
            </w:tcBorders>
            <w:noWrap w:val="0"/>
            <w:vAlign w:val="center"/>
          </w:tcPr>
          <w:p w14:paraId="5E1B5493">
            <w:pPr>
              <w:autoSpaceDE w:val="0"/>
              <w:autoSpaceDN w:val="0"/>
              <w:adjustRightInd w:val="0"/>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投标报价（</w:t>
            </w:r>
            <w:r>
              <w:rPr>
                <w:rFonts w:hint="eastAsia" w:ascii="仿宋" w:hAnsi="仿宋" w:eastAsia="仿宋" w:cs="仿宋"/>
                <w:color w:val="auto"/>
                <w:kern w:val="0"/>
                <w:sz w:val="24"/>
                <w:szCs w:val="24"/>
                <w:highlight w:val="none"/>
                <w:lang w:val="en-US" w:eastAsia="zh-CN"/>
              </w:rPr>
              <w:t>30分</w:t>
            </w:r>
            <w:r>
              <w:rPr>
                <w:rFonts w:hint="eastAsia" w:ascii="仿宋" w:hAnsi="仿宋" w:eastAsia="仿宋" w:cs="仿宋"/>
                <w:color w:val="auto"/>
                <w:kern w:val="0"/>
                <w:sz w:val="24"/>
                <w:szCs w:val="24"/>
                <w:highlight w:val="none"/>
                <w:lang w:val="zh-CN"/>
              </w:rPr>
              <w:t>）</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B66682A">
            <w:pPr>
              <w:keepNext w:val="0"/>
              <w:keepLines w:val="0"/>
              <w:pageBreakBefore w:val="0"/>
              <w:widowControl/>
              <w:kinsoku/>
              <w:wordWrap/>
              <w:overflowPunct/>
              <w:bidi w:val="0"/>
              <w:snapToGrid/>
              <w:spacing w:line="360" w:lineRule="auto"/>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磋商报价</w:t>
            </w:r>
          </w:p>
          <w:p w14:paraId="4A95C132">
            <w:pPr>
              <w:spacing w:line="440" w:lineRule="exact"/>
              <w:jc w:val="center"/>
              <w:rPr>
                <w:rFonts w:hint="eastAsia" w:ascii="仿宋" w:hAnsi="仿宋" w:eastAsia="仿宋" w:cs="仿宋"/>
                <w:color w:val="auto"/>
                <w:sz w:val="24"/>
                <w:szCs w:val="24"/>
                <w:highlight w:val="none"/>
                <w:lang w:val="zh-CN"/>
              </w:rPr>
            </w:pPr>
            <w:r>
              <w:rPr>
                <w:rFonts w:hint="eastAsia" w:ascii="仿宋" w:hAnsi="仿宋" w:eastAsia="仿宋" w:cs="仿宋"/>
                <w:b w:val="0"/>
                <w:bCs/>
                <w:color w:val="auto"/>
                <w:sz w:val="24"/>
                <w:szCs w:val="24"/>
                <w:highlight w:val="none"/>
              </w:rPr>
              <w:t>评分标准</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3B778BAF">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价格分统一采用低价优先法计算，即满足竞争性磋商文件要求且二次磋商报价最低的</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报价为</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基准价。</w:t>
            </w:r>
          </w:p>
          <w:p w14:paraId="04EDB926">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的价格分统一按照下列公式计算：</w:t>
            </w:r>
          </w:p>
          <w:p w14:paraId="3013D0A1">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报价得分=（</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基准价/</w:t>
            </w:r>
            <w:r>
              <w:rPr>
                <w:rFonts w:hint="eastAsia" w:ascii="仿宋" w:hAnsi="仿宋" w:eastAsia="仿宋" w:cs="仿宋"/>
                <w:color w:val="auto"/>
                <w:sz w:val="24"/>
                <w:szCs w:val="24"/>
                <w:highlight w:val="none"/>
                <w:lang w:val="en-US" w:eastAsia="zh-CN"/>
              </w:rPr>
              <w:t>二次磋商</w:t>
            </w: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highlight w:val="none"/>
                <w:lang w:val="en-US" w:eastAsia="zh-CN"/>
              </w:rPr>
              <w:t>30</w:t>
            </w:r>
          </w:p>
          <w:p w14:paraId="53770801">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p w14:paraId="5D03909C">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val="en-US" w:eastAsia="zh-CN"/>
              </w:rPr>
              <w:t>最终得分计算保留小数点后两位。</w:t>
            </w:r>
          </w:p>
          <w:p w14:paraId="175FF2F6">
            <w:pPr>
              <w:keepNext w:val="0"/>
              <w:keepLines w:val="0"/>
              <w:pageBreakBefore w:val="0"/>
              <w:kinsoku/>
              <w:wordWrap/>
              <w:overflowPunct/>
              <w:bidi w:val="0"/>
              <w:snapToGrid/>
              <w:spacing w:line="360" w:lineRule="auto"/>
              <w:textAlignment w:val="auto"/>
              <w:rPr>
                <w:rFonts w:hint="default" w:ascii="仿宋" w:hAnsi="仿宋" w:eastAsia="仿宋" w:cs="仿宋"/>
                <w:b/>
                <w:bCs/>
                <w:color w:val="auto"/>
                <w:sz w:val="24"/>
                <w:szCs w:val="24"/>
                <w:highlight w:val="none"/>
                <w:lang w:val="en-US"/>
              </w:rPr>
            </w:pP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val="en-US" w:eastAsia="zh-CN"/>
              </w:rPr>
              <w:t>本项目为专门面向中小企业采购，不再执行价格扣除。供应商须提供《中小企业声明函》，否则投标将不被接受。</w:t>
            </w:r>
          </w:p>
        </w:tc>
      </w:tr>
      <w:tr w14:paraId="5770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900" w:type="dxa"/>
            <w:vMerge w:val="restart"/>
            <w:tcBorders>
              <w:left w:val="single" w:color="auto" w:sz="4" w:space="0"/>
              <w:right w:val="single" w:color="auto" w:sz="4" w:space="0"/>
            </w:tcBorders>
            <w:noWrap w:val="0"/>
            <w:vAlign w:val="center"/>
          </w:tcPr>
          <w:p w14:paraId="6EE2D974">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2</w:t>
            </w:r>
          </w:p>
          <w:p w14:paraId="760788C4">
            <w:pPr>
              <w:autoSpaceDE w:val="0"/>
              <w:autoSpaceDN w:val="0"/>
              <w:adjustRightIn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p w14:paraId="62593C0F">
            <w:pPr>
              <w:autoSpaceDE w:val="0"/>
              <w:autoSpaceDN w:val="0"/>
              <w:adjustRightInd w:val="0"/>
              <w:rPr>
                <w:rFonts w:hint="eastAsia" w:ascii="仿宋" w:hAnsi="仿宋" w:eastAsia="仿宋" w:cs="仿宋"/>
                <w:color w:val="auto"/>
                <w:sz w:val="24"/>
                <w:szCs w:val="24"/>
                <w:highlight w:val="none"/>
              </w:rPr>
            </w:pPr>
          </w:p>
          <w:p w14:paraId="5EF5CC04">
            <w:pPr>
              <w:pStyle w:val="9"/>
              <w:rPr>
                <w:rFonts w:hint="eastAsia"/>
                <w:color w:val="auto"/>
                <w:sz w:val="24"/>
                <w:szCs w:val="24"/>
                <w:highlight w:val="none"/>
              </w:rPr>
            </w:pPr>
          </w:p>
        </w:tc>
        <w:tc>
          <w:tcPr>
            <w:tcW w:w="1519" w:type="dxa"/>
            <w:vMerge w:val="restart"/>
            <w:tcBorders>
              <w:left w:val="single" w:color="auto" w:sz="4" w:space="0"/>
              <w:right w:val="single" w:color="auto" w:sz="4" w:space="0"/>
            </w:tcBorders>
            <w:noWrap w:val="0"/>
            <w:vAlign w:val="center"/>
          </w:tcPr>
          <w:p w14:paraId="6CD9C4B6">
            <w:pPr>
              <w:autoSpaceDE w:val="0"/>
              <w:autoSpaceDN w:val="0"/>
              <w:adjustRightInd w:val="0"/>
              <w:jc w:val="center"/>
              <w:rPr>
                <w:rFonts w:hint="eastAsia" w:ascii="仿宋" w:hAnsi="仿宋" w:eastAsia="仿宋" w:cs="仿宋"/>
                <w:color w:val="auto"/>
                <w:kern w:val="0"/>
                <w:sz w:val="24"/>
                <w:szCs w:val="24"/>
                <w:highlight w:val="none"/>
                <w:lang w:val="zh-CN"/>
              </w:rPr>
            </w:pPr>
            <w:r>
              <w:rPr>
                <w:rFonts w:hint="eastAsia" w:ascii="仿宋" w:hAnsi="仿宋" w:eastAsia="仿宋" w:cs="仿宋"/>
                <w:b w:val="0"/>
                <w:bCs/>
                <w:color w:val="auto"/>
                <w:sz w:val="24"/>
                <w:szCs w:val="24"/>
                <w:highlight w:val="none"/>
              </w:rPr>
              <w:t>技术部分</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50分</w:t>
            </w:r>
            <w:r>
              <w:rPr>
                <w:rFonts w:hint="eastAsia" w:ascii="仿宋" w:hAnsi="仿宋" w:eastAsia="仿宋" w:cs="仿宋"/>
                <w:color w:val="auto"/>
                <w:kern w:val="0"/>
                <w:sz w:val="24"/>
                <w:szCs w:val="24"/>
                <w:highlight w:val="none"/>
                <w:lang w:val="zh-CN"/>
              </w:rPr>
              <w:t>）</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097808F">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施工方案与技术措施</w:t>
            </w:r>
          </w:p>
          <w:p w14:paraId="0D4FDA5A">
            <w:pPr>
              <w:keepNext w:val="0"/>
              <w:keepLines w:val="0"/>
              <w:pageBreakBefore w:val="0"/>
              <w:kinsoku/>
              <w:wordWrap/>
              <w:overflowPunct/>
              <w:bidi w:val="0"/>
              <w:snapToGri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09062729">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施工方案（含工程特点、施工重点与难点、施工工序及绿色施工）总体安排合理，有科学先进的施工工艺技术措施和施工办法，对施工难点有先进和合理的建议得</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分；施工方案总体安排基本合理，施工工艺技术措施和施工办法一般，对施工难点有较合理的建议得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分；施工方案与技术措施仅做简单描述，对施工难点无合理的建议得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缺项不得分</w:t>
            </w:r>
            <w:r>
              <w:rPr>
                <w:rFonts w:hint="eastAsia" w:ascii="仿宋" w:hAnsi="仿宋" w:eastAsia="仿宋" w:cs="仿宋"/>
                <w:color w:val="auto"/>
                <w:sz w:val="24"/>
                <w:szCs w:val="24"/>
                <w:highlight w:val="none"/>
                <w:lang w:eastAsia="zh-CN"/>
              </w:rPr>
              <w:t>。</w:t>
            </w:r>
          </w:p>
        </w:tc>
      </w:tr>
      <w:tr w14:paraId="0CC3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00" w:type="dxa"/>
            <w:vMerge w:val="continue"/>
            <w:tcBorders>
              <w:left w:val="single" w:color="auto" w:sz="4" w:space="0"/>
              <w:right w:val="single" w:color="auto" w:sz="4" w:space="0"/>
            </w:tcBorders>
            <w:noWrap w:val="0"/>
            <w:vAlign w:val="center"/>
          </w:tcPr>
          <w:p w14:paraId="7D48C87A">
            <w:pPr>
              <w:autoSpaceDE w:val="0"/>
              <w:autoSpaceDN w:val="0"/>
              <w:adjustRightInd w:val="0"/>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1BBC77D7">
            <w:pPr>
              <w:autoSpaceDE w:val="0"/>
              <w:autoSpaceDN w:val="0"/>
              <w:adjustRightInd w:val="0"/>
              <w:jc w:val="center"/>
              <w:rPr>
                <w:rFonts w:hint="eastAsia" w:ascii="仿宋" w:hAnsi="仿宋" w:eastAsia="仿宋" w:cs="仿宋"/>
                <w:color w:val="auto"/>
                <w:sz w:val="24"/>
                <w:szCs w:val="24"/>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6BAF931">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质量管理体系与措施</w:t>
            </w:r>
          </w:p>
          <w:p w14:paraId="337FA714">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6BF587B9">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组织机构形式合理，有完善的指挥系统、质量监控系统、联络协调系统，对项目提出先进、可行、具体的保证措施得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分；组织机构形式基本合理，有较完善的指挥系统、质量监控系统、联络协调系统，对项目提出的保证措施较一般得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分；组织机构形式过于简单，确保工程质量的技术组织措施较差得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缺项不得分</w:t>
            </w:r>
            <w:r>
              <w:rPr>
                <w:rFonts w:hint="eastAsia" w:ascii="仿宋" w:hAnsi="仿宋" w:eastAsia="仿宋" w:cs="仿宋"/>
                <w:color w:val="auto"/>
                <w:sz w:val="24"/>
                <w:szCs w:val="24"/>
                <w:highlight w:val="none"/>
                <w:lang w:eastAsia="zh-CN"/>
              </w:rPr>
              <w:t>。</w:t>
            </w:r>
          </w:p>
        </w:tc>
      </w:tr>
      <w:tr w14:paraId="5570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900" w:type="dxa"/>
            <w:vMerge w:val="continue"/>
            <w:tcBorders>
              <w:left w:val="single" w:color="auto" w:sz="4" w:space="0"/>
              <w:right w:val="single" w:color="auto" w:sz="4" w:space="0"/>
            </w:tcBorders>
            <w:noWrap w:val="0"/>
            <w:vAlign w:val="center"/>
          </w:tcPr>
          <w:p w14:paraId="5552B081">
            <w:pPr>
              <w:autoSpaceDE w:val="0"/>
              <w:autoSpaceDN w:val="0"/>
              <w:adjustRightInd w:val="0"/>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363BB5F1">
            <w:pPr>
              <w:autoSpaceDE w:val="0"/>
              <w:autoSpaceDN w:val="0"/>
              <w:adjustRightInd w:val="0"/>
              <w:jc w:val="center"/>
              <w:rPr>
                <w:rFonts w:hint="eastAsia" w:ascii="仿宋" w:hAnsi="仿宋" w:eastAsia="仿宋" w:cs="仿宋"/>
                <w:color w:val="auto"/>
                <w:sz w:val="24"/>
                <w:szCs w:val="24"/>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8A8345C">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安全管理体系与措施</w:t>
            </w:r>
          </w:p>
          <w:p w14:paraId="2033F72C">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33E73E9A">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施工安全生产保障体系健全，安全管理制度完善，安全管理目标具体，全员安全责任制明确，制定相应的安全管理措施且具有可行性得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分；含有施工安全生产保障体系、安全责任制和安全管理制度，内容不全，制定有安全管理措施，可行性一般得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分；含有施工安全生产保障体系、安全责任制和安全管理制度，但安全管理措施不具备可行性得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缺项不得分</w:t>
            </w:r>
            <w:r>
              <w:rPr>
                <w:rFonts w:hint="eastAsia" w:ascii="仿宋" w:hAnsi="仿宋" w:eastAsia="仿宋" w:cs="仿宋"/>
                <w:color w:val="auto"/>
                <w:sz w:val="24"/>
                <w:szCs w:val="24"/>
                <w:highlight w:val="none"/>
                <w:lang w:eastAsia="zh-CN"/>
              </w:rPr>
              <w:t>。</w:t>
            </w:r>
          </w:p>
        </w:tc>
      </w:tr>
      <w:tr w14:paraId="5570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00" w:type="dxa"/>
            <w:vMerge w:val="continue"/>
            <w:tcBorders>
              <w:left w:val="single" w:color="auto" w:sz="4" w:space="0"/>
              <w:right w:val="single" w:color="auto" w:sz="4" w:space="0"/>
            </w:tcBorders>
            <w:noWrap w:val="0"/>
            <w:vAlign w:val="center"/>
          </w:tcPr>
          <w:p w14:paraId="589D6BC1">
            <w:pPr>
              <w:autoSpaceDE w:val="0"/>
              <w:autoSpaceDN w:val="0"/>
              <w:adjustRightInd w:val="0"/>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2F6E8E15">
            <w:pPr>
              <w:autoSpaceDE w:val="0"/>
              <w:autoSpaceDN w:val="0"/>
              <w:adjustRightInd w:val="0"/>
              <w:jc w:val="center"/>
              <w:rPr>
                <w:rFonts w:hint="eastAsia" w:ascii="仿宋" w:hAnsi="仿宋" w:eastAsia="仿宋" w:cs="仿宋"/>
                <w:color w:val="auto"/>
                <w:sz w:val="24"/>
                <w:szCs w:val="24"/>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09CF175">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文明施工、环境保护管理体系</w:t>
            </w:r>
          </w:p>
          <w:p w14:paraId="3E0D9368">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5F5CE8C6">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环境保护与文明施工管理组织机构及职责，文明施工管理措施，扬尘污染防治方案及建筑垃圾处置方案等内容全</w:t>
            </w:r>
          </w:p>
          <w:p w14:paraId="61FF52E5">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面、措施合理得6分；较合理的得4 分；一般的得2分。缺项不得分。</w:t>
            </w:r>
          </w:p>
        </w:tc>
      </w:tr>
      <w:tr w14:paraId="2C44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900" w:type="dxa"/>
            <w:vMerge w:val="continue"/>
            <w:tcBorders>
              <w:left w:val="single" w:color="auto" w:sz="4" w:space="0"/>
              <w:right w:val="single" w:color="auto" w:sz="4" w:space="0"/>
            </w:tcBorders>
            <w:noWrap w:val="0"/>
            <w:vAlign w:val="center"/>
          </w:tcPr>
          <w:p w14:paraId="6DBD56A7">
            <w:pPr>
              <w:autoSpaceDE w:val="0"/>
              <w:autoSpaceDN w:val="0"/>
              <w:adjustRightInd w:val="0"/>
              <w:rPr>
                <w:rFonts w:hint="eastAsia" w:ascii="仿宋" w:hAnsi="仿宋" w:eastAsia="仿宋" w:cs="仿宋"/>
                <w:color w:val="auto"/>
                <w:sz w:val="24"/>
                <w:szCs w:val="24"/>
                <w:highlight w:val="none"/>
              </w:rPr>
            </w:pPr>
          </w:p>
        </w:tc>
        <w:tc>
          <w:tcPr>
            <w:tcW w:w="1519" w:type="dxa"/>
            <w:tcBorders>
              <w:left w:val="single" w:color="auto" w:sz="4" w:space="0"/>
              <w:right w:val="single" w:color="auto" w:sz="4" w:space="0"/>
            </w:tcBorders>
            <w:noWrap w:val="0"/>
            <w:vAlign w:val="center"/>
          </w:tcPr>
          <w:p w14:paraId="676602AE">
            <w:pPr>
              <w:autoSpaceDE w:val="0"/>
              <w:autoSpaceDN w:val="0"/>
              <w:adjustRightInd w:val="0"/>
              <w:jc w:val="center"/>
              <w:rPr>
                <w:rFonts w:hint="eastAsia" w:ascii="仿宋" w:hAnsi="仿宋" w:eastAsia="仿宋" w:cs="仿宋"/>
                <w:color w:val="auto"/>
                <w:sz w:val="24"/>
                <w:szCs w:val="24"/>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4061CB6">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工期保证措施</w:t>
            </w:r>
          </w:p>
          <w:p w14:paraId="2FC5254A">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1741DF2B">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工期保证措施合理、科学、可行且有针对性，有具体的违约责任承诺得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分；工期保证措施较合理、科学、可行，针对性一般，有违约责任承诺得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分；工期保证措施描述较差，无针对性得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缺项不得分</w:t>
            </w:r>
            <w:r>
              <w:rPr>
                <w:rFonts w:hint="eastAsia" w:ascii="仿宋" w:hAnsi="仿宋" w:eastAsia="仿宋" w:cs="仿宋"/>
                <w:color w:val="auto"/>
                <w:sz w:val="24"/>
                <w:szCs w:val="24"/>
                <w:highlight w:val="none"/>
                <w:lang w:eastAsia="zh-CN"/>
              </w:rPr>
              <w:t>。</w:t>
            </w:r>
          </w:p>
        </w:tc>
      </w:tr>
      <w:tr w14:paraId="13BA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00" w:type="dxa"/>
            <w:vMerge w:val="continue"/>
            <w:tcBorders>
              <w:left w:val="single" w:color="auto" w:sz="4" w:space="0"/>
              <w:right w:val="single" w:color="auto" w:sz="4" w:space="0"/>
            </w:tcBorders>
            <w:noWrap w:val="0"/>
            <w:vAlign w:val="center"/>
          </w:tcPr>
          <w:p w14:paraId="66462B7A">
            <w:pPr>
              <w:autoSpaceDE w:val="0"/>
              <w:autoSpaceDN w:val="0"/>
              <w:adjustRightInd w:val="0"/>
              <w:rPr>
                <w:rFonts w:hint="eastAsia" w:ascii="仿宋" w:hAnsi="仿宋" w:eastAsia="仿宋" w:cs="仿宋"/>
                <w:color w:val="auto"/>
                <w:sz w:val="24"/>
                <w:szCs w:val="24"/>
                <w:highlight w:val="none"/>
              </w:rPr>
            </w:pPr>
          </w:p>
        </w:tc>
        <w:tc>
          <w:tcPr>
            <w:tcW w:w="1519" w:type="dxa"/>
            <w:vMerge w:val="restart"/>
            <w:tcBorders>
              <w:left w:val="single" w:color="auto" w:sz="4" w:space="0"/>
              <w:right w:val="single" w:color="auto" w:sz="4" w:space="0"/>
            </w:tcBorders>
            <w:noWrap w:val="0"/>
            <w:vAlign w:val="center"/>
          </w:tcPr>
          <w:p w14:paraId="3405ADBD">
            <w:pPr>
              <w:autoSpaceDE w:val="0"/>
              <w:autoSpaceDN w:val="0"/>
              <w:adjustRightInd w:val="0"/>
              <w:jc w:val="center"/>
              <w:rPr>
                <w:rFonts w:hint="eastAsia" w:ascii="仿宋" w:hAnsi="仿宋" w:eastAsia="仿宋" w:cs="仿宋"/>
                <w:color w:val="auto"/>
                <w:sz w:val="24"/>
                <w:szCs w:val="24"/>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12E4EE7">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拟投入资源配备计划（</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368518E9">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机械、劳动力、主要物资配备计划与进度计划呼应，完全满足施工需要，调配投入计划合理、准确得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分；机械、劳动力、主要物资配备与进度计划呼应，基本满足施工需要，调配投入计划较合理、准确得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分；机械、劳动力、主要物资配备不够合理、不够准确得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缺项不得分</w:t>
            </w:r>
            <w:r>
              <w:rPr>
                <w:rFonts w:hint="eastAsia" w:ascii="仿宋" w:hAnsi="仿宋" w:eastAsia="仿宋" w:cs="仿宋"/>
                <w:color w:val="auto"/>
                <w:sz w:val="24"/>
                <w:szCs w:val="24"/>
                <w:highlight w:val="none"/>
                <w:lang w:eastAsia="zh-CN"/>
              </w:rPr>
              <w:t>。</w:t>
            </w:r>
          </w:p>
        </w:tc>
      </w:tr>
      <w:tr w14:paraId="69AF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00" w:type="dxa"/>
            <w:vMerge w:val="continue"/>
            <w:tcBorders>
              <w:left w:val="single" w:color="auto" w:sz="4" w:space="0"/>
              <w:right w:val="single" w:color="auto" w:sz="4" w:space="0"/>
            </w:tcBorders>
            <w:noWrap w:val="0"/>
            <w:vAlign w:val="center"/>
          </w:tcPr>
          <w:p w14:paraId="3955BC9A">
            <w:pPr>
              <w:pStyle w:val="9"/>
              <w:rPr>
                <w:rFonts w:hint="eastAsia"/>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2B375959">
            <w:pPr>
              <w:autoSpaceDE w:val="0"/>
              <w:autoSpaceDN w:val="0"/>
              <w:adjustRightInd w:val="0"/>
              <w:jc w:val="center"/>
              <w:rPr>
                <w:rFonts w:hint="eastAsia" w:ascii="仿宋" w:hAnsi="仿宋" w:eastAsia="仿宋" w:cs="仿宋"/>
                <w:color w:val="auto"/>
                <w:sz w:val="24"/>
                <w:szCs w:val="24"/>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8345633">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施工总平面图布置（</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3EE154FD">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总体布置有针对性、合理、完全满足施工需要，符合安全、文明施工要求，材料堆放有序得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分；总体布置较合理、基本满足施工需要得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分；总体布置情况较乱，不能满足安全、文明施工要求得1分。</w:t>
            </w:r>
            <w:r>
              <w:rPr>
                <w:rFonts w:hint="eastAsia" w:ascii="仿宋" w:hAnsi="仿宋" w:eastAsia="仿宋" w:cs="仿宋"/>
                <w:color w:val="auto"/>
                <w:sz w:val="24"/>
                <w:szCs w:val="24"/>
                <w:highlight w:val="none"/>
                <w:lang w:val="en-US" w:eastAsia="zh-CN"/>
              </w:rPr>
              <w:t>缺项不得分</w:t>
            </w:r>
            <w:r>
              <w:rPr>
                <w:rFonts w:hint="eastAsia" w:ascii="仿宋" w:hAnsi="仿宋" w:eastAsia="仿宋" w:cs="仿宋"/>
                <w:color w:val="auto"/>
                <w:sz w:val="24"/>
                <w:szCs w:val="24"/>
                <w:highlight w:val="none"/>
                <w:lang w:eastAsia="zh-CN"/>
              </w:rPr>
              <w:t>。</w:t>
            </w:r>
          </w:p>
        </w:tc>
      </w:tr>
      <w:tr w14:paraId="75B9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900" w:type="dxa"/>
            <w:vMerge w:val="continue"/>
            <w:tcBorders>
              <w:left w:val="single" w:color="auto" w:sz="4" w:space="0"/>
              <w:right w:val="single" w:color="auto" w:sz="4" w:space="0"/>
            </w:tcBorders>
            <w:noWrap w:val="0"/>
            <w:vAlign w:val="center"/>
          </w:tcPr>
          <w:p w14:paraId="1AC9179F">
            <w:pPr>
              <w:autoSpaceDE w:val="0"/>
              <w:autoSpaceDN w:val="0"/>
              <w:adjustRightInd w:val="0"/>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6659A13F">
            <w:pPr>
              <w:autoSpaceDE w:val="0"/>
              <w:autoSpaceDN w:val="0"/>
              <w:adjustRightInd w:val="0"/>
              <w:jc w:val="center"/>
              <w:rPr>
                <w:rFonts w:hint="eastAsia" w:ascii="仿宋" w:hAnsi="仿宋" w:eastAsia="仿宋" w:cs="仿宋"/>
                <w:color w:val="auto"/>
                <w:sz w:val="24"/>
                <w:szCs w:val="24"/>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78027AE">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项目风险预测与防范、事故应急预案</w:t>
            </w:r>
          </w:p>
          <w:p w14:paraId="671C4213">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41F7D269">
            <w:pPr>
              <w:keepNext w:val="0"/>
              <w:keepLines w:val="0"/>
              <w:pageBreakBefore w:val="0"/>
              <w:kinsoku/>
              <w:wordWrap/>
              <w:overflowPunct/>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项目风险预测与防控管理措施齐全，风险预控符合规范要求，风险控制要点定位准确，各阶段风险控制及应急措施得力。表述准确合理完整、清晰，有针对性的得 </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表述准确</w:t>
            </w:r>
            <w:r>
              <w:rPr>
                <w:rFonts w:hint="eastAsia" w:ascii="仿宋" w:hAnsi="仿宋" w:eastAsia="仿宋" w:cs="仿宋"/>
                <w:color w:val="auto"/>
                <w:sz w:val="24"/>
                <w:szCs w:val="24"/>
                <w:highlight w:val="none"/>
                <w:lang w:val="en-US" w:eastAsia="zh-CN"/>
              </w:rPr>
              <w:t>较</w:t>
            </w:r>
            <w:r>
              <w:rPr>
                <w:rFonts w:hint="eastAsia" w:ascii="仿宋" w:hAnsi="仿宋" w:eastAsia="仿宋" w:cs="仿宋"/>
                <w:color w:val="auto"/>
                <w:sz w:val="24"/>
                <w:szCs w:val="24"/>
                <w:highlight w:val="none"/>
              </w:rPr>
              <w:t>合理完整、清晰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针对性</w:t>
            </w:r>
            <w:r>
              <w:rPr>
                <w:rFonts w:hint="eastAsia" w:ascii="仿宋" w:hAnsi="仿宋" w:eastAsia="仿宋" w:cs="仿宋"/>
                <w:color w:val="auto"/>
                <w:sz w:val="24"/>
                <w:szCs w:val="24"/>
                <w:highlight w:val="none"/>
                <w:lang w:val="en-US" w:eastAsia="zh-CN"/>
              </w:rPr>
              <w:t>较强</w:t>
            </w:r>
            <w:r>
              <w:rPr>
                <w:rFonts w:hint="eastAsia" w:ascii="仿宋" w:hAnsi="仿宋" w:eastAsia="仿宋" w:cs="仿宋"/>
                <w:color w:val="auto"/>
                <w:sz w:val="24"/>
                <w:szCs w:val="24"/>
                <w:highlight w:val="none"/>
              </w:rPr>
              <w:t>的得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；一般得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缺项不得分</w:t>
            </w:r>
            <w:r>
              <w:rPr>
                <w:rFonts w:hint="eastAsia" w:ascii="仿宋" w:hAnsi="仿宋" w:eastAsia="仿宋" w:cs="仿宋"/>
                <w:color w:val="auto"/>
                <w:sz w:val="24"/>
                <w:szCs w:val="24"/>
                <w:highlight w:val="none"/>
                <w:lang w:eastAsia="zh-CN"/>
              </w:rPr>
              <w:t>。</w:t>
            </w:r>
          </w:p>
        </w:tc>
      </w:tr>
      <w:tr w14:paraId="3B63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900" w:type="dxa"/>
            <w:vMerge w:val="restart"/>
            <w:tcBorders>
              <w:left w:val="single" w:color="auto" w:sz="4" w:space="0"/>
              <w:right w:val="single" w:color="auto" w:sz="4" w:space="0"/>
            </w:tcBorders>
            <w:noWrap w:val="0"/>
            <w:vAlign w:val="center"/>
          </w:tcPr>
          <w:p w14:paraId="0A3BABD6">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2</w:t>
            </w:r>
          </w:p>
          <w:p w14:paraId="02F9CE3F">
            <w:pPr>
              <w:autoSpaceDE w:val="0"/>
              <w:autoSpaceDN w:val="0"/>
              <w:adjustRightInd w:val="0"/>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p>
        </w:tc>
        <w:tc>
          <w:tcPr>
            <w:tcW w:w="1519" w:type="dxa"/>
            <w:vMerge w:val="restart"/>
            <w:tcBorders>
              <w:left w:val="single" w:color="auto" w:sz="4" w:space="0"/>
              <w:right w:val="single" w:color="auto" w:sz="4" w:space="0"/>
            </w:tcBorders>
            <w:noWrap w:val="0"/>
            <w:vAlign w:val="center"/>
          </w:tcPr>
          <w:p w14:paraId="574E9D42">
            <w:pPr>
              <w:autoSpaceDE w:val="0"/>
              <w:autoSpaceDN w:val="0"/>
              <w:adjustRightInd w:val="0"/>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zh-CN"/>
              </w:rPr>
              <w:t>商务部分（</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lang w:val="zh-CN"/>
              </w:rPr>
              <w:t>分）</w:t>
            </w:r>
          </w:p>
        </w:tc>
        <w:tc>
          <w:tcPr>
            <w:tcW w:w="1892" w:type="dxa"/>
            <w:tcBorders>
              <w:top w:val="single" w:color="auto" w:sz="4" w:space="0"/>
              <w:left w:val="single" w:color="auto" w:sz="4" w:space="0"/>
              <w:right w:val="single" w:color="auto" w:sz="4" w:space="0"/>
            </w:tcBorders>
            <w:noWrap w:val="0"/>
            <w:vAlign w:val="center"/>
          </w:tcPr>
          <w:p w14:paraId="40524227">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业绩</w:t>
            </w:r>
          </w:p>
          <w:p w14:paraId="3CE7A0C7">
            <w:pPr>
              <w:keepNext w:val="0"/>
              <w:keepLines w:val="0"/>
              <w:pageBreakBefore w:val="0"/>
              <w:widowControl w:val="0"/>
              <w:kinsoku/>
              <w:wordWrap/>
              <w:overflowPunct/>
              <w:topLinePunct w:val="0"/>
              <w:bidi w:val="0"/>
              <w:snapToGrid/>
              <w:spacing w:line="360" w:lineRule="auto"/>
              <w:jc w:val="center"/>
              <w:textAlignment w:val="auto"/>
              <w:rPr>
                <w:rFonts w:hint="eastAsia"/>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（6分）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2C5DC4B6">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供应商具有2022年01月01日以来（以合同签订时间为准）的类似工程业绩，每提供一项得2分，本项最高得6分。</w:t>
            </w:r>
          </w:p>
          <w:p w14:paraId="72B05776">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注：响应文件中须附成交（中标）通知书、合同协议书的复印件或扫描件并加盖公章，不提供或未按要求提供的不得分。</w:t>
            </w:r>
          </w:p>
        </w:tc>
      </w:tr>
      <w:tr w14:paraId="75EC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900" w:type="dxa"/>
            <w:vMerge w:val="continue"/>
            <w:tcBorders>
              <w:left w:val="single" w:color="auto" w:sz="4" w:space="0"/>
              <w:right w:val="single" w:color="auto" w:sz="4" w:space="0"/>
            </w:tcBorders>
            <w:noWrap w:val="0"/>
            <w:vAlign w:val="center"/>
          </w:tcPr>
          <w:p w14:paraId="650C84CA">
            <w:pPr>
              <w:autoSpaceDE w:val="0"/>
              <w:autoSpaceDN w:val="0"/>
              <w:adjustRightInd w:val="0"/>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7397CE39">
            <w:pPr>
              <w:autoSpaceDE w:val="0"/>
              <w:autoSpaceDN w:val="0"/>
              <w:adjustRightInd w:val="0"/>
              <w:jc w:val="center"/>
              <w:rPr>
                <w:rFonts w:hint="eastAsia" w:ascii="仿宋" w:hAnsi="仿宋" w:eastAsia="仿宋" w:cs="仿宋"/>
                <w:color w:val="auto"/>
                <w:kern w:val="0"/>
                <w:sz w:val="24"/>
                <w:szCs w:val="24"/>
                <w:highlight w:val="none"/>
                <w:lang w:val="zh-CN"/>
              </w:rPr>
            </w:pPr>
          </w:p>
        </w:tc>
        <w:tc>
          <w:tcPr>
            <w:tcW w:w="1892" w:type="dxa"/>
            <w:tcBorders>
              <w:top w:val="single" w:color="auto" w:sz="4" w:space="0"/>
              <w:left w:val="single" w:color="auto" w:sz="4" w:space="0"/>
              <w:right w:val="single" w:color="auto" w:sz="4" w:space="0"/>
            </w:tcBorders>
            <w:noWrap w:val="0"/>
            <w:vAlign w:val="center"/>
          </w:tcPr>
          <w:p w14:paraId="56D654B8">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拟派项目</w:t>
            </w:r>
          </w:p>
          <w:p w14:paraId="20B1EBED">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管理人员</w:t>
            </w:r>
          </w:p>
          <w:p w14:paraId="022E26A6">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（5分）</w:t>
            </w:r>
          </w:p>
          <w:p w14:paraId="53D28D83">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0"/>
                <w:sz w:val="24"/>
                <w:szCs w:val="24"/>
                <w:highlight w:val="none"/>
                <w:lang w:val="en-US" w:eastAsia="zh-CN"/>
              </w:rPr>
            </w:pPr>
          </w:p>
        </w:tc>
        <w:tc>
          <w:tcPr>
            <w:tcW w:w="6107" w:type="dxa"/>
            <w:tcBorders>
              <w:top w:val="single" w:color="auto" w:sz="4" w:space="0"/>
              <w:left w:val="single" w:color="auto" w:sz="4" w:space="0"/>
              <w:bottom w:val="single" w:color="auto" w:sz="4" w:space="0"/>
              <w:right w:val="single" w:color="auto" w:sz="4" w:space="0"/>
            </w:tcBorders>
            <w:noWrap w:val="0"/>
            <w:vAlign w:val="center"/>
          </w:tcPr>
          <w:p w14:paraId="657CF4B7">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各专业人员配套齐全，提供施工员、质量员、专职安全员、</w:t>
            </w:r>
          </w:p>
          <w:p w14:paraId="1B9DD3EB">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材料员、预算员，以上人员同时具有有效岗位证书，提供资料齐全的得5分，缺一项扣1分，扣完为止。 </w:t>
            </w:r>
          </w:p>
          <w:p w14:paraId="1F14B979">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注：响应文件中附以上人员证书原件扫描件及单位为其缴纳的社保证明，未提供或无法辨识的不得分。</w:t>
            </w:r>
          </w:p>
        </w:tc>
      </w:tr>
      <w:tr w14:paraId="1FA9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900" w:type="dxa"/>
            <w:vMerge w:val="continue"/>
            <w:tcBorders>
              <w:left w:val="single" w:color="auto" w:sz="4" w:space="0"/>
              <w:right w:val="single" w:color="auto" w:sz="4" w:space="0"/>
            </w:tcBorders>
            <w:noWrap w:val="0"/>
            <w:vAlign w:val="center"/>
          </w:tcPr>
          <w:p w14:paraId="408294AB">
            <w:pPr>
              <w:autoSpaceDE w:val="0"/>
              <w:autoSpaceDN w:val="0"/>
              <w:adjustRightInd w:val="0"/>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718557A8">
            <w:pPr>
              <w:autoSpaceDE w:val="0"/>
              <w:autoSpaceDN w:val="0"/>
              <w:adjustRightInd w:val="0"/>
              <w:jc w:val="center"/>
              <w:rPr>
                <w:rFonts w:hint="eastAsia" w:ascii="仿宋" w:hAnsi="仿宋" w:eastAsia="仿宋" w:cs="仿宋"/>
                <w:color w:val="auto"/>
                <w:kern w:val="0"/>
                <w:sz w:val="24"/>
                <w:szCs w:val="24"/>
                <w:highlight w:val="none"/>
                <w:lang w:val="zh-CN"/>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C069834">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服务承诺</w:t>
            </w:r>
          </w:p>
          <w:p w14:paraId="3097731B">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15455A7D">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1、服务承诺内容：含应急突发事件、环境卫生、噪音、农民工工资工作方面的承诺，且措施合理可行、且满足采购人需求的程度承诺（5分）：</w:t>
            </w:r>
          </w:p>
          <w:p w14:paraId="0B83EBAC">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①响应以上内容要求，承诺内容、形式、方案详实、服务承诺条理清晰、步骤具体，对本项目有针对性得5分。</w:t>
            </w:r>
          </w:p>
          <w:p w14:paraId="279AF8DB">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②响应以上内容要求，承诺内容、形式，方案基本详实、服务承诺条理基本清晰、步骤基本具体的得3分。</w:t>
            </w:r>
          </w:p>
          <w:p w14:paraId="5E56B736">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③响应以上内容要求，服务的内容、形式，方案不够明确的得1分。</w:t>
            </w:r>
          </w:p>
          <w:p w14:paraId="43CAA009">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④不提供不得分。</w:t>
            </w:r>
          </w:p>
          <w:p w14:paraId="1E538111">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2、保修期内、外的服务承诺（4分）：</w:t>
            </w:r>
          </w:p>
          <w:p w14:paraId="0028CF25">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①承诺内容优于项目需求，且承诺科学、合理、切实可行的得4分。</w:t>
            </w:r>
          </w:p>
          <w:p w14:paraId="71D80BCD">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②承诺满足要求，承诺条理清晰、步骤具体的得3分。</w:t>
            </w:r>
          </w:p>
          <w:p w14:paraId="78BE9D49">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③承诺基本满足要求，承诺条理基本清晰、步骤基本具体的得1分。</w:t>
            </w:r>
          </w:p>
          <w:p w14:paraId="3F19496B">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④不提供不得分。</w:t>
            </w:r>
          </w:p>
        </w:tc>
      </w:tr>
      <w:bookmarkEnd w:id="421"/>
      <w:bookmarkEnd w:id="422"/>
      <w:bookmarkEnd w:id="423"/>
      <w:bookmarkEnd w:id="424"/>
      <w:bookmarkEnd w:id="425"/>
      <w:bookmarkEnd w:id="426"/>
    </w:tbl>
    <w:p w14:paraId="7B7B9004">
      <w:pPr>
        <w:rPr>
          <w:rFonts w:hint="eastAsia" w:ascii="仿宋" w:hAnsi="仿宋" w:eastAsia="仿宋" w:cs="仿宋"/>
          <w:color w:val="auto"/>
          <w:sz w:val="24"/>
          <w:szCs w:val="24"/>
          <w:highlight w:val="none"/>
        </w:rPr>
      </w:pPr>
      <w:bookmarkStart w:id="427" w:name="_Toc11726"/>
      <w:bookmarkStart w:id="428" w:name="_Toc2081"/>
      <w:bookmarkStart w:id="429" w:name="_Toc532034254"/>
      <w:bookmarkStart w:id="430" w:name="_Toc532034697"/>
      <w:bookmarkStart w:id="431" w:name="_Toc2281"/>
      <w:r>
        <w:rPr>
          <w:rFonts w:hint="eastAsia" w:ascii="仿宋" w:hAnsi="仿宋" w:eastAsia="仿宋" w:cs="仿宋"/>
          <w:color w:val="auto"/>
          <w:sz w:val="24"/>
          <w:szCs w:val="24"/>
          <w:highlight w:val="none"/>
        </w:rPr>
        <w:br w:type="page"/>
      </w:r>
    </w:p>
    <w:p w14:paraId="06E26ACC">
      <w:pPr>
        <w:pStyle w:val="24"/>
        <w:adjustRightInd/>
        <w:spacing w:before="0" w:after="0" w:line="360" w:lineRule="auto"/>
        <w:ind w:right="-1031" w:rightChars="-491"/>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1.评标方法</w:t>
      </w:r>
      <w:bookmarkEnd w:id="427"/>
      <w:bookmarkEnd w:id="428"/>
      <w:bookmarkEnd w:id="429"/>
      <w:r>
        <w:rPr>
          <w:rFonts w:hint="eastAsia" w:ascii="仿宋" w:hAnsi="仿宋" w:eastAsia="仿宋" w:cs="仿宋"/>
          <w:color w:val="auto"/>
          <w:sz w:val="24"/>
          <w:szCs w:val="24"/>
          <w:highlight w:val="none"/>
        </w:rPr>
        <w:t xml:space="preserve"> </w:t>
      </w:r>
    </w:p>
    <w:p w14:paraId="589E555D">
      <w:pPr>
        <w:spacing w:line="360" w:lineRule="auto"/>
        <w:ind w:firstLine="480" w:firstLineChars="200"/>
        <w:rPr>
          <w:rFonts w:hint="eastAsia" w:ascii="仿宋" w:hAnsi="仿宋" w:eastAsia="仿宋" w:cs="仿宋"/>
          <w:color w:val="auto"/>
          <w:sz w:val="24"/>
          <w:szCs w:val="24"/>
          <w:highlight w:val="none"/>
        </w:rPr>
      </w:pPr>
      <w:bookmarkStart w:id="432" w:name="_Toc955"/>
      <w:bookmarkStart w:id="433" w:name="_Toc254788515"/>
      <w:bookmarkStart w:id="434" w:name="_Toc17153"/>
      <w:bookmarkStart w:id="435" w:name="_Toc346731842"/>
      <w:bookmarkStart w:id="436" w:name="_Toc11627"/>
      <w:bookmarkStart w:id="437" w:name="_Toc256519729"/>
      <w:r>
        <w:rPr>
          <w:rFonts w:hint="eastAsia" w:ascii="仿宋" w:hAnsi="仿宋" w:eastAsia="仿宋" w:cs="仿宋"/>
          <w:color w:val="auto"/>
          <w:sz w:val="24"/>
          <w:szCs w:val="24"/>
          <w:highlight w:val="none"/>
        </w:rPr>
        <w:t>本次评标采用综合评分法。磋商小组对满足磋商文件实质性要求的响应文件，按照本章第2.2款规定的评分标准进行打分，并按得分由高到低顺序推荐成交候选人，或根据采购人授权直接确定成交人，但磋商报价低于其成本的除外。综合评分相等时，以磋商报价低的优先；磋商报价也相等的，由采购人自行确定。</w:t>
      </w:r>
    </w:p>
    <w:bookmarkEnd w:id="432"/>
    <w:bookmarkEnd w:id="433"/>
    <w:bookmarkEnd w:id="434"/>
    <w:bookmarkEnd w:id="435"/>
    <w:bookmarkEnd w:id="436"/>
    <w:bookmarkEnd w:id="437"/>
    <w:p w14:paraId="32C5D5BB">
      <w:pPr>
        <w:pStyle w:val="24"/>
        <w:adjustRightInd/>
        <w:spacing w:before="0" w:after="0" w:line="360" w:lineRule="auto"/>
        <w:ind w:right="-1031" w:rightChars="-491"/>
        <w:jc w:val="both"/>
        <w:textAlignment w:val="auto"/>
        <w:outlineLvl w:val="9"/>
        <w:rPr>
          <w:rFonts w:hint="eastAsia" w:ascii="仿宋" w:hAnsi="仿宋" w:eastAsia="仿宋" w:cs="仿宋"/>
          <w:color w:val="auto"/>
          <w:sz w:val="24"/>
          <w:szCs w:val="24"/>
          <w:highlight w:val="none"/>
        </w:rPr>
      </w:pPr>
      <w:bookmarkStart w:id="438" w:name="_Toc152042378"/>
      <w:bookmarkStart w:id="439" w:name="_Toc9475"/>
      <w:bookmarkStart w:id="440" w:name="_Toc152045601"/>
      <w:bookmarkStart w:id="441" w:name="_Toc144974568"/>
      <w:bookmarkStart w:id="442" w:name="_Toc26145"/>
      <w:bookmarkStart w:id="443" w:name="_Toc30666"/>
      <w:bookmarkStart w:id="444" w:name="_Toc346731844"/>
      <w:bookmarkStart w:id="445" w:name="_Toc254788517"/>
      <w:bookmarkStart w:id="446" w:name="_Toc18230"/>
      <w:bookmarkStart w:id="447" w:name="_Toc17390"/>
      <w:bookmarkStart w:id="448" w:name="_Toc31154"/>
      <w:bookmarkStart w:id="449" w:name="_Toc256519734"/>
      <w:r>
        <w:rPr>
          <w:rFonts w:hint="eastAsia" w:ascii="仿宋" w:hAnsi="仿宋" w:eastAsia="仿宋" w:cs="仿宋"/>
          <w:color w:val="auto"/>
          <w:sz w:val="24"/>
          <w:szCs w:val="24"/>
          <w:highlight w:val="none"/>
        </w:rPr>
        <w:t>2. 评审标准</w:t>
      </w:r>
      <w:bookmarkEnd w:id="438"/>
      <w:bookmarkEnd w:id="439"/>
      <w:bookmarkEnd w:id="440"/>
      <w:bookmarkEnd w:id="441"/>
      <w:bookmarkEnd w:id="442"/>
      <w:bookmarkEnd w:id="443"/>
    </w:p>
    <w:p w14:paraId="5BBE39F5">
      <w:pPr>
        <w:pStyle w:val="51"/>
        <w:spacing w:line="360" w:lineRule="auto"/>
        <w:rPr>
          <w:rFonts w:hint="eastAsia" w:ascii="仿宋" w:hAnsi="仿宋" w:eastAsia="仿宋" w:cs="仿宋"/>
          <w:color w:val="auto"/>
          <w:sz w:val="24"/>
          <w:szCs w:val="24"/>
          <w:highlight w:val="none"/>
        </w:rPr>
      </w:pPr>
      <w:bookmarkStart w:id="450" w:name="_Toc23979"/>
      <w:bookmarkStart w:id="451" w:name="_Toc20334"/>
      <w:bookmarkStart w:id="452" w:name="_Toc152045602"/>
      <w:bookmarkStart w:id="453" w:name="_Toc28963"/>
      <w:bookmarkStart w:id="454" w:name="_Toc3080"/>
      <w:bookmarkStart w:id="455" w:name="_Toc152042379"/>
      <w:bookmarkStart w:id="456" w:name="_Toc144974569"/>
      <w:bookmarkStart w:id="457" w:name="_Toc5543"/>
      <w:r>
        <w:rPr>
          <w:rFonts w:hint="eastAsia" w:ascii="仿宋" w:hAnsi="仿宋" w:eastAsia="仿宋" w:cs="仿宋"/>
          <w:color w:val="auto"/>
          <w:sz w:val="24"/>
          <w:szCs w:val="24"/>
          <w:highlight w:val="none"/>
        </w:rPr>
        <w:t>2.1 初步评审标准</w:t>
      </w:r>
      <w:bookmarkEnd w:id="450"/>
      <w:bookmarkEnd w:id="451"/>
      <w:bookmarkEnd w:id="452"/>
      <w:bookmarkEnd w:id="453"/>
      <w:bookmarkEnd w:id="454"/>
      <w:bookmarkEnd w:id="455"/>
      <w:bookmarkEnd w:id="456"/>
      <w:bookmarkEnd w:id="457"/>
    </w:p>
    <w:bookmarkEnd w:id="444"/>
    <w:bookmarkEnd w:id="445"/>
    <w:bookmarkEnd w:id="446"/>
    <w:bookmarkEnd w:id="447"/>
    <w:bookmarkEnd w:id="448"/>
    <w:bookmarkEnd w:id="449"/>
    <w:p w14:paraId="2CA2189A">
      <w:pPr>
        <w:pStyle w:val="51"/>
        <w:spacing w:line="360" w:lineRule="auto"/>
        <w:rPr>
          <w:rFonts w:hint="eastAsia" w:ascii="仿宋" w:hAnsi="仿宋" w:eastAsia="仿宋" w:cs="仿宋"/>
          <w:color w:val="auto"/>
          <w:sz w:val="24"/>
          <w:szCs w:val="24"/>
          <w:highlight w:val="none"/>
        </w:rPr>
      </w:pPr>
      <w:bookmarkStart w:id="458" w:name="_Toc17013"/>
      <w:bookmarkStart w:id="459" w:name="_Toc7871"/>
      <w:bookmarkStart w:id="460" w:name="_Toc9323"/>
      <w:bookmarkStart w:id="461" w:name="_Toc29383"/>
      <w:bookmarkStart w:id="462" w:name="_Toc15932"/>
      <w:bookmarkStart w:id="463" w:name="_Toc19512"/>
      <w:bookmarkStart w:id="464" w:name="_Toc256519736"/>
      <w:bookmarkStart w:id="465" w:name="_Toc14575"/>
      <w:r>
        <w:rPr>
          <w:rFonts w:hint="eastAsia" w:ascii="仿宋" w:hAnsi="仿宋" w:eastAsia="仿宋" w:cs="仿宋"/>
          <w:color w:val="auto"/>
          <w:sz w:val="24"/>
          <w:szCs w:val="24"/>
          <w:highlight w:val="none"/>
        </w:rPr>
        <w:t>2.1 初步评审标准</w:t>
      </w:r>
      <w:bookmarkEnd w:id="458"/>
      <w:bookmarkEnd w:id="459"/>
      <w:bookmarkEnd w:id="460"/>
      <w:bookmarkEnd w:id="461"/>
    </w:p>
    <w:p w14:paraId="37DB00B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2.1.1 资格评审标准：见评标办法前附表。 </w:t>
      </w:r>
    </w:p>
    <w:p w14:paraId="6FD9A1B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2.1.2 初步评审标准：见评标办法前附表。</w:t>
      </w:r>
    </w:p>
    <w:p w14:paraId="5B0BCDE8">
      <w:pPr>
        <w:pStyle w:val="51"/>
        <w:spacing w:line="360" w:lineRule="auto"/>
        <w:rPr>
          <w:rFonts w:hint="eastAsia" w:ascii="仿宋" w:hAnsi="仿宋" w:eastAsia="仿宋" w:cs="仿宋"/>
          <w:color w:val="auto"/>
          <w:sz w:val="24"/>
          <w:szCs w:val="24"/>
          <w:highlight w:val="none"/>
        </w:rPr>
      </w:pPr>
      <w:bookmarkStart w:id="466" w:name="_Toc537"/>
      <w:bookmarkStart w:id="467" w:name="_Toc152042380"/>
      <w:bookmarkStart w:id="468" w:name="_Toc6940"/>
      <w:bookmarkStart w:id="469" w:name="_Toc23462"/>
      <w:bookmarkStart w:id="470" w:name="_Toc144974570"/>
      <w:bookmarkStart w:id="471" w:name="_Toc152045603"/>
      <w:bookmarkStart w:id="472" w:name="_Toc32643"/>
      <w:bookmarkStart w:id="473" w:name="_Toc31502"/>
      <w:r>
        <w:rPr>
          <w:rFonts w:hint="eastAsia" w:ascii="仿宋" w:hAnsi="仿宋" w:eastAsia="仿宋" w:cs="仿宋"/>
          <w:color w:val="auto"/>
          <w:sz w:val="24"/>
          <w:szCs w:val="24"/>
          <w:highlight w:val="none"/>
        </w:rPr>
        <w:t>2.2 分值构成与评分标准</w:t>
      </w:r>
      <w:bookmarkEnd w:id="466"/>
      <w:bookmarkEnd w:id="467"/>
      <w:bookmarkEnd w:id="468"/>
      <w:bookmarkEnd w:id="469"/>
      <w:bookmarkEnd w:id="470"/>
      <w:bookmarkEnd w:id="471"/>
      <w:bookmarkEnd w:id="472"/>
      <w:bookmarkEnd w:id="473"/>
    </w:p>
    <w:bookmarkEnd w:id="462"/>
    <w:bookmarkEnd w:id="463"/>
    <w:bookmarkEnd w:id="464"/>
    <w:bookmarkEnd w:id="465"/>
    <w:p w14:paraId="6C658E0C">
      <w:pPr>
        <w:spacing w:line="360" w:lineRule="auto"/>
        <w:ind w:firstLine="480" w:firstLineChars="200"/>
        <w:rPr>
          <w:rFonts w:hint="eastAsia" w:ascii="仿宋" w:hAnsi="仿宋" w:eastAsia="仿宋" w:cs="仿宋"/>
          <w:color w:val="auto"/>
          <w:sz w:val="24"/>
          <w:szCs w:val="24"/>
          <w:highlight w:val="none"/>
        </w:rPr>
      </w:pPr>
      <w:bookmarkStart w:id="474" w:name="_Toc254788518"/>
      <w:bookmarkStart w:id="475" w:name="_Toc18548"/>
      <w:bookmarkStart w:id="476" w:name="_Toc3164"/>
      <w:bookmarkStart w:id="477" w:name="_Toc11128"/>
      <w:bookmarkStart w:id="478" w:name="_Toc256519738"/>
      <w:bookmarkStart w:id="479" w:name="_Toc346731845"/>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 分值构成</w:t>
      </w:r>
    </w:p>
    <w:p w14:paraId="5771A47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（1）报价部分：见评标办法前附表；</w:t>
      </w:r>
    </w:p>
    <w:p w14:paraId="13A77D1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rPr>
        <w:t>部分：见评标办法前附表；</w:t>
      </w:r>
    </w:p>
    <w:p w14:paraId="395F06F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部分：见评标办法前附表；</w:t>
      </w:r>
    </w:p>
    <w:p w14:paraId="3A7AF05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评分标准</w:t>
      </w:r>
    </w:p>
    <w:p w14:paraId="28AD80A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（1）报价部分评分标准：见评标办法前附表；</w:t>
      </w:r>
    </w:p>
    <w:p w14:paraId="352599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rPr>
        <w:t>部分评分标准：见评标办法前附表；</w:t>
      </w:r>
    </w:p>
    <w:p w14:paraId="526B27E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部分评分标准：见评标办法前附表；</w:t>
      </w:r>
    </w:p>
    <w:p w14:paraId="0EF20378">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3、评标程序</w:t>
      </w:r>
      <w:bookmarkEnd w:id="474"/>
      <w:bookmarkEnd w:id="475"/>
      <w:bookmarkEnd w:id="476"/>
      <w:bookmarkEnd w:id="477"/>
      <w:bookmarkEnd w:id="478"/>
      <w:bookmarkEnd w:id="479"/>
    </w:p>
    <w:p w14:paraId="6089F1B6">
      <w:pPr>
        <w:spacing w:line="360" w:lineRule="auto"/>
        <w:ind w:firstLine="523" w:firstLineChars="218"/>
        <w:rPr>
          <w:rFonts w:hint="eastAsia" w:ascii="仿宋" w:hAnsi="仿宋" w:eastAsia="仿宋" w:cs="仿宋"/>
          <w:color w:val="auto"/>
          <w:sz w:val="24"/>
          <w:szCs w:val="24"/>
          <w:highlight w:val="none"/>
        </w:rPr>
      </w:pPr>
      <w:bookmarkStart w:id="480" w:name="_Toc3240"/>
      <w:bookmarkStart w:id="481" w:name="_Toc254788519"/>
      <w:bookmarkStart w:id="482" w:name="_Toc7215"/>
      <w:bookmarkStart w:id="483" w:name="_Toc256519739"/>
      <w:bookmarkStart w:id="484" w:name="_Toc346731846"/>
      <w:bookmarkStart w:id="485" w:name="_Toc23044"/>
      <w:r>
        <w:rPr>
          <w:rFonts w:hint="eastAsia" w:ascii="仿宋" w:hAnsi="仿宋" w:eastAsia="仿宋" w:cs="仿宋"/>
          <w:color w:val="auto"/>
          <w:sz w:val="24"/>
          <w:szCs w:val="24"/>
          <w:highlight w:val="none"/>
        </w:rPr>
        <w:t>3.1初步评审</w:t>
      </w:r>
      <w:bookmarkEnd w:id="480"/>
      <w:bookmarkEnd w:id="481"/>
      <w:bookmarkEnd w:id="482"/>
      <w:bookmarkEnd w:id="483"/>
      <w:bookmarkEnd w:id="484"/>
      <w:bookmarkEnd w:id="485"/>
    </w:p>
    <w:p w14:paraId="3C616EDF">
      <w:pPr>
        <w:spacing w:line="360" w:lineRule="auto"/>
        <w:ind w:firstLine="523" w:firstLineChars="218"/>
        <w:rPr>
          <w:rFonts w:hint="eastAsia" w:ascii="仿宋" w:hAnsi="仿宋" w:eastAsia="仿宋" w:cs="仿宋"/>
          <w:color w:val="auto"/>
          <w:sz w:val="24"/>
          <w:szCs w:val="24"/>
          <w:highlight w:val="none"/>
        </w:rPr>
      </w:pPr>
      <w:bookmarkStart w:id="486" w:name="_Toc325"/>
      <w:bookmarkStart w:id="487" w:name="_Toc24988"/>
      <w:bookmarkStart w:id="488" w:name="_Toc256519740"/>
      <w:bookmarkStart w:id="489" w:name="_Toc23705"/>
      <w:r>
        <w:rPr>
          <w:rFonts w:hint="eastAsia" w:ascii="仿宋" w:hAnsi="仿宋" w:eastAsia="仿宋" w:cs="仿宋"/>
          <w:color w:val="auto"/>
          <w:sz w:val="24"/>
          <w:szCs w:val="24"/>
          <w:highlight w:val="none"/>
        </w:rPr>
        <w:t>3.1.1</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依据本章规定的评审标准对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进行初步评审。有一项不符合评审标准的，其投标将被否决。</w:t>
      </w:r>
      <w:bookmarkEnd w:id="486"/>
      <w:bookmarkEnd w:id="487"/>
      <w:bookmarkEnd w:id="488"/>
      <w:bookmarkEnd w:id="489"/>
    </w:p>
    <w:p w14:paraId="2E6655C0">
      <w:pPr>
        <w:spacing w:line="360" w:lineRule="auto"/>
        <w:ind w:firstLine="523" w:firstLineChars="218"/>
        <w:rPr>
          <w:rFonts w:hint="eastAsia" w:ascii="仿宋" w:hAnsi="仿宋" w:eastAsia="仿宋" w:cs="仿宋"/>
          <w:color w:val="auto"/>
          <w:sz w:val="24"/>
          <w:szCs w:val="24"/>
          <w:highlight w:val="none"/>
        </w:rPr>
      </w:pPr>
      <w:bookmarkStart w:id="490" w:name="_Toc21573"/>
      <w:bookmarkStart w:id="491" w:name="_Toc256519741"/>
      <w:bookmarkStart w:id="492" w:name="_Toc14712"/>
      <w:bookmarkStart w:id="493" w:name="_Toc21810"/>
      <w:r>
        <w:rPr>
          <w:rFonts w:hint="eastAsia" w:ascii="仿宋" w:hAnsi="仿宋" w:eastAsia="仿宋" w:cs="仿宋"/>
          <w:color w:val="auto"/>
          <w:sz w:val="24"/>
          <w:szCs w:val="24"/>
          <w:highlight w:val="none"/>
        </w:rPr>
        <w:t>3.1.2供应商有以下情形之一的，其投标将被否决：</w:t>
      </w:r>
      <w:bookmarkEnd w:id="490"/>
      <w:bookmarkEnd w:id="491"/>
      <w:bookmarkEnd w:id="492"/>
      <w:bookmarkEnd w:id="493"/>
    </w:p>
    <w:p w14:paraId="66BF329A">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（1）串通投标或弄虚作假或有其他违法行为的；</w:t>
      </w:r>
    </w:p>
    <w:p w14:paraId="775A2DE1">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（2）不按</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要求澄清、说明或补正的。</w:t>
      </w:r>
    </w:p>
    <w:p w14:paraId="391D5782">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3）响应文件制作机器码与其他供应商一致的。</w:t>
      </w:r>
    </w:p>
    <w:p w14:paraId="7E300D07">
      <w:pPr>
        <w:spacing w:line="360" w:lineRule="auto"/>
        <w:ind w:firstLine="523" w:firstLineChars="218"/>
        <w:rPr>
          <w:rFonts w:hint="eastAsia" w:ascii="仿宋" w:hAnsi="仿宋" w:eastAsia="仿宋" w:cs="仿宋"/>
          <w:color w:val="auto"/>
          <w:sz w:val="24"/>
          <w:szCs w:val="24"/>
          <w:highlight w:val="none"/>
        </w:rPr>
      </w:pPr>
      <w:bookmarkStart w:id="494" w:name="_Toc24006"/>
      <w:bookmarkStart w:id="495" w:name="_Toc1851"/>
      <w:bookmarkStart w:id="496" w:name="_Toc256519742"/>
      <w:bookmarkStart w:id="497" w:name="_Toc21679"/>
      <w:r>
        <w:rPr>
          <w:rFonts w:hint="eastAsia" w:ascii="仿宋" w:hAnsi="仿宋" w:eastAsia="仿宋" w:cs="仿宋"/>
          <w:color w:val="auto"/>
          <w:sz w:val="24"/>
          <w:szCs w:val="24"/>
          <w:highlight w:val="none"/>
        </w:rPr>
        <w:t>3.1.3投标报价有算术错误的，</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按以下原则对投标报价进行修正，修正的价格经供应商书面确认后具有约束力。供应商不接受修正价格的，其投标将被否决。</w:t>
      </w:r>
      <w:bookmarkEnd w:id="494"/>
      <w:bookmarkEnd w:id="495"/>
      <w:bookmarkEnd w:id="496"/>
      <w:bookmarkEnd w:id="497"/>
    </w:p>
    <w:p w14:paraId="07E812A0">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中的大写金额与小写金额不一致的，以大写金额为准；</w:t>
      </w:r>
    </w:p>
    <w:p w14:paraId="4C7B5406">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（2）总价金额与依据单价计算出的结果不一致的，以单价金额为准修正总价，但单价金额小数点有明显错误的除外。</w:t>
      </w:r>
    </w:p>
    <w:p w14:paraId="2242EF28">
      <w:pPr>
        <w:keepNext w:val="0"/>
        <w:keepLines w:val="0"/>
        <w:pageBreakBefore w:val="0"/>
        <w:widowControl w:val="0"/>
        <w:kinsoku/>
        <w:wordWrap/>
        <w:overflowPunct/>
        <w:topLinePunct w:val="0"/>
        <w:autoSpaceDE/>
        <w:autoSpaceDN/>
        <w:bidi w:val="0"/>
        <w:adjustRightInd/>
        <w:snapToGrid/>
        <w:spacing w:line="360" w:lineRule="auto"/>
        <w:ind w:firstLine="523" w:firstLineChars="218"/>
        <w:textAlignment w:val="auto"/>
        <w:rPr>
          <w:rFonts w:hint="eastAsia" w:ascii="仿宋" w:hAnsi="仿宋" w:eastAsia="仿宋" w:cs="仿宋"/>
          <w:color w:val="auto"/>
          <w:sz w:val="24"/>
          <w:szCs w:val="24"/>
          <w:highlight w:val="none"/>
          <w:lang w:val="en-US" w:eastAsia="zh-CN"/>
        </w:rPr>
      </w:pPr>
      <w:bookmarkStart w:id="498" w:name="_Toc346731847"/>
      <w:bookmarkStart w:id="499" w:name="_Toc256519743"/>
      <w:bookmarkStart w:id="500" w:name="_Toc9893"/>
      <w:bookmarkStart w:id="501" w:name="_Toc21175"/>
      <w:bookmarkStart w:id="502" w:name="_Toc20863"/>
      <w:bookmarkStart w:id="503" w:name="_Toc254788520"/>
      <w:r>
        <w:rPr>
          <w:rFonts w:hint="eastAsia" w:ascii="仿宋" w:hAnsi="仿宋" w:eastAsia="仿宋" w:cs="仿宋"/>
          <w:color w:val="auto"/>
          <w:sz w:val="24"/>
          <w:szCs w:val="24"/>
          <w:highlight w:val="none"/>
        </w:rPr>
        <w:t>3.2</w:t>
      </w:r>
      <w:r>
        <w:rPr>
          <w:rFonts w:hint="eastAsia" w:ascii="仿宋" w:hAnsi="仿宋" w:eastAsia="仿宋" w:cs="仿宋"/>
          <w:color w:val="auto"/>
          <w:sz w:val="24"/>
          <w:szCs w:val="24"/>
          <w:highlight w:val="none"/>
          <w:lang w:val="en-US" w:eastAsia="zh-CN"/>
        </w:rPr>
        <w:t>磋商报价</w:t>
      </w:r>
    </w:p>
    <w:p w14:paraId="0B3AD306">
      <w:pPr>
        <w:pStyle w:val="43"/>
        <w:keepNext w:val="0"/>
        <w:keepLines w:val="0"/>
        <w:pageBreakBefore w:val="0"/>
        <w:widowControl w:val="0"/>
        <w:kinsoku/>
        <w:wordWrap/>
        <w:overflowPunct/>
        <w:topLinePunct w:val="0"/>
        <w:autoSpaceDE/>
        <w:autoSpaceDN/>
        <w:bidi w:val="0"/>
        <w:adjustRightInd/>
        <w:snapToGrid/>
        <w:spacing w:line="360" w:lineRule="auto"/>
        <w:ind w:firstLine="450"/>
        <w:textAlignment w:val="auto"/>
        <w:rPr>
          <w:rFonts w:hint="eastAsia" w:ascii="仿宋" w:hAnsi="仿宋" w:eastAsia="仿宋" w:cs="仿宋"/>
          <w:i w:val="0"/>
          <w:iCs w:val="0"/>
          <w:color w:val="0000FF"/>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3.2.1磋商小组要求所有实质性响应的供应商在规定时间内提交二次磋商报价（最终报价），最终报价是供应商磋商响应文件的有效组成部分。</w:t>
      </w:r>
      <w:r>
        <w:rPr>
          <w:rFonts w:hint="eastAsia" w:ascii="仿宋" w:hAnsi="仿宋" w:eastAsia="仿宋" w:cs="仿宋"/>
          <w:b/>
          <w:bCs/>
          <w:i w:val="0"/>
          <w:iCs w:val="0"/>
          <w:color w:val="auto"/>
          <w:kern w:val="2"/>
          <w:sz w:val="24"/>
          <w:szCs w:val="24"/>
          <w:highlight w:val="none"/>
          <w:lang w:val="en-US" w:eastAsia="zh-CN" w:bidi="ar-SA"/>
        </w:rPr>
        <w:t>供应商只有通过初步评审后方可进入下一轮报价，竞争性磋商最终报价也将予以远程报价。供应商登录远程开标项目，在收到远程报价通知时，即可远程在线报价，供应商在规定时间内最终报价因逾期或超时，将默认初次报价为最终报价参与评审。</w:t>
      </w:r>
    </w:p>
    <w:p w14:paraId="705B3A26">
      <w:pPr>
        <w:pStyle w:val="43"/>
        <w:keepNext w:val="0"/>
        <w:keepLines w:val="0"/>
        <w:pageBreakBefore w:val="0"/>
        <w:widowControl w:val="0"/>
        <w:kinsoku/>
        <w:wordWrap/>
        <w:overflowPunct/>
        <w:topLinePunct w:val="0"/>
        <w:autoSpaceDE/>
        <w:autoSpaceDN/>
        <w:bidi w:val="0"/>
        <w:adjustRightInd/>
        <w:snapToGrid/>
        <w:spacing w:line="360" w:lineRule="auto"/>
        <w:ind w:firstLine="45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3.2.2开标会议结束之后，请各供应商保持在线状态，等候线上二次报价通知。</w:t>
      </w:r>
    </w:p>
    <w:p w14:paraId="07E3656B">
      <w:pPr>
        <w:pStyle w:val="43"/>
        <w:keepNext w:val="0"/>
        <w:keepLines w:val="0"/>
        <w:pageBreakBefore w:val="0"/>
        <w:widowControl w:val="0"/>
        <w:kinsoku/>
        <w:wordWrap/>
        <w:overflowPunct/>
        <w:topLinePunct w:val="0"/>
        <w:autoSpaceDE/>
        <w:autoSpaceDN/>
        <w:bidi w:val="0"/>
        <w:adjustRightInd/>
        <w:snapToGrid/>
        <w:spacing w:line="360" w:lineRule="auto"/>
        <w:ind w:firstLine="45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3.2.3最终报价明显低于其他通过符合性审查投标人的报价，有可能影响工程质量或者不能诚信履约的，投标人需做出合理说明，否则将承担不被接受的风险。 </w:t>
      </w:r>
    </w:p>
    <w:p w14:paraId="5980C58C">
      <w:pPr>
        <w:keepNext w:val="0"/>
        <w:keepLines w:val="0"/>
        <w:pageBreakBefore w:val="0"/>
        <w:widowControl w:val="0"/>
        <w:kinsoku/>
        <w:wordWrap/>
        <w:overflowPunct/>
        <w:topLinePunct w:val="0"/>
        <w:autoSpaceDE/>
        <w:autoSpaceDN/>
        <w:bidi w:val="0"/>
        <w:adjustRightInd/>
        <w:snapToGrid/>
        <w:spacing w:line="360" w:lineRule="auto"/>
        <w:ind w:firstLine="523" w:firstLineChars="21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详细评审</w:t>
      </w:r>
      <w:bookmarkEnd w:id="498"/>
      <w:bookmarkEnd w:id="499"/>
      <w:bookmarkEnd w:id="500"/>
      <w:bookmarkEnd w:id="501"/>
      <w:bookmarkEnd w:id="502"/>
      <w:bookmarkEnd w:id="503"/>
    </w:p>
    <w:p w14:paraId="61D71420">
      <w:pPr>
        <w:keepNext w:val="0"/>
        <w:keepLines w:val="0"/>
        <w:pageBreakBefore w:val="0"/>
        <w:widowControl w:val="0"/>
        <w:kinsoku/>
        <w:wordWrap/>
        <w:overflowPunct/>
        <w:topLinePunct w:val="0"/>
        <w:autoSpaceDE/>
        <w:autoSpaceDN/>
        <w:bidi w:val="0"/>
        <w:adjustRightInd/>
        <w:snapToGrid/>
        <w:spacing w:line="360" w:lineRule="auto"/>
        <w:ind w:firstLine="523" w:firstLineChars="218"/>
        <w:textAlignment w:val="auto"/>
        <w:rPr>
          <w:rFonts w:hint="eastAsia" w:ascii="仿宋" w:hAnsi="仿宋" w:eastAsia="仿宋" w:cs="仿宋"/>
          <w:color w:val="auto"/>
          <w:sz w:val="24"/>
          <w:szCs w:val="24"/>
          <w:highlight w:val="none"/>
        </w:rPr>
      </w:pPr>
      <w:bookmarkStart w:id="504" w:name="_Toc14548"/>
      <w:bookmarkStart w:id="505" w:name="_Toc256519744"/>
      <w:bookmarkStart w:id="506" w:name="_Toc30200"/>
      <w:bookmarkStart w:id="507" w:name="_Toc24013"/>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按本章第2.2款规定的量化因素和分值进行打分，并计算出综合评估得分。</w:t>
      </w:r>
      <w:bookmarkEnd w:id="504"/>
      <w:bookmarkEnd w:id="505"/>
      <w:bookmarkEnd w:id="506"/>
      <w:bookmarkEnd w:id="507"/>
    </w:p>
    <w:p w14:paraId="36A7D785">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（1）按本章规定的评审因素和分值对2.2.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（1）投标报价计算出得分A；</w:t>
      </w:r>
    </w:p>
    <w:p w14:paraId="32671707">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（2）按本章规定的评审因素和分值对2.2.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（2）技术部分计算出得分B；</w:t>
      </w:r>
    </w:p>
    <w:p w14:paraId="04C96C6C">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（3）按本章规定的评审因素和分值对2.2.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部分计算出得分C；</w:t>
      </w:r>
    </w:p>
    <w:p w14:paraId="1CDBF0E8">
      <w:pPr>
        <w:spacing w:line="360" w:lineRule="auto"/>
        <w:ind w:firstLine="523" w:firstLineChars="218"/>
        <w:rPr>
          <w:rFonts w:hint="eastAsia" w:ascii="仿宋" w:hAnsi="仿宋" w:eastAsia="仿宋" w:cs="仿宋"/>
          <w:color w:val="auto"/>
          <w:sz w:val="24"/>
          <w:szCs w:val="24"/>
          <w:highlight w:val="none"/>
        </w:rPr>
      </w:pPr>
      <w:bookmarkStart w:id="508" w:name="_Toc256519745"/>
      <w:bookmarkStart w:id="509" w:name="_Toc25841"/>
      <w:bookmarkStart w:id="510" w:name="_Toc31995"/>
      <w:bookmarkStart w:id="511" w:name="_Toc9474"/>
      <w:r>
        <w:rPr>
          <w:rFonts w:hint="eastAsia" w:ascii="仿宋" w:hAnsi="仿宋" w:eastAsia="仿宋" w:cs="仿宋"/>
          <w:color w:val="auto"/>
          <w:sz w:val="24"/>
          <w:szCs w:val="24"/>
          <w:highlight w:val="none"/>
        </w:rPr>
        <w:t>评分分值计算保留小数点后两位，小数点后第三位“四舍五入”。</w:t>
      </w:r>
      <w:bookmarkEnd w:id="508"/>
      <w:bookmarkEnd w:id="509"/>
      <w:bookmarkEnd w:id="510"/>
      <w:bookmarkEnd w:id="511"/>
    </w:p>
    <w:p w14:paraId="474999CB">
      <w:pPr>
        <w:spacing w:line="360" w:lineRule="auto"/>
        <w:ind w:firstLine="523" w:firstLineChars="218"/>
        <w:rPr>
          <w:rFonts w:hint="eastAsia" w:ascii="仿宋" w:hAnsi="仿宋" w:eastAsia="仿宋" w:cs="仿宋"/>
          <w:color w:val="auto"/>
          <w:sz w:val="24"/>
          <w:szCs w:val="24"/>
          <w:highlight w:val="none"/>
        </w:rPr>
      </w:pPr>
      <w:bookmarkStart w:id="512" w:name="_Toc1912"/>
      <w:bookmarkStart w:id="513" w:name="_Toc256519746"/>
      <w:bookmarkStart w:id="514" w:name="_Toc4168"/>
      <w:bookmarkStart w:id="515" w:name="_Toc9098"/>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.3供应商得分＝A+B+C。供应商的最终得分为各评委所评定分数的算术平均值。</w:t>
      </w:r>
      <w:bookmarkEnd w:id="512"/>
      <w:bookmarkEnd w:id="513"/>
      <w:bookmarkEnd w:id="514"/>
      <w:bookmarkEnd w:id="515"/>
    </w:p>
    <w:p w14:paraId="54693347">
      <w:pPr>
        <w:spacing w:line="360" w:lineRule="auto"/>
        <w:ind w:firstLine="523" w:firstLineChars="218"/>
        <w:rPr>
          <w:rFonts w:hint="eastAsia" w:ascii="仿宋" w:hAnsi="仿宋" w:eastAsia="仿宋" w:cs="仿宋"/>
          <w:color w:val="auto"/>
          <w:sz w:val="24"/>
          <w:szCs w:val="24"/>
          <w:highlight w:val="none"/>
        </w:rPr>
      </w:pPr>
      <w:bookmarkStart w:id="516" w:name="_Toc15660"/>
      <w:bookmarkStart w:id="517" w:name="_Toc32130"/>
      <w:bookmarkStart w:id="518" w:name="_Toc256519747"/>
      <w:bookmarkStart w:id="519" w:name="_Toc4934"/>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rPr>
        <w:t>发现供应商的报价明显低于其他投标报价，或者明显低于最高投标限价，使得其投标报价可能低于其个别成本的，应当要求该供应商作出书面说明并提供相应的证明材料。供应商不能合理说明或者不能提供相应证明材料的，由</w:t>
      </w:r>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rPr>
        <w:t>认定该供应商以低于成本报价竞标，其投标将被否决。</w:t>
      </w:r>
      <w:bookmarkEnd w:id="516"/>
      <w:bookmarkEnd w:id="517"/>
      <w:bookmarkEnd w:id="518"/>
      <w:bookmarkEnd w:id="519"/>
    </w:p>
    <w:p w14:paraId="1308EF38">
      <w:pPr>
        <w:spacing w:line="360" w:lineRule="auto"/>
        <w:ind w:firstLine="523" w:firstLineChars="218"/>
        <w:rPr>
          <w:rFonts w:hint="eastAsia" w:ascii="仿宋" w:hAnsi="仿宋" w:eastAsia="仿宋" w:cs="仿宋"/>
          <w:color w:val="auto"/>
          <w:sz w:val="24"/>
          <w:szCs w:val="24"/>
          <w:highlight w:val="none"/>
        </w:rPr>
      </w:pPr>
      <w:bookmarkStart w:id="520" w:name="_Toc2762"/>
      <w:bookmarkStart w:id="521" w:name="_Toc8885"/>
      <w:bookmarkStart w:id="522" w:name="_Toc254788521"/>
      <w:bookmarkStart w:id="523" w:name="_Toc256519748"/>
      <w:bookmarkStart w:id="524" w:name="_Toc19414"/>
      <w:bookmarkStart w:id="525" w:name="_Toc346731848"/>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的澄清和补正</w:t>
      </w:r>
      <w:bookmarkEnd w:id="520"/>
      <w:bookmarkEnd w:id="521"/>
      <w:bookmarkEnd w:id="522"/>
      <w:bookmarkEnd w:id="523"/>
      <w:bookmarkEnd w:id="524"/>
      <w:bookmarkEnd w:id="525"/>
    </w:p>
    <w:p w14:paraId="4EC643A7">
      <w:pPr>
        <w:spacing w:line="360" w:lineRule="auto"/>
        <w:ind w:firstLine="523" w:firstLineChars="218"/>
        <w:rPr>
          <w:rFonts w:hint="eastAsia" w:ascii="仿宋" w:hAnsi="仿宋" w:eastAsia="仿宋" w:cs="仿宋"/>
          <w:color w:val="auto"/>
          <w:sz w:val="24"/>
          <w:szCs w:val="24"/>
          <w:highlight w:val="none"/>
        </w:rPr>
      </w:pPr>
      <w:bookmarkStart w:id="526" w:name="_Toc256519749"/>
      <w:bookmarkStart w:id="527" w:name="_Toc15681"/>
      <w:bookmarkStart w:id="528" w:name="_Toc687"/>
      <w:bookmarkStart w:id="529" w:name="_Toc30071"/>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.1在评标过程中，</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可以书面形式要求供应商对所提交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中不明确的内容进行书面澄清或说明，或者对细微偏差进行补正。</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不接受供应商主动提出的澄清、说明或补正。</w:t>
      </w:r>
      <w:bookmarkEnd w:id="526"/>
      <w:bookmarkEnd w:id="527"/>
      <w:bookmarkEnd w:id="528"/>
      <w:bookmarkEnd w:id="529"/>
    </w:p>
    <w:p w14:paraId="7846D612">
      <w:pPr>
        <w:spacing w:line="360" w:lineRule="auto"/>
        <w:ind w:firstLine="523" w:firstLineChars="218"/>
        <w:rPr>
          <w:rFonts w:hint="eastAsia" w:ascii="仿宋" w:hAnsi="仿宋" w:eastAsia="仿宋" w:cs="仿宋"/>
          <w:color w:val="auto"/>
          <w:sz w:val="24"/>
          <w:szCs w:val="24"/>
          <w:highlight w:val="none"/>
        </w:rPr>
      </w:pPr>
      <w:bookmarkStart w:id="530" w:name="_Toc29439"/>
      <w:bookmarkStart w:id="531" w:name="_Toc29040"/>
      <w:bookmarkStart w:id="532" w:name="_Toc256519750"/>
      <w:bookmarkStart w:id="533" w:name="_Toc21316"/>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.2澄清、说明和补正不得改变</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的实质性内容（算术性错误修正的除外）。供应商的书面澄清、说明和补正属于</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的组成部分。</w:t>
      </w:r>
      <w:bookmarkEnd w:id="530"/>
      <w:bookmarkEnd w:id="531"/>
      <w:bookmarkEnd w:id="532"/>
      <w:bookmarkEnd w:id="533"/>
    </w:p>
    <w:p w14:paraId="1AA956EC">
      <w:pPr>
        <w:spacing w:line="360" w:lineRule="auto"/>
        <w:ind w:firstLine="523" w:firstLineChars="218"/>
        <w:rPr>
          <w:rFonts w:hint="eastAsia" w:ascii="仿宋" w:hAnsi="仿宋" w:eastAsia="仿宋" w:cs="仿宋"/>
          <w:color w:val="auto"/>
          <w:sz w:val="24"/>
          <w:szCs w:val="24"/>
          <w:highlight w:val="none"/>
        </w:rPr>
      </w:pPr>
      <w:bookmarkStart w:id="534" w:name="_Toc1832"/>
      <w:bookmarkStart w:id="535" w:name="_Toc256519751"/>
      <w:bookmarkStart w:id="536" w:name="_Toc30669"/>
      <w:bookmarkStart w:id="537" w:name="_Toc24506"/>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对供应商提交的澄清、说明或补正有疑问的，可以要求供应商进一步澄清、说明或补正，直至满足</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的要求。</w:t>
      </w:r>
      <w:bookmarkEnd w:id="534"/>
      <w:bookmarkEnd w:id="535"/>
      <w:bookmarkEnd w:id="536"/>
      <w:bookmarkEnd w:id="537"/>
    </w:p>
    <w:p w14:paraId="15CD8245">
      <w:pPr>
        <w:spacing w:line="360" w:lineRule="auto"/>
        <w:ind w:firstLine="523" w:firstLineChars="218"/>
        <w:rPr>
          <w:rFonts w:hint="eastAsia" w:ascii="仿宋" w:hAnsi="仿宋" w:eastAsia="仿宋" w:cs="仿宋"/>
          <w:color w:val="auto"/>
          <w:sz w:val="24"/>
          <w:szCs w:val="24"/>
          <w:highlight w:val="none"/>
        </w:rPr>
      </w:pPr>
      <w:bookmarkStart w:id="538" w:name="_Toc2765"/>
      <w:bookmarkStart w:id="539" w:name="_Toc254788522"/>
      <w:bookmarkStart w:id="540" w:name="_Toc21596"/>
      <w:bookmarkStart w:id="541" w:name="_Toc12487"/>
      <w:bookmarkStart w:id="542" w:name="_Toc256519752"/>
      <w:bookmarkStart w:id="543" w:name="_Toc346731849"/>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评标结果</w:t>
      </w:r>
      <w:bookmarkEnd w:id="538"/>
      <w:bookmarkEnd w:id="539"/>
      <w:bookmarkEnd w:id="540"/>
      <w:bookmarkEnd w:id="541"/>
      <w:bookmarkEnd w:id="542"/>
      <w:bookmarkEnd w:id="543"/>
    </w:p>
    <w:p w14:paraId="7D122C50">
      <w:pPr>
        <w:spacing w:line="360" w:lineRule="auto"/>
        <w:ind w:firstLine="523" w:firstLineChars="218"/>
        <w:rPr>
          <w:rFonts w:hint="eastAsia" w:ascii="仿宋" w:hAnsi="仿宋" w:eastAsia="仿宋" w:cs="仿宋"/>
          <w:color w:val="auto"/>
          <w:sz w:val="24"/>
          <w:szCs w:val="24"/>
          <w:highlight w:val="none"/>
        </w:rPr>
      </w:pPr>
      <w:bookmarkStart w:id="544" w:name="_Toc3304"/>
      <w:bookmarkStart w:id="545" w:name="_Toc5594"/>
      <w:bookmarkStart w:id="546" w:name="_Toc9316"/>
      <w:bookmarkStart w:id="547" w:name="_Toc256519754"/>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.1除第二章“供应商须知”前附表授权直接确定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人外，</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按照得分由高到低的顺序推荐</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w:t>
      </w:r>
      <w:bookmarkEnd w:id="544"/>
      <w:bookmarkEnd w:id="545"/>
      <w:bookmarkEnd w:id="546"/>
    </w:p>
    <w:bookmarkEnd w:id="547"/>
    <w:p w14:paraId="5421C7E7">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.2评审结束后，磋商小组要向采购人提交书面评审报告。</w:t>
      </w:r>
    </w:p>
    <w:bookmarkEnd w:id="430"/>
    <w:bookmarkEnd w:id="431"/>
    <w:p w14:paraId="377C04B7">
      <w:pPr>
        <w:pStyle w:val="3"/>
        <w:spacing w:before="120" w:after="120" w:line="400" w:lineRule="exact"/>
        <w:jc w:val="center"/>
        <w:rPr>
          <w:rFonts w:hint="eastAsia" w:ascii="仿宋" w:hAnsi="仿宋" w:eastAsia="仿宋" w:cs="仿宋"/>
          <w:color w:val="auto"/>
          <w:sz w:val="24"/>
          <w:szCs w:val="24"/>
          <w:highlight w:val="none"/>
        </w:rPr>
        <w:sectPr>
          <w:headerReference r:id="rId13" w:type="first"/>
          <w:footerReference r:id="rId15" w:type="first"/>
          <w:footerReference r:id="rId14" w:type="default"/>
          <w:pgSz w:w="11906" w:h="16838"/>
          <w:pgMar w:top="1418" w:right="1555" w:bottom="1418" w:left="1531" w:header="851" w:footer="992" w:gutter="0"/>
          <w:pgNumType w:fmt="decimal"/>
          <w:cols w:space="720" w:num="1"/>
          <w:titlePg/>
          <w:docGrid w:type="lines" w:linePitch="312" w:charSpace="0"/>
        </w:sectPr>
      </w:pPr>
      <w:bookmarkStart w:id="548" w:name="_Toc12096"/>
    </w:p>
    <w:p w14:paraId="124B9A8F">
      <w:pPr>
        <w:pStyle w:val="3"/>
        <w:numPr>
          <w:ilvl w:val="0"/>
          <w:numId w:val="2"/>
        </w:numPr>
        <w:spacing w:before="120" w:after="120" w:line="400" w:lineRule="exact"/>
        <w:jc w:val="center"/>
        <w:rPr>
          <w:rFonts w:hint="eastAsia" w:ascii="仿宋" w:hAnsi="仿宋" w:eastAsia="仿宋" w:cs="仿宋"/>
          <w:color w:val="auto"/>
          <w:sz w:val="32"/>
          <w:highlight w:val="none"/>
        </w:rPr>
      </w:pPr>
      <w:bookmarkStart w:id="549" w:name="_Toc4902"/>
      <w:r>
        <w:rPr>
          <w:rFonts w:hint="eastAsia" w:ascii="仿宋" w:hAnsi="仿宋" w:eastAsia="仿宋" w:cs="仿宋"/>
          <w:color w:val="auto"/>
          <w:sz w:val="32"/>
          <w:highlight w:val="none"/>
        </w:rPr>
        <w:t>合同条款及格式</w:t>
      </w:r>
      <w:bookmarkEnd w:id="549"/>
    </w:p>
    <w:p w14:paraId="66C4D276">
      <w:pPr>
        <w:numPr>
          <w:ilvl w:val="0"/>
          <w:numId w:val="0"/>
        </w:numPr>
        <w:rPr>
          <w:rFonts w:hint="eastAsia"/>
        </w:rPr>
      </w:pPr>
    </w:p>
    <w:bookmarkEnd w:id="548"/>
    <w:p w14:paraId="61FB2027">
      <w:pPr>
        <w:spacing w:line="360" w:lineRule="auto"/>
        <w:jc w:val="center"/>
        <w:rPr>
          <w:rFonts w:hint="eastAsia" w:ascii="新宋体" w:hAnsi="新宋体" w:eastAsia="新宋体" w:cs="新宋体"/>
          <w:b/>
          <w:sz w:val="28"/>
          <w:szCs w:val="28"/>
          <w:highlight w:val="none"/>
          <w:lang w:eastAsia="zh-CN"/>
        </w:rPr>
      </w:pPr>
      <w:r>
        <w:rPr>
          <w:rFonts w:hint="eastAsia" w:ascii="新宋体" w:hAnsi="新宋体" w:eastAsia="新宋体" w:cs="新宋体"/>
          <w:b/>
          <w:sz w:val="28"/>
          <w:szCs w:val="28"/>
          <w:highlight w:val="none"/>
          <w:lang w:eastAsia="zh-CN"/>
        </w:rPr>
        <w:t>（此合同仅供参考。以最终采购人与成交人签定的合同条款为准进行公示）</w:t>
      </w:r>
    </w:p>
    <w:p w14:paraId="48BFD4BF">
      <w:pPr>
        <w:pStyle w:val="2"/>
        <w:rPr>
          <w:rFonts w:hint="eastAsia"/>
          <w:lang w:eastAsia="zh-CN"/>
        </w:rPr>
      </w:pPr>
    </w:p>
    <w:p w14:paraId="22C96D74">
      <w:pPr>
        <w:spacing w:line="360" w:lineRule="auto"/>
        <w:jc w:val="center"/>
        <w:rPr>
          <w:rFonts w:hint="eastAsia" w:ascii="仿宋" w:hAnsi="仿宋" w:eastAsia="仿宋" w:cs="仿宋"/>
          <w:b/>
          <w:sz w:val="44"/>
          <w:szCs w:val="44"/>
          <w:lang w:val="en-US" w:eastAsia="zh-CN"/>
        </w:rPr>
      </w:pPr>
      <w:r>
        <w:rPr>
          <w:rFonts w:hint="eastAsia" w:ascii="仿宋" w:hAnsi="仿宋" w:eastAsia="仿宋" w:cs="仿宋"/>
          <w:b/>
          <w:sz w:val="44"/>
          <w:szCs w:val="44"/>
          <w:lang w:eastAsia="zh-CN"/>
        </w:rPr>
        <w:t>（</w:t>
      </w:r>
      <w:r>
        <w:rPr>
          <w:rFonts w:hint="eastAsia" w:ascii="仿宋" w:hAnsi="仿宋" w:eastAsia="仿宋" w:cs="仿宋"/>
          <w:b/>
          <w:sz w:val="44"/>
          <w:szCs w:val="44"/>
          <w:lang w:val="en-US" w:eastAsia="zh-CN"/>
        </w:rPr>
        <w:t>项目名称）</w:t>
      </w:r>
    </w:p>
    <w:p w14:paraId="2B4943D6">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 xml:space="preserve"> </w:t>
      </w:r>
    </w:p>
    <w:p w14:paraId="2D8A5017">
      <w:pPr>
        <w:spacing w:line="360" w:lineRule="auto"/>
        <w:jc w:val="center"/>
        <w:rPr>
          <w:rFonts w:hint="eastAsia" w:ascii="仿宋" w:hAnsi="仿宋" w:eastAsia="仿宋" w:cs="仿宋"/>
          <w:b/>
          <w:sz w:val="44"/>
          <w:szCs w:val="44"/>
        </w:rPr>
      </w:pPr>
    </w:p>
    <w:p w14:paraId="5C54F0B6">
      <w:pPr>
        <w:spacing w:line="360" w:lineRule="auto"/>
        <w:jc w:val="center"/>
        <w:rPr>
          <w:rFonts w:hint="eastAsia" w:ascii="仿宋" w:hAnsi="仿宋" w:eastAsia="仿宋" w:cs="仿宋"/>
          <w:b/>
          <w:sz w:val="44"/>
          <w:szCs w:val="44"/>
        </w:rPr>
      </w:pPr>
    </w:p>
    <w:p w14:paraId="40A8399B">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施</w:t>
      </w:r>
    </w:p>
    <w:p w14:paraId="6DD4D5B6">
      <w:pPr>
        <w:spacing w:line="360" w:lineRule="auto"/>
        <w:jc w:val="center"/>
        <w:rPr>
          <w:rFonts w:hint="eastAsia" w:ascii="仿宋" w:hAnsi="仿宋" w:eastAsia="仿宋" w:cs="仿宋"/>
          <w:b/>
          <w:sz w:val="44"/>
          <w:szCs w:val="44"/>
        </w:rPr>
      </w:pPr>
    </w:p>
    <w:p w14:paraId="22AA64AA">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工</w:t>
      </w:r>
    </w:p>
    <w:p w14:paraId="4F8D790A">
      <w:pPr>
        <w:spacing w:line="360" w:lineRule="auto"/>
        <w:jc w:val="center"/>
        <w:rPr>
          <w:rFonts w:hint="eastAsia" w:ascii="仿宋" w:hAnsi="仿宋" w:eastAsia="仿宋" w:cs="仿宋"/>
          <w:b/>
          <w:sz w:val="44"/>
          <w:szCs w:val="44"/>
        </w:rPr>
      </w:pPr>
    </w:p>
    <w:p w14:paraId="750993DD">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合</w:t>
      </w:r>
    </w:p>
    <w:p w14:paraId="3D235B48">
      <w:pPr>
        <w:spacing w:line="360" w:lineRule="auto"/>
        <w:jc w:val="center"/>
        <w:rPr>
          <w:rFonts w:hint="eastAsia" w:ascii="仿宋" w:hAnsi="仿宋" w:eastAsia="仿宋" w:cs="仿宋"/>
          <w:b/>
          <w:sz w:val="44"/>
          <w:szCs w:val="44"/>
        </w:rPr>
      </w:pPr>
    </w:p>
    <w:p w14:paraId="1DE38973">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同</w:t>
      </w:r>
    </w:p>
    <w:p w14:paraId="27D0F68D">
      <w:pPr>
        <w:spacing w:line="360" w:lineRule="auto"/>
        <w:jc w:val="center"/>
        <w:rPr>
          <w:rFonts w:hint="eastAsia" w:ascii="仿宋" w:hAnsi="仿宋" w:eastAsia="仿宋" w:cs="仿宋"/>
          <w:b/>
          <w:sz w:val="44"/>
          <w:szCs w:val="44"/>
        </w:rPr>
      </w:pPr>
    </w:p>
    <w:p w14:paraId="28DA779C">
      <w:pPr>
        <w:spacing w:line="360" w:lineRule="auto"/>
        <w:rPr>
          <w:rFonts w:hint="eastAsia" w:ascii="仿宋" w:hAnsi="仿宋" w:eastAsia="仿宋" w:cs="仿宋"/>
          <w:b/>
          <w:sz w:val="44"/>
          <w:szCs w:val="44"/>
        </w:rPr>
      </w:pPr>
    </w:p>
    <w:p w14:paraId="45C71272">
      <w:pPr>
        <w:pStyle w:val="2"/>
        <w:ind w:firstLine="482"/>
        <w:rPr>
          <w:rFonts w:hint="eastAsia" w:ascii="仿宋" w:hAnsi="仿宋" w:eastAsia="仿宋" w:cs="仿宋"/>
          <w:b/>
        </w:rPr>
      </w:pPr>
    </w:p>
    <w:p w14:paraId="46A69F76">
      <w:pPr>
        <w:spacing w:line="360" w:lineRule="auto"/>
        <w:jc w:val="center"/>
        <w:rPr>
          <w:rFonts w:hint="eastAsia" w:ascii="仿宋" w:hAnsi="仿宋" w:eastAsia="仿宋" w:cs="仿宋"/>
          <w:b/>
          <w:sz w:val="44"/>
          <w:szCs w:val="44"/>
        </w:rPr>
      </w:pPr>
    </w:p>
    <w:p w14:paraId="79B4FA5B">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（公司名称）</w:t>
      </w:r>
    </w:p>
    <w:p w14:paraId="4E447550">
      <w:pPr>
        <w:spacing w:line="360" w:lineRule="auto"/>
        <w:jc w:val="center"/>
        <w:rPr>
          <w:rFonts w:hint="eastAsia" w:ascii="仿宋" w:hAnsi="仿宋" w:eastAsia="仿宋" w:cs="仿宋"/>
          <w:b/>
          <w:sz w:val="44"/>
          <w:szCs w:val="44"/>
        </w:rPr>
      </w:pPr>
      <w:r>
        <w:rPr>
          <w:rFonts w:hint="eastAsia" w:ascii="仿宋" w:hAnsi="仿宋" w:eastAsia="仿宋" w:cs="仿宋"/>
          <w:b/>
          <w:sz w:val="44"/>
          <w:szCs w:val="44"/>
          <w:lang w:val="en-US" w:eastAsia="zh-CN"/>
        </w:rPr>
        <w:t xml:space="preserve">    </w:t>
      </w:r>
      <w:r>
        <w:rPr>
          <w:rFonts w:hint="eastAsia" w:ascii="仿宋" w:hAnsi="仿宋" w:eastAsia="仿宋" w:cs="仿宋"/>
          <w:b/>
          <w:sz w:val="44"/>
          <w:szCs w:val="44"/>
        </w:rPr>
        <w:t>年</w:t>
      </w:r>
      <w:r>
        <w:rPr>
          <w:rFonts w:hint="eastAsia" w:ascii="仿宋" w:hAnsi="仿宋" w:eastAsia="仿宋" w:cs="仿宋"/>
          <w:b/>
          <w:sz w:val="44"/>
          <w:szCs w:val="44"/>
          <w:lang w:val="en-US" w:eastAsia="zh-CN"/>
        </w:rPr>
        <w:t xml:space="preserve">   </w:t>
      </w:r>
      <w:r>
        <w:rPr>
          <w:rFonts w:hint="eastAsia" w:ascii="仿宋" w:hAnsi="仿宋" w:eastAsia="仿宋" w:cs="仿宋"/>
          <w:b/>
          <w:sz w:val="44"/>
          <w:szCs w:val="44"/>
        </w:rPr>
        <w:t>月</w:t>
      </w:r>
    </w:p>
    <w:p w14:paraId="6E775B45">
      <w:pPr>
        <w:spacing w:line="360" w:lineRule="auto"/>
        <w:jc w:val="center"/>
        <w:rPr>
          <w:rFonts w:hint="eastAsia" w:ascii="仿宋" w:hAnsi="仿宋" w:eastAsia="仿宋" w:cs="仿宋"/>
          <w:b/>
          <w:bCs/>
          <w:sz w:val="32"/>
          <w:szCs w:val="32"/>
        </w:rPr>
      </w:pPr>
    </w:p>
    <w:p w14:paraId="74291AB2">
      <w:pPr>
        <w:tabs>
          <w:tab w:val="left" w:pos="1313"/>
        </w:tabs>
        <w:spacing w:line="360" w:lineRule="auto"/>
        <w:jc w:val="left"/>
        <w:rPr>
          <w:rFonts w:hint="eastAsia" w:ascii="仿宋" w:hAnsi="仿宋" w:eastAsia="仿宋" w:cs="仿宋"/>
          <w:sz w:val="32"/>
          <w:szCs w:val="32"/>
        </w:rPr>
      </w:pPr>
    </w:p>
    <w:p w14:paraId="66292E5F">
      <w:pPr>
        <w:tabs>
          <w:tab w:val="left" w:pos="1313"/>
        </w:tabs>
        <w:spacing w:line="360" w:lineRule="auto"/>
        <w:jc w:val="left"/>
        <w:rPr>
          <w:rFonts w:hint="eastAsia" w:ascii="仿宋" w:hAnsi="仿宋" w:eastAsia="仿宋" w:cs="仿宋"/>
          <w:szCs w:val="32"/>
        </w:rPr>
        <w:sectPr>
          <w:headerReference r:id="rId16" w:type="default"/>
          <w:footerReference r:id="rId17" w:type="default"/>
          <w:pgSz w:w="11906" w:h="16838"/>
          <w:pgMar w:top="1440" w:right="1080" w:bottom="1440" w:left="1080" w:header="851" w:footer="992" w:gutter="0"/>
          <w:pgNumType w:fmt="decimal"/>
          <w:cols w:space="720" w:num="1"/>
          <w:docGrid w:type="lines" w:linePitch="312" w:charSpace="0"/>
        </w:sectPr>
      </w:pPr>
    </w:p>
    <w:p w14:paraId="3EB05242">
      <w:pPr>
        <w:jc w:val="center"/>
        <w:rPr>
          <w:rFonts w:hint="eastAsia" w:ascii="仿宋" w:hAnsi="仿宋" w:eastAsia="仿宋" w:cs="仿宋"/>
          <w:b/>
          <w:bCs/>
          <w:sz w:val="32"/>
          <w:szCs w:val="32"/>
        </w:rPr>
      </w:pPr>
      <w:bookmarkStart w:id="550" w:name="_Toc2790"/>
      <w:bookmarkStart w:id="551" w:name="_Toc28980"/>
      <w:r>
        <w:rPr>
          <w:rFonts w:hint="eastAsia" w:ascii="仿宋" w:hAnsi="仿宋" w:eastAsia="仿宋" w:cs="仿宋"/>
          <w:b/>
          <w:bCs/>
          <w:sz w:val="32"/>
          <w:szCs w:val="32"/>
        </w:rPr>
        <w:t>合 同 协 议 书</w:t>
      </w:r>
      <w:bookmarkEnd w:id="550"/>
      <w:bookmarkEnd w:id="551"/>
    </w:p>
    <w:p w14:paraId="042A7A3F">
      <w:pPr>
        <w:keepNext w:val="0"/>
        <w:keepLines w:val="0"/>
        <w:pageBreakBefore w:val="0"/>
        <w:widowControl w:val="0"/>
        <w:kinsoku/>
        <w:wordWrap/>
        <w:overflowPunct/>
        <w:topLinePunct w:val="0"/>
        <w:autoSpaceDE/>
        <w:autoSpaceDN/>
        <w:bidi w:val="0"/>
        <w:adjustRightInd w:val="0"/>
        <w:snapToGrid w:val="0"/>
        <w:spacing w:line="500" w:lineRule="exact"/>
        <w:ind w:left="210" w:leftChars="100" w:firstLine="360" w:firstLineChars="150"/>
        <w:jc w:val="left"/>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（发包人名称，以下简称“发包人” ）为实施</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（项目名称），已接受</w:t>
      </w:r>
      <w:r>
        <w:rPr>
          <w:rFonts w:hint="eastAsia" w:ascii="仿宋" w:hAnsi="仿宋" w:eastAsia="仿宋" w:cs="仿宋"/>
          <w:sz w:val="24"/>
          <w:szCs w:val="24"/>
          <w:u w:val="single"/>
        </w:rPr>
        <w:t xml:space="preserve">                    </w:t>
      </w:r>
      <w:r>
        <w:rPr>
          <w:rFonts w:hint="eastAsia" w:ascii="仿宋" w:hAnsi="仿宋" w:eastAsia="仿宋" w:cs="仿宋"/>
          <w:sz w:val="24"/>
          <w:szCs w:val="24"/>
        </w:rPr>
        <w:t>（承包人名称，以下简称“承包人”）对该项目施工的投标。发包人和承包人共同达成如下协议。</w:t>
      </w:r>
    </w:p>
    <w:p w14:paraId="6B12EF69">
      <w:pPr>
        <w:pStyle w:val="62"/>
        <w:keepNext w:val="0"/>
        <w:keepLines w:val="0"/>
        <w:pageBreakBefore w:val="0"/>
        <w:widowControl w:val="0"/>
        <w:tabs>
          <w:tab w:val="left" w:pos="853"/>
          <w:tab w:val="left" w:pos="1482"/>
          <w:tab w:val="left" w:pos="4843"/>
          <w:tab w:val="left" w:pos="8204"/>
          <w:tab w:val="left" w:pos="8835"/>
        </w:tabs>
        <w:kinsoku/>
        <w:wordWrap/>
        <w:overflowPunct/>
        <w:topLinePunct w:val="0"/>
        <w:autoSpaceDE/>
        <w:autoSpaceDN/>
        <w:bidi w:val="0"/>
        <w:spacing w:line="500" w:lineRule="exact"/>
        <w:ind w:left="450" w:leftChars="100" w:hanging="240" w:hangingChars="1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1、主要建设内容包含</w:t>
      </w:r>
      <w:r>
        <w:rPr>
          <w:rFonts w:hint="eastAsia" w:ascii="仿宋" w:hAnsi="仿宋" w:eastAsia="仿宋" w:cs="仿宋"/>
          <w:sz w:val="24"/>
          <w:szCs w:val="24"/>
          <w:u w:val="single"/>
          <w:lang w:val="en-US" w:eastAsia="zh-CN"/>
        </w:rPr>
        <w:t xml:space="preserve">                                       </w:t>
      </w:r>
    </w:p>
    <w:p w14:paraId="432FE8FA">
      <w:pPr>
        <w:keepNext w:val="0"/>
        <w:keepLines w:val="0"/>
        <w:pageBreakBefore w:val="0"/>
        <w:widowControl w:val="0"/>
        <w:kinsoku/>
        <w:wordWrap/>
        <w:overflowPunct/>
        <w:topLinePunct w:val="0"/>
        <w:autoSpaceDE/>
        <w:autoSpaceDN/>
        <w:bidi w:val="0"/>
        <w:adjustRightInd w:val="0"/>
        <w:snapToGrid w:val="0"/>
        <w:spacing w:line="500" w:lineRule="exact"/>
        <w:ind w:firstLine="163" w:firstLineChars="68"/>
        <w:textAlignment w:val="auto"/>
        <w:rPr>
          <w:rFonts w:hint="eastAsia" w:ascii="仿宋" w:hAnsi="仿宋" w:eastAsia="仿宋" w:cs="仿宋"/>
          <w:sz w:val="24"/>
          <w:szCs w:val="24"/>
        </w:rPr>
      </w:pPr>
      <w:r>
        <w:rPr>
          <w:rFonts w:hint="eastAsia" w:ascii="仿宋" w:hAnsi="仿宋" w:eastAsia="仿宋" w:cs="仿宋"/>
          <w:sz w:val="24"/>
          <w:szCs w:val="24"/>
        </w:rPr>
        <w:t>2、下列文件应视为构成合同文件的组成部分：</w:t>
      </w:r>
    </w:p>
    <w:p w14:paraId="5C22193F">
      <w:pPr>
        <w:keepNext w:val="0"/>
        <w:keepLines w:val="0"/>
        <w:pageBreakBefore w:val="0"/>
        <w:widowControl w:val="0"/>
        <w:kinsoku/>
        <w:wordWrap/>
        <w:overflowPunct/>
        <w:topLinePunct w:val="0"/>
        <w:autoSpaceDE/>
        <w:autoSpaceDN/>
        <w:bidi w:val="0"/>
        <w:adjustRightInd w:val="0"/>
        <w:snapToGrid w:val="0"/>
        <w:spacing w:line="500" w:lineRule="exact"/>
        <w:ind w:left="279" w:leftChars="133"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（1）本合同协议书及各种合同附件（含评标期间和合同谈判过程中的澄清文件和补充资料）；</w:t>
      </w:r>
    </w:p>
    <w:p w14:paraId="0C598B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（2）中标通知书；</w:t>
      </w:r>
    </w:p>
    <w:p w14:paraId="6B77E05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（3）补遗书；</w:t>
      </w:r>
    </w:p>
    <w:p w14:paraId="285AA5D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（4）投标函及投标函附录；</w:t>
      </w:r>
    </w:p>
    <w:p w14:paraId="7715A71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（5）项目专用合同条款；</w:t>
      </w:r>
    </w:p>
    <w:p w14:paraId="621498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（6）公路行业标准专用合同条款；</w:t>
      </w:r>
    </w:p>
    <w:p w14:paraId="369C30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（7）通用合同条款；</w:t>
      </w:r>
    </w:p>
    <w:p w14:paraId="0666831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（8）技术规范；</w:t>
      </w:r>
    </w:p>
    <w:p w14:paraId="25C7B8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（9）图纸；</w:t>
      </w:r>
    </w:p>
    <w:p w14:paraId="19803AB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（10）已标价工程量清单；</w:t>
      </w:r>
    </w:p>
    <w:p w14:paraId="299EA6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（11）资格预审申请文件中有关人员、设备投入的承诺和目标承诺书；</w:t>
      </w:r>
    </w:p>
    <w:p w14:paraId="6475E13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（12）根据承诺提供的详细人员、设备清单；</w:t>
      </w:r>
    </w:p>
    <w:p w14:paraId="477225A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（13）施工组织设计安排；</w:t>
      </w:r>
    </w:p>
    <w:p w14:paraId="41533C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（14）农民工工资支付承诺书；</w:t>
      </w:r>
    </w:p>
    <w:p w14:paraId="20AC16CD">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3、上述文件互相补充和解释，如有不明确或不一致之处，以合同约定次序在先者为准。</w:t>
      </w:r>
    </w:p>
    <w:p w14:paraId="16441E9F">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4、根据工程量清单所列的预计数量和单价计算的签约合同价：人民币（大写） </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元），逾期未完工的不接受调价。</w:t>
      </w:r>
    </w:p>
    <w:p w14:paraId="519803D7">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5、承包人项目经理：</w:t>
      </w:r>
      <w:r>
        <w:rPr>
          <w:rFonts w:hint="eastAsia" w:ascii="仿宋" w:hAnsi="仿宋" w:eastAsia="仿宋" w:cs="仿宋"/>
          <w:sz w:val="24"/>
          <w:szCs w:val="24"/>
          <w:u w:val="single"/>
        </w:rPr>
        <w:t xml:space="preserve">            </w:t>
      </w:r>
      <w:r>
        <w:rPr>
          <w:rFonts w:hint="eastAsia" w:ascii="仿宋" w:hAnsi="仿宋" w:eastAsia="仿宋" w:cs="仿宋"/>
          <w:sz w:val="24"/>
          <w:szCs w:val="24"/>
        </w:rPr>
        <w:t>,技术负责人：</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2732B837">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6、工程质量符合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标准。</w:t>
      </w:r>
    </w:p>
    <w:p w14:paraId="518247EE">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7、承包人承诺按合同约定承担工程的实施、完成及缺陷修复。</w:t>
      </w:r>
    </w:p>
    <w:p w14:paraId="1568DCCA">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8、工程计量及工程款支付。</w:t>
      </w:r>
    </w:p>
    <w:p w14:paraId="519431B8">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工程量以实际发生的经三方签认的工程量为依据进行计量；支付单价以投标清单报价为依据，设计变更和签证涉及到投标清单没有的单价时，按照相应管理办法由施工单位组价报批，监理和业主负责审核定价报审，最终以审计审定的综合单价进行结算支付。</w:t>
      </w:r>
    </w:p>
    <w:p w14:paraId="5410AE9C">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（2）工程交工验收合格，可支付到签约合同价的70%，工程结算审计完成后可支付到审定工程款的97%，剩余款项一年后无息一次性付清</w:t>
      </w:r>
    </w:p>
    <w:p w14:paraId="59290013">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9、承包人应按照监理人指示开工，工期为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日历天，计划开工时间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日</w:t>
      </w:r>
      <w:r>
        <w:rPr>
          <w:rFonts w:hint="eastAsia" w:ascii="仿宋" w:hAnsi="仿宋" w:eastAsia="仿宋" w:cs="仿宋"/>
          <w:sz w:val="24"/>
          <w:szCs w:val="24"/>
        </w:rPr>
        <w:t>，计划完工时间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日 </w:t>
      </w:r>
      <w:r>
        <w:rPr>
          <w:rFonts w:hint="eastAsia" w:ascii="仿宋" w:hAnsi="仿宋" w:eastAsia="仿宋" w:cs="仿宋"/>
          <w:sz w:val="24"/>
          <w:szCs w:val="24"/>
        </w:rPr>
        <w:t>。</w:t>
      </w:r>
    </w:p>
    <w:p w14:paraId="6BB42051">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10、本协议书在承包人提供履约担保后，由双方法定代表人或其委托代理人签署并加盖公章后生效；于全部工程完工后经竣工验收合格且缺陷责任期及保修期届满，并分别签发缺陷责任终止证书和保修期终止证书后失效。</w:t>
      </w:r>
    </w:p>
    <w:p w14:paraId="61A38091">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11、发包人对工地进行巡查监督检查，如发现承包人有违规作业、违规执业的现象，按双方约定处理。</w:t>
      </w:r>
    </w:p>
    <w:p w14:paraId="448B29C5">
      <w:pPr>
        <w:autoSpaceDE w:val="0"/>
        <w:autoSpaceDN w:val="0"/>
        <w:spacing w:line="360" w:lineRule="auto"/>
        <w:ind w:firstLine="412" w:firstLineChars="171"/>
        <w:rPr>
          <w:rFonts w:hint="eastAsia" w:ascii="仿宋" w:hAnsi="仿宋" w:eastAsia="仿宋" w:cs="仿宋"/>
          <w:b/>
          <w:sz w:val="24"/>
          <w:szCs w:val="24"/>
          <w:u w:val="single"/>
          <w:lang w:val="zh-CN"/>
        </w:rPr>
      </w:pPr>
      <w:r>
        <w:rPr>
          <w:rFonts w:hint="eastAsia" w:ascii="仿宋" w:hAnsi="仿宋" w:eastAsia="仿宋" w:cs="仿宋"/>
          <w:b/>
          <w:sz w:val="24"/>
          <w:szCs w:val="24"/>
          <w:u w:val="single"/>
        </w:rPr>
        <w:t>12、</w:t>
      </w:r>
      <w:r>
        <w:rPr>
          <w:rFonts w:hint="eastAsia" w:ascii="仿宋" w:hAnsi="仿宋" w:eastAsia="仿宋" w:cs="仿宋"/>
          <w:b/>
          <w:sz w:val="24"/>
          <w:szCs w:val="24"/>
          <w:u w:val="single"/>
          <w:lang w:val="zh-CN"/>
        </w:rPr>
        <w:t>承包人未经发包人同意，不得将所承包工程的任何部分进行分包，也不允许转包给他人，更不得将其承包的全部工程肢解以后以分包的名义分别转包给他人。</w:t>
      </w:r>
    </w:p>
    <w:p w14:paraId="20180E68">
      <w:pPr>
        <w:autoSpaceDE w:val="0"/>
        <w:autoSpaceDN w:val="0"/>
        <w:spacing w:line="360" w:lineRule="auto"/>
        <w:ind w:firstLine="412" w:firstLineChars="171"/>
        <w:rPr>
          <w:rFonts w:hint="eastAsia" w:ascii="仿宋" w:hAnsi="仿宋" w:eastAsia="仿宋" w:cs="仿宋"/>
          <w:b/>
          <w:sz w:val="24"/>
          <w:szCs w:val="24"/>
          <w:u w:val="single"/>
          <w:lang w:val="zh-CN"/>
        </w:rPr>
      </w:pPr>
      <w:r>
        <w:rPr>
          <w:rFonts w:hint="eastAsia" w:ascii="仿宋" w:hAnsi="仿宋" w:eastAsia="仿宋" w:cs="仿宋"/>
          <w:b/>
          <w:sz w:val="24"/>
          <w:szCs w:val="24"/>
          <w:u w:val="single"/>
        </w:rPr>
        <w:t>13、</w:t>
      </w:r>
      <w:r>
        <w:rPr>
          <w:rFonts w:hint="eastAsia" w:ascii="仿宋" w:hAnsi="仿宋" w:eastAsia="仿宋" w:cs="仿宋"/>
          <w:b/>
          <w:sz w:val="24"/>
          <w:szCs w:val="24"/>
          <w:u w:val="single"/>
          <w:lang w:val="zh-CN"/>
        </w:rPr>
        <w:t>承包人应针对本工程施工制定相应的安全措施，还要对职工进行安全教育，防范第三人发生安全事故，凡因违反安全措施而造成的罚款、人身伤亡事故或伤害他人事故，均由承包人负责，如因此导致发包人承担责任的，发包人有权向承包人追偿，发包人为维护权益和实现追偿权而产生的费用（包含但不限于案件受理费、律师代理费、执行费、鉴定费、差旅费等）全部由承包人承担。</w:t>
      </w:r>
    </w:p>
    <w:p w14:paraId="32CD1F8E">
      <w:pPr>
        <w:pStyle w:val="2"/>
        <w:ind w:firstLine="562"/>
        <w:rPr>
          <w:rFonts w:hint="eastAsia" w:ascii="仿宋" w:hAnsi="仿宋" w:eastAsia="仿宋" w:cs="仿宋"/>
          <w:sz w:val="24"/>
          <w:szCs w:val="24"/>
        </w:rPr>
      </w:pPr>
      <w:r>
        <w:rPr>
          <w:rFonts w:hint="eastAsia" w:ascii="仿宋" w:hAnsi="仿宋" w:eastAsia="仿宋" w:cs="仿宋"/>
          <w:b/>
          <w:sz w:val="24"/>
          <w:szCs w:val="24"/>
          <w:u w:val="single"/>
        </w:rPr>
        <w:t>14、</w:t>
      </w:r>
      <w:r>
        <w:rPr>
          <w:rFonts w:hint="eastAsia" w:ascii="仿宋" w:hAnsi="仿宋" w:eastAsia="仿宋" w:cs="仿宋"/>
          <w:b/>
          <w:sz w:val="24"/>
          <w:szCs w:val="24"/>
          <w:u w:val="single"/>
          <w:lang w:val="zh-CN"/>
        </w:rPr>
        <w:t>因承包方在投标过程中串标、围标或采用其他违法行为获取中标的，一旦被有关单位发现，发包人有权单方解除合同，同时承包人应赔偿由此给发包人所造成的一切损失。</w:t>
      </w:r>
    </w:p>
    <w:p w14:paraId="58928DA0">
      <w:pPr>
        <w:adjustRightInd w:val="0"/>
        <w:snapToGrid w:val="0"/>
        <w:spacing w:line="580" w:lineRule="exact"/>
        <w:ind w:firstLine="482" w:firstLineChars="200"/>
        <w:rPr>
          <w:rFonts w:hint="eastAsia" w:ascii="仿宋" w:hAnsi="仿宋" w:eastAsia="仿宋" w:cs="仿宋"/>
          <w:sz w:val="24"/>
          <w:szCs w:val="24"/>
        </w:rPr>
      </w:pPr>
      <w:r>
        <w:rPr>
          <w:rFonts w:hint="eastAsia" w:ascii="仿宋" w:hAnsi="仿宋" w:eastAsia="仿宋" w:cs="仿宋"/>
          <w:b/>
          <w:sz w:val="24"/>
          <w:szCs w:val="24"/>
          <w:u w:val="single"/>
        </w:rPr>
        <w:t>15、</w:t>
      </w:r>
      <w:r>
        <w:rPr>
          <w:rFonts w:hint="eastAsia" w:ascii="仿宋" w:hAnsi="仿宋" w:eastAsia="仿宋" w:cs="仿宋"/>
          <w:b/>
          <w:sz w:val="24"/>
          <w:szCs w:val="24"/>
          <w:u w:val="single"/>
          <w:lang w:val="zh-CN"/>
        </w:rPr>
        <w:t>承包人应按规定向相关部门交纳农民工工资保障金，承包人不允许拖欠、克扣民工工资，</w:t>
      </w:r>
      <w:r>
        <w:rPr>
          <w:rFonts w:hint="eastAsia" w:ascii="仿宋" w:hAnsi="仿宋" w:eastAsia="仿宋" w:cs="仿宋"/>
          <w:sz w:val="24"/>
          <w:szCs w:val="24"/>
        </w:rPr>
        <w:t>如有，发包人可中止合同，待承包人妥善处理后继续履行。因此延误的合同工期由承包人承担责任。</w:t>
      </w:r>
      <w:r>
        <w:rPr>
          <w:rFonts w:hint="eastAsia" w:ascii="仿宋" w:hAnsi="仿宋" w:eastAsia="仿宋" w:cs="仿宋"/>
          <w:b/>
          <w:sz w:val="24"/>
          <w:szCs w:val="24"/>
          <w:u w:val="single"/>
          <w:lang w:val="zh-CN"/>
        </w:rPr>
        <w:t>如有发生民工上访等事件，由承包人承担全部责任。</w:t>
      </w:r>
    </w:p>
    <w:p w14:paraId="5B7D9D2A">
      <w:pPr>
        <w:adjustRightInd w:val="0"/>
        <w:snapToGrid w:val="0"/>
        <w:spacing w:line="58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16、如因承包人违规作业，拖欠农民工工资等情况，给发包人造成经济损失或不良影响的，由承包人承担全部责任并赔偿损失。</w:t>
      </w:r>
    </w:p>
    <w:p w14:paraId="01861D5F">
      <w:pPr>
        <w:adjustRightInd w:val="0"/>
        <w:snapToGrid w:val="0"/>
        <w:spacing w:line="58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17、本合同书一式</w:t>
      </w:r>
      <w:r>
        <w:rPr>
          <w:rFonts w:hint="eastAsia" w:ascii="仿宋" w:hAnsi="仿宋" w:eastAsia="仿宋" w:cs="仿宋"/>
          <w:sz w:val="24"/>
          <w:szCs w:val="24"/>
          <w:u w:val="single"/>
        </w:rPr>
        <w:t>陆</w:t>
      </w:r>
      <w:r>
        <w:rPr>
          <w:rFonts w:hint="eastAsia" w:ascii="仿宋" w:hAnsi="仿宋" w:eastAsia="仿宋" w:cs="仿宋"/>
          <w:sz w:val="24"/>
          <w:szCs w:val="24"/>
        </w:rPr>
        <w:t>份，合同双方各执</w:t>
      </w:r>
      <w:r>
        <w:rPr>
          <w:rFonts w:hint="eastAsia" w:ascii="仿宋" w:hAnsi="仿宋" w:eastAsia="仿宋" w:cs="仿宋"/>
          <w:sz w:val="24"/>
          <w:szCs w:val="24"/>
          <w:u w:val="single"/>
        </w:rPr>
        <w:t>叁</w:t>
      </w:r>
      <w:r>
        <w:rPr>
          <w:rFonts w:hint="eastAsia" w:ascii="仿宋" w:hAnsi="仿宋" w:eastAsia="仿宋" w:cs="仿宋"/>
          <w:sz w:val="24"/>
          <w:szCs w:val="24"/>
        </w:rPr>
        <w:t>份.</w:t>
      </w:r>
    </w:p>
    <w:p w14:paraId="237A7D0D">
      <w:pPr>
        <w:adjustRightInd w:val="0"/>
        <w:snapToGrid w:val="0"/>
        <w:spacing w:line="58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18、本合同书未尽事宜，双方另行签订补充协议。补充协议是本合同书的组成部分。</w:t>
      </w:r>
    </w:p>
    <w:p w14:paraId="356A13D1">
      <w:pPr>
        <w:adjustRightInd w:val="0"/>
        <w:snapToGrid w:val="0"/>
        <w:spacing w:line="58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19、双方在本合同履行中发生争议的，可以协商解决；若协商不成，可以通过诉讼途径解决。</w:t>
      </w:r>
    </w:p>
    <w:p w14:paraId="48AC9740">
      <w:pPr>
        <w:tabs>
          <w:tab w:val="left" w:pos="5798"/>
        </w:tabs>
        <w:adjustRightInd w:val="0"/>
        <w:snapToGrid w:val="0"/>
        <w:spacing w:line="58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20、其他合同文件。</w:t>
      </w:r>
    </w:p>
    <w:p w14:paraId="058E753B">
      <w:pPr>
        <w:tabs>
          <w:tab w:val="left" w:pos="5798"/>
        </w:tabs>
        <w:adjustRightInd w:val="0"/>
        <w:snapToGrid w:val="0"/>
        <w:spacing w:line="58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ab/>
      </w:r>
    </w:p>
    <w:p w14:paraId="5CFE9450">
      <w:pPr>
        <w:adjustRightInd w:val="0"/>
        <w:snapToGrid w:val="0"/>
        <w:spacing w:line="580" w:lineRule="exact"/>
        <w:jc w:val="left"/>
        <w:rPr>
          <w:rFonts w:hint="eastAsia" w:ascii="仿宋" w:hAnsi="仿宋" w:eastAsia="仿宋" w:cs="仿宋"/>
          <w:sz w:val="24"/>
          <w:szCs w:val="24"/>
          <w:u w:val="single"/>
        </w:rPr>
      </w:pPr>
      <w:r>
        <w:rPr>
          <w:rFonts w:hint="eastAsia" w:ascii="仿宋" w:hAnsi="仿宋" w:eastAsia="仿宋" w:cs="仿宋"/>
          <w:sz w:val="24"/>
          <w:szCs w:val="24"/>
        </w:rPr>
        <w:t>发包人：</w:t>
      </w:r>
      <w:r>
        <w:rPr>
          <w:rFonts w:hint="eastAsia" w:ascii="仿宋" w:hAnsi="仿宋" w:eastAsia="仿宋" w:cs="仿宋"/>
          <w:sz w:val="24"/>
          <w:szCs w:val="24"/>
          <w:u w:val="single"/>
        </w:rPr>
        <w:t>荥阳市交通运输局</w:t>
      </w:r>
      <w:r>
        <w:rPr>
          <w:rFonts w:hint="eastAsia" w:ascii="仿宋" w:hAnsi="仿宋" w:eastAsia="仿宋" w:cs="仿宋"/>
          <w:sz w:val="24"/>
          <w:szCs w:val="24"/>
        </w:rPr>
        <w:t xml:space="preserve">        承包人：</w:t>
      </w:r>
      <w:r>
        <w:rPr>
          <w:rFonts w:hint="eastAsia" w:ascii="仿宋" w:hAnsi="仿宋" w:eastAsia="仿宋" w:cs="仿宋"/>
          <w:sz w:val="24"/>
          <w:szCs w:val="24"/>
          <w:u w:val="single"/>
        </w:rPr>
        <w:t xml:space="preserve">                </w:t>
      </w:r>
    </w:p>
    <w:p w14:paraId="4C4E93B5">
      <w:pPr>
        <w:adjustRightInd w:val="0"/>
        <w:snapToGrid w:val="0"/>
        <w:spacing w:line="580" w:lineRule="exact"/>
        <w:ind w:firstLine="960" w:firstLineChars="400"/>
        <w:jc w:val="left"/>
        <w:rPr>
          <w:rFonts w:hint="eastAsia" w:ascii="仿宋" w:hAnsi="仿宋" w:eastAsia="仿宋" w:cs="仿宋"/>
          <w:sz w:val="24"/>
          <w:szCs w:val="24"/>
        </w:rPr>
      </w:pPr>
      <w:r>
        <w:rPr>
          <w:rFonts w:hint="eastAsia" w:ascii="仿宋" w:hAnsi="仿宋" w:eastAsia="仿宋" w:cs="仿宋"/>
          <w:sz w:val="24"/>
          <w:szCs w:val="24"/>
        </w:rPr>
        <w:t>（盖单位公章）                  （盖单位公章）</w:t>
      </w:r>
    </w:p>
    <w:p w14:paraId="67B1B70F">
      <w:pPr>
        <w:adjustRightInd w:val="0"/>
        <w:snapToGrid w:val="0"/>
        <w:spacing w:line="580" w:lineRule="exact"/>
        <w:jc w:val="left"/>
        <w:rPr>
          <w:rFonts w:hint="eastAsia" w:ascii="仿宋" w:hAnsi="仿宋" w:eastAsia="仿宋" w:cs="仿宋"/>
          <w:sz w:val="24"/>
          <w:szCs w:val="24"/>
        </w:rPr>
      </w:pPr>
      <w:r>
        <w:rPr>
          <w:rFonts w:hint="eastAsia" w:ascii="仿宋" w:hAnsi="仿宋" w:eastAsia="仿宋" w:cs="仿宋"/>
          <w:sz w:val="24"/>
          <w:szCs w:val="24"/>
        </w:rPr>
        <w:t>法定代表人或                    法定代表人或</w:t>
      </w:r>
    </w:p>
    <w:p w14:paraId="2794FB3A">
      <w:pPr>
        <w:adjustRightInd w:val="0"/>
        <w:snapToGrid w:val="0"/>
        <w:spacing w:line="580" w:lineRule="exact"/>
        <w:jc w:val="left"/>
        <w:rPr>
          <w:rFonts w:hint="eastAsia" w:ascii="仿宋" w:hAnsi="仿宋" w:eastAsia="仿宋" w:cs="仿宋"/>
          <w:sz w:val="24"/>
          <w:szCs w:val="24"/>
        </w:rPr>
      </w:pPr>
      <w:r>
        <w:rPr>
          <w:rFonts w:hint="eastAsia" w:ascii="仿宋" w:hAnsi="仿宋" w:eastAsia="仿宋" w:cs="仿宋"/>
          <w:sz w:val="24"/>
          <w:szCs w:val="24"/>
        </w:rPr>
        <w:t>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   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（签字）                               </w:t>
      </w:r>
    </w:p>
    <w:p w14:paraId="3611DEE7">
      <w:pPr>
        <w:adjustRightInd w:val="0"/>
        <w:snapToGrid w:val="0"/>
        <w:spacing w:line="580" w:lineRule="exac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   </w:t>
      </w:r>
    </w:p>
    <w:p w14:paraId="1EF8562A">
      <w:pPr>
        <w:adjustRightInd w:val="0"/>
        <w:snapToGrid w:val="0"/>
        <w:spacing w:line="580" w:lineRule="exact"/>
        <w:rPr>
          <w:rFonts w:hint="eastAsia" w:ascii="仿宋" w:hAnsi="仿宋" w:eastAsia="仿宋" w:cs="仿宋"/>
          <w:sz w:val="24"/>
          <w:szCs w:val="24"/>
        </w:rPr>
      </w:pPr>
      <w:r>
        <w:rPr>
          <w:rFonts w:hint="eastAsia" w:ascii="仿宋" w:hAnsi="仿宋" w:eastAsia="仿宋" w:cs="仿宋"/>
          <w:sz w:val="24"/>
          <w:szCs w:val="24"/>
        </w:rPr>
        <w:t>户名：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户名：</w:t>
      </w:r>
      <w:r>
        <w:rPr>
          <w:rFonts w:hint="eastAsia" w:ascii="仿宋" w:hAnsi="仿宋" w:eastAsia="仿宋" w:cs="仿宋"/>
          <w:sz w:val="24"/>
          <w:szCs w:val="24"/>
          <w:u w:val="single"/>
        </w:rPr>
        <w:t xml:space="preserve">                </w:t>
      </w:r>
    </w:p>
    <w:p w14:paraId="78279D3D">
      <w:pPr>
        <w:adjustRightInd w:val="0"/>
        <w:snapToGrid w:val="0"/>
        <w:spacing w:line="580" w:lineRule="exact"/>
        <w:rPr>
          <w:rFonts w:hint="eastAsia" w:ascii="仿宋" w:hAnsi="仿宋" w:eastAsia="仿宋" w:cs="仿宋"/>
          <w:sz w:val="24"/>
          <w:szCs w:val="24"/>
        </w:rPr>
      </w:pPr>
      <w:r>
        <w:rPr>
          <w:rFonts w:hint="eastAsia" w:ascii="仿宋" w:hAnsi="仿宋" w:eastAsia="仿宋" w:cs="仿宋"/>
          <w:sz w:val="24"/>
          <w:szCs w:val="24"/>
        </w:rPr>
        <w:t>账户：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账户：</w:t>
      </w:r>
      <w:r>
        <w:rPr>
          <w:rFonts w:hint="eastAsia" w:ascii="仿宋" w:hAnsi="仿宋" w:eastAsia="仿宋" w:cs="仿宋"/>
          <w:sz w:val="24"/>
          <w:szCs w:val="24"/>
          <w:u w:val="single"/>
        </w:rPr>
        <w:t xml:space="preserve">                </w:t>
      </w:r>
    </w:p>
    <w:p w14:paraId="457A4F80">
      <w:pPr>
        <w:adjustRightInd w:val="0"/>
        <w:snapToGrid w:val="0"/>
        <w:spacing w:line="580" w:lineRule="exact"/>
        <w:rPr>
          <w:rFonts w:hint="eastAsia" w:ascii="仿宋" w:hAnsi="仿宋" w:eastAsia="仿宋" w:cs="仿宋"/>
          <w:color w:val="FF0000"/>
          <w:sz w:val="24"/>
          <w:szCs w:val="24"/>
        </w:rPr>
      </w:pPr>
      <w:r>
        <w:rPr>
          <w:rFonts w:hint="eastAsia" w:ascii="仿宋" w:hAnsi="仿宋" w:eastAsia="仿宋" w:cs="仿宋"/>
          <w:sz w:val="24"/>
          <w:szCs w:val="24"/>
        </w:rPr>
        <w:t>开户行名称：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开户行名称：</w:t>
      </w:r>
      <w:r>
        <w:rPr>
          <w:rFonts w:hint="eastAsia" w:ascii="仿宋" w:hAnsi="仿宋" w:eastAsia="仿宋" w:cs="仿宋"/>
          <w:sz w:val="24"/>
          <w:szCs w:val="24"/>
          <w:u w:val="single"/>
        </w:rPr>
        <w:t xml:space="preserve">               </w:t>
      </w:r>
    </w:p>
    <w:p w14:paraId="52A73B95">
      <w:pPr>
        <w:spacing w:line="360" w:lineRule="auto"/>
        <w:jc w:val="center"/>
        <w:outlineLvl w:val="0"/>
        <w:rPr>
          <w:rFonts w:hint="eastAsia" w:ascii="仿宋" w:hAnsi="仿宋" w:eastAsia="仿宋" w:cs="仿宋"/>
          <w:sz w:val="24"/>
          <w:szCs w:val="24"/>
        </w:rPr>
      </w:pPr>
      <w:bookmarkStart w:id="552" w:name="_Toc22811"/>
      <w:bookmarkStart w:id="553" w:name="_Toc5082"/>
      <w:bookmarkStart w:id="554" w:name="_Toc32495"/>
      <w:bookmarkStart w:id="555" w:name="_Toc28075"/>
    </w:p>
    <w:p w14:paraId="3BD2A803">
      <w:pPr>
        <w:rPr>
          <w:rFonts w:hint="eastAsia" w:ascii="仿宋" w:hAnsi="仿宋" w:eastAsia="仿宋" w:cs="仿宋"/>
          <w:color w:val="auto"/>
          <w:szCs w:val="21"/>
          <w:highlight w:val="none"/>
        </w:rPr>
      </w:pPr>
      <w:r>
        <w:rPr>
          <w:rFonts w:hint="eastAsia" w:ascii="仿宋" w:hAnsi="仿宋" w:eastAsia="仿宋" w:cs="仿宋"/>
        </w:rPr>
        <w:br w:type="page"/>
      </w:r>
      <w:bookmarkEnd w:id="552"/>
      <w:bookmarkEnd w:id="553"/>
      <w:bookmarkEnd w:id="554"/>
      <w:bookmarkEnd w:id="555"/>
    </w:p>
    <w:p w14:paraId="58F0D715">
      <w:pPr>
        <w:numPr>
          <w:ilvl w:val="0"/>
          <w:numId w:val="0"/>
        </w:numPr>
        <w:ind w:firstLine="643" w:firstLineChars="200"/>
        <w:jc w:val="center"/>
        <w:outlineLvl w:val="0"/>
        <w:rPr>
          <w:rFonts w:hint="eastAsia" w:ascii="仿宋" w:hAnsi="仿宋" w:eastAsia="仿宋" w:cs="仿宋"/>
          <w:b/>
          <w:bCs/>
          <w:color w:val="auto"/>
          <w:sz w:val="32"/>
          <w:szCs w:val="32"/>
          <w:highlight w:val="none"/>
          <w:lang w:val="en-US" w:eastAsia="zh-CN"/>
        </w:rPr>
      </w:pPr>
      <w:bookmarkStart w:id="556" w:name="_Toc9936"/>
      <w:r>
        <w:rPr>
          <w:rFonts w:hint="eastAsia" w:ascii="仿宋" w:hAnsi="仿宋" w:eastAsia="仿宋" w:cs="仿宋"/>
          <w:b/>
          <w:bCs/>
          <w:color w:val="auto"/>
          <w:kern w:val="2"/>
          <w:sz w:val="32"/>
          <w:szCs w:val="32"/>
          <w:highlight w:val="none"/>
          <w:lang w:val="en-US" w:eastAsia="zh-CN" w:bidi="ar-SA"/>
        </w:rPr>
        <w:t>第五章</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en-US" w:eastAsia="zh-CN"/>
        </w:rPr>
        <w:t>工程量清单</w:t>
      </w:r>
      <w:r>
        <w:rPr>
          <w:rFonts w:hint="eastAsia" w:ascii="仿宋" w:hAnsi="仿宋" w:eastAsia="仿宋" w:cs="仿宋"/>
          <w:b/>
          <w:bCs/>
          <w:color w:val="auto"/>
          <w:kern w:val="2"/>
          <w:sz w:val="32"/>
          <w:szCs w:val="32"/>
          <w:highlight w:val="none"/>
          <w:lang w:val="en-US" w:eastAsia="zh-CN" w:bidi="ar-SA"/>
        </w:rPr>
        <w:t>（另附）</w:t>
      </w:r>
    </w:p>
    <w:bookmarkEnd w:id="556"/>
    <w:p w14:paraId="2EC59829">
      <w:pPr>
        <w:numPr>
          <w:ilvl w:val="0"/>
          <w:numId w:val="0"/>
        </w:numPr>
        <w:ind w:firstLine="643" w:firstLineChars="200"/>
        <w:jc w:val="center"/>
        <w:outlineLvl w:val="0"/>
        <w:rPr>
          <w:rFonts w:hint="eastAsia" w:ascii="仿宋" w:hAnsi="仿宋" w:eastAsia="仿宋" w:cs="仿宋"/>
          <w:b/>
          <w:bCs/>
          <w:color w:val="auto"/>
          <w:sz w:val="32"/>
          <w:szCs w:val="32"/>
          <w:highlight w:val="none"/>
          <w:lang w:val="en-US" w:eastAsia="zh-CN"/>
        </w:rPr>
      </w:pPr>
    </w:p>
    <w:p w14:paraId="044D4189">
      <w:pPr>
        <w:pStyle w:val="3"/>
        <w:snapToGrid w:val="0"/>
        <w:spacing w:before="0" w:after="0" w:line="360" w:lineRule="auto"/>
        <w:jc w:val="both"/>
        <w:rPr>
          <w:rFonts w:hint="eastAsia" w:ascii="仿宋" w:hAnsi="仿宋" w:eastAsia="仿宋" w:cs="仿宋"/>
          <w:b/>
          <w:bCs/>
          <w:color w:val="auto"/>
          <w:sz w:val="24"/>
          <w:szCs w:val="24"/>
          <w:highlight w:val="none"/>
          <w:lang w:val="zh-CN"/>
        </w:rPr>
        <w:sectPr>
          <w:footerReference r:id="rId18" w:type="default"/>
          <w:pgSz w:w="12240" w:h="15840"/>
          <w:pgMar w:top="1440" w:right="1610" w:bottom="1440" w:left="1559" w:header="0" w:footer="907" w:gutter="0"/>
          <w:pgNumType w:fmt="decimal"/>
          <w:cols w:space="720" w:num="1"/>
        </w:sectPr>
      </w:pPr>
      <w:bookmarkStart w:id="557" w:name="_Toc152042574"/>
      <w:bookmarkStart w:id="558" w:name="_Toc152045785"/>
      <w:bookmarkStart w:id="559" w:name="_Toc19885"/>
      <w:bookmarkStart w:id="560" w:name="_Toc144974854"/>
      <w:bookmarkStart w:id="561" w:name="_Toc21206"/>
    </w:p>
    <w:p w14:paraId="5E786373">
      <w:pPr>
        <w:numPr>
          <w:ilvl w:val="0"/>
          <w:numId w:val="0"/>
        </w:numPr>
        <w:ind w:firstLine="640" w:firstLineChars="200"/>
        <w:jc w:val="center"/>
        <w:outlineLvl w:val="0"/>
        <w:rPr>
          <w:rFonts w:hint="default" w:ascii="仿宋" w:hAnsi="仿宋" w:eastAsia="仿宋" w:cs="仿宋"/>
          <w:b/>
          <w:bCs/>
          <w:color w:val="auto"/>
          <w:kern w:val="2"/>
          <w:sz w:val="32"/>
          <w:szCs w:val="32"/>
          <w:highlight w:val="none"/>
          <w:lang w:val="en-US" w:eastAsia="zh-CN" w:bidi="ar-SA"/>
        </w:rPr>
      </w:pPr>
      <w:bookmarkStart w:id="562" w:name="_Toc10351"/>
      <w:r>
        <w:rPr>
          <w:rFonts w:hint="eastAsia" w:ascii="仿宋" w:hAnsi="仿宋" w:eastAsia="仿宋" w:cs="仿宋"/>
          <w:b/>
          <w:bCs/>
          <w:color w:val="auto"/>
          <w:kern w:val="2"/>
          <w:sz w:val="32"/>
          <w:szCs w:val="32"/>
          <w:highlight w:val="none"/>
          <w:lang w:val="zh-CN" w:eastAsia="zh-CN" w:bidi="ar-SA"/>
        </w:rPr>
        <w:t>第</w:t>
      </w:r>
      <w:r>
        <w:rPr>
          <w:rFonts w:hint="eastAsia" w:ascii="仿宋" w:hAnsi="仿宋" w:eastAsia="仿宋" w:cs="仿宋"/>
          <w:b/>
          <w:bCs/>
          <w:color w:val="auto"/>
          <w:kern w:val="2"/>
          <w:sz w:val="32"/>
          <w:szCs w:val="32"/>
          <w:highlight w:val="none"/>
          <w:lang w:val="en-US" w:eastAsia="zh-CN" w:bidi="ar-SA"/>
        </w:rPr>
        <w:t>六</w:t>
      </w:r>
      <w:r>
        <w:rPr>
          <w:rFonts w:hint="eastAsia" w:ascii="仿宋" w:hAnsi="仿宋" w:eastAsia="仿宋" w:cs="仿宋"/>
          <w:b/>
          <w:bCs/>
          <w:color w:val="auto"/>
          <w:kern w:val="2"/>
          <w:sz w:val="32"/>
          <w:szCs w:val="32"/>
          <w:highlight w:val="none"/>
          <w:lang w:val="zh-CN" w:eastAsia="zh-CN" w:bidi="ar-SA"/>
        </w:rPr>
        <w:t>章</w:t>
      </w:r>
      <w:r>
        <w:rPr>
          <w:rFonts w:hint="eastAsia" w:ascii="仿宋" w:hAnsi="仿宋" w:eastAsia="仿宋" w:cs="仿宋"/>
          <w:b/>
          <w:bCs/>
          <w:color w:val="auto"/>
          <w:kern w:val="2"/>
          <w:sz w:val="32"/>
          <w:szCs w:val="32"/>
          <w:highlight w:val="none"/>
          <w:lang w:val="en-US" w:eastAsia="zh-CN" w:bidi="ar-SA"/>
        </w:rPr>
        <w:t xml:space="preserve">  图纸（另附）</w:t>
      </w:r>
      <w:bookmarkEnd w:id="562"/>
    </w:p>
    <w:p w14:paraId="567A01B7">
      <w:pPr>
        <w:rPr>
          <w:rFonts w:hint="eastAsia" w:ascii="仿宋" w:hAnsi="仿宋" w:eastAsia="仿宋" w:cs="仿宋"/>
          <w:b/>
          <w:bCs/>
          <w:color w:val="auto"/>
          <w:kern w:val="2"/>
          <w:sz w:val="32"/>
          <w:szCs w:val="32"/>
          <w:highlight w:val="none"/>
          <w:lang w:val="zh-CN" w:eastAsia="zh-CN" w:bidi="ar-SA"/>
        </w:rPr>
      </w:pPr>
      <w:r>
        <w:rPr>
          <w:rFonts w:hint="eastAsia" w:ascii="仿宋" w:hAnsi="仿宋" w:eastAsia="仿宋" w:cs="仿宋"/>
          <w:b/>
          <w:bCs/>
          <w:color w:val="auto"/>
          <w:kern w:val="2"/>
          <w:sz w:val="32"/>
          <w:szCs w:val="32"/>
          <w:highlight w:val="none"/>
          <w:lang w:val="zh-CN" w:eastAsia="zh-CN" w:bidi="ar-SA"/>
        </w:rPr>
        <w:br w:type="page"/>
      </w:r>
    </w:p>
    <w:p w14:paraId="28145ED7">
      <w:pPr>
        <w:pStyle w:val="3"/>
        <w:numPr>
          <w:ilvl w:val="0"/>
          <w:numId w:val="0"/>
        </w:numPr>
        <w:snapToGrid w:val="0"/>
        <w:spacing w:before="0" w:after="0" w:line="360" w:lineRule="auto"/>
        <w:ind w:left="0" w:leftChars="0" w:firstLine="640" w:firstLineChars="200"/>
        <w:jc w:val="center"/>
        <w:rPr>
          <w:rFonts w:hint="eastAsia" w:ascii="仿宋" w:hAnsi="仿宋" w:eastAsia="仿宋" w:cs="仿宋"/>
          <w:b/>
          <w:bCs/>
          <w:color w:val="auto"/>
          <w:kern w:val="2"/>
          <w:sz w:val="32"/>
          <w:szCs w:val="32"/>
          <w:highlight w:val="none"/>
          <w:lang w:val="zh-CN" w:eastAsia="zh-CN" w:bidi="ar-SA"/>
        </w:rPr>
      </w:pPr>
      <w:bookmarkStart w:id="563" w:name="_Toc18139"/>
      <w:r>
        <w:rPr>
          <w:rFonts w:hint="eastAsia" w:ascii="仿宋" w:hAnsi="仿宋" w:eastAsia="仿宋" w:cs="仿宋"/>
          <w:b/>
          <w:bCs/>
          <w:color w:val="auto"/>
          <w:kern w:val="2"/>
          <w:sz w:val="32"/>
          <w:szCs w:val="32"/>
          <w:highlight w:val="none"/>
          <w:lang w:val="zh-CN" w:eastAsia="zh-CN" w:bidi="ar-SA"/>
        </w:rPr>
        <w:t>第</w:t>
      </w:r>
      <w:r>
        <w:rPr>
          <w:rFonts w:hint="eastAsia" w:ascii="仿宋" w:hAnsi="仿宋" w:eastAsia="仿宋" w:cs="仿宋"/>
          <w:b/>
          <w:bCs/>
          <w:color w:val="auto"/>
          <w:kern w:val="2"/>
          <w:sz w:val="32"/>
          <w:szCs w:val="32"/>
          <w:highlight w:val="none"/>
          <w:lang w:val="en-US" w:eastAsia="zh-CN" w:bidi="ar-SA"/>
        </w:rPr>
        <w:t>七</w:t>
      </w:r>
      <w:r>
        <w:rPr>
          <w:rFonts w:hint="eastAsia" w:ascii="仿宋" w:hAnsi="仿宋" w:eastAsia="仿宋" w:cs="仿宋"/>
          <w:b/>
          <w:bCs/>
          <w:color w:val="auto"/>
          <w:kern w:val="2"/>
          <w:sz w:val="32"/>
          <w:szCs w:val="32"/>
          <w:highlight w:val="none"/>
          <w:lang w:val="zh-CN" w:eastAsia="zh-CN" w:bidi="ar-SA"/>
        </w:rPr>
        <w:t>章</w:t>
      </w:r>
      <w:r>
        <w:rPr>
          <w:rFonts w:hint="eastAsia" w:ascii="仿宋" w:hAnsi="仿宋" w:eastAsia="仿宋" w:cs="仿宋"/>
          <w:b/>
          <w:bCs/>
          <w:color w:val="auto"/>
          <w:kern w:val="2"/>
          <w:sz w:val="32"/>
          <w:szCs w:val="32"/>
          <w:highlight w:val="none"/>
          <w:lang w:val="en-US" w:eastAsia="zh-CN" w:bidi="ar-SA"/>
        </w:rPr>
        <w:t xml:space="preserve"> </w:t>
      </w:r>
      <w:r>
        <w:rPr>
          <w:rFonts w:hint="eastAsia" w:ascii="仿宋" w:hAnsi="仿宋" w:eastAsia="仿宋" w:cs="仿宋"/>
          <w:b/>
          <w:bCs/>
          <w:color w:val="auto"/>
          <w:kern w:val="2"/>
          <w:sz w:val="32"/>
          <w:szCs w:val="32"/>
          <w:highlight w:val="none"/>
          <w:lang w:val="zh-CN" w:eastAsia="zh-CN" w:bidi="ar-SA"/>
        </w:rPr>
        <w:t>技术标准和要求</w:t>
      </w:r>
      <w:bookmarkEnd w:id="557"/>
      <w:bookmarkEnd w:id="558"/>
      <w:bookmarkEnd w:id="559"/>
      <w:bookmarkEnd w:id="560"/>
      <w:bookmarkEnd w:id="561"/>
      <w:bookmarkEnd w:id="563"/>
    </w:p>
    <w:p w14:paraId="13006D7A">
      <w:pPr>
        <w:spacing w:line="360" w:lineRule="auto"/>
        <w:ind w:firstLine="480"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1.一般规定</w:t>
      </w:r>
    </w:p>
    <w:p w14:paraId="44F25755">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4F5F8679">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合同中约定的任何</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应予遵照执行的国家规范、规程和标准都指他们各自的最新版本。如果在构成本工程规范和技术说明的任何内容与任何现行国家规范、规程和标准包括他们适用的修改之间出现相互矛盾之处或不一致的指示，</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应按照其中要求最严格的标准执行。材料、施工工艺和本工程都应依照本工程规范和技术说明以及相关国家规范、规程和标准的最新版本；或把最新版本的要求当作对</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工作的最起码要求，而执行更高的标准。</w:t>
      </w:r>
    </w:p>
    <w:p w14:paraId="1721C2AD">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未尽项均执行现行规范及标准,以上规范如有变化，以最新发布的为准。</w:t>
      </w:r>
    </w:p>
    <w:p w14:paraId="786EAA58">
      <w:pPr>
        <w:spacing w:line="360" w:lineRule="auto"/>
        <w:ind w:firstLine="480"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2.现行有效的主要设计和施工验收规范索引</w:t>
      </w:r>
    </w:p>
    <w:p w14:paraId="6A5CCA7B">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【由</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自行购买或收集】</w:t>
      </w:r>
    </w:p>
    <w:p w14:paraId="0E12DD44">
      <w:pPr>
        <w:pStyle w:val="43"/>
        <w:jc w:val="center"/>
        <w:rPr>
          <w:rFonts w:hint="eastAsia" w:ascii="仿宋" w:hAnsi="仿宋" w:eastAsia="仿宋" w:cs="仿宋"/>
          <w:b/>
          <w:bCs/>
          <w:color w:val="auto"/>
          <w:sz w:val="21"/>
          <w:szCs w:val="21"/>
          <w:highlight w:val="none"/>
          <w:lang w:val="zh-CN"/>
        </w:rPr>
      </w:pPr>
    </w:p>
    <w:p w14:paraId="7422CDD9">
      <w:pPr>
        <w:pStyle w:val="43"/>
        <w:jc w:val="center"/>
        <w:rPr>
          <w:rFonts w:hint="eastAsia" w:ascii="仿宋" w:hAnsi="仿宋" w:eastAsia="仿宋" w:cs="仿宋"/>
          <w:b/>
          <w:bCs/>
          <w:color w:val="auto"/>
          <w:sz w:val="21"/>
          <w:szCs w:val="21"/>
          <w:highlight w:val="none"/>
          <w:lang w:val="zh-CN"/>
        </w:rPr>
      </w:pPr>
    </w:p>
    <w:p w14:paraId="43BC5530">
      <w:pPr>
        <w:jc w:val="center"/>
        <w:outlineLvl w:val="0"/>
        <w:rPr>
          <w:rFonts w:hint="eastAsia" w:ascii="仿宋" w:hAnsi="仿宋" w:eastAsia="仿宋" w:cs="仿宋"/>
          <w:b/>
          <w:bCs/>
          <w:color w:val="auto"/>
          <w:sz w:val="32"/>
          <w:szCs w:val="32"/>
          <w:highlight w:val="none"/>
        </w:rPr>
      </w:pPr>
    </w:p>
    <w:p w14:paraId="7D114E3A">
      <w:pPr>
        <w:jc w:val="center"/>
        <w:outlineLvl w:val="0"/>
        <w:rPr>
          <w:rFonts w:hint="eastAsia" w:ascii="仿宋" w:hAnsi="仿宋" w:eastAsia="仿宋" w:cs="仿宋"/>
          <w:b/>
          <w:bCs/>
          <w:color w:val="auto"/>
          <w:sz w:val="32"/>
          <w:szCs w:val="32"/>
          <w:highlight w:val="none"/>
        </w:rPr>
      </w:pPr>
    </w:p>
    <w:p w14:paraId="0F0E6CF1">
      <w:pPr>
        <w:pStyle w:val="2"/>
        <w:rPr>
          <w:rFonts w:hint="eastAsia" w:ascii="仿宋" w:hAnsi="仿宋" w:eastAsia="仿宋" w:cs="仿宋"/>
          <w:b/>
          <w:bCs/>
          <w:color w:val="auto"/>
          <w:sz w:val="32"/>
          <w:szCs w:val="32"/>
          <w:highlight w:val="none"/>
        </w:rPr>
      </w:pPr>
    </w:p>
    <w:p w14:paraId="3B214825">
      <w:pPr>
        <w:rPr>
          <w:rFonts w:hint="eastAsia" w:ascii="仿宋" w:hAnsi="仿宋" w:eastAsia="仿宋" w:cs="仿宋"/>
          <w:b/>
          <w:bCs/>
          <w:color w:val="auto"/>
          <w:sz w:val="32"/>
          <w:szCs w:val="32"/>
          <w:highlight w:val="none"/>
        </w:rPr>
      </w:pPr>
    </w:p>
    <w:p w14:paraId="628FDE48">
      <w:pPr>
        <w:pStyle w:val="2"/>
        <w:rPr>
          <w:rFonts w:hint="eastAsia" w:ascii="仿宋" w:hAnsi="仿宋" w:eastAsia="仿宋" w:cs="仿宋"/>
          <w:b/>
          <w:bCs/>
          <w:color w:val="auto"/>
          <w:sz w:val="32"/>
          <w:szCs w:val="32"/>
          <w:highlight w:val="none"/>
        </w:rPr>
      </w:pPr>
    </w:p>
    <w:p w14:paraId="50FF5D4A">
      <w:pPr>
        <w:rPr>
          <w:rFonts w:hint="eastAsia" w:ascii="仿宋" w:hAnsi="仿宋" w:eastAsia="仿宋" w:cs="仿宋"/>
          <w:b/>
          <w:bCs/>
          <w:color w:val="auto"/>
          <w:sz w:val="32"/>
          <w:szCs w:val="32"/>
          <w:highlight w:val="none"/>
        </w:rPr>
      </w:pPr>
    </w:p>
    <w:p w14:paraId="52B632C5">
      <w:pPr>
        <w:pStyle w:val="2"/>
        <w:rPr>
          <w:rFonts w:hint="eastAsia" w:ascii="仿宋" w:hAnsi="仿宋" w:eastAsia="仿宋" w:cs="仿宋"/>
          <w:b/>
          <w:bCs/>
          <w:color w:val="auto"/>
          <w:sz w:val="32"/>
          <w:szCs w:val="32"/>
          <w:highlight w:val="none"/>
        </w:rPr>
      </w:pPr>
    </w:p>
    <w:p w14:paraId="2983161F">
      <w:pPr>
        <w:rPr>
          <w:rFonts w:hint="eastAsia" w:ascii="仿宋" w:hAnsi="仿宋" w:eastAsia="仿宋" w:cs="仿宋"/>
          <w:b/>
          <w:bCs/>
          <w:color w:val="auto"/>
          <w:sz w:val="32"/>
          <w:szCs w:val="32"/>
          <w:highlight w:val="none"/>
        </w:rPr>
      </w:pPr>
    </w:p>
    <w:p w14:paraId="03C4858D">
      <w:pPr>
        <w:pStyle w:val="43"/>
        <w:rPr>
          <w:rFonts w:hint="eastAsia" w:ascii="仿宋" w:hAnsi="仿宋" w:eastAsia="仿宋" w:cs="仿宋"/>
          <w:b/>
          <w:bCs/>
          <w:color w:val="auto"/>
          <w:sz w:val="32"/>
          <w:szCs w:val="32"/>
          <w:highlight w:val="none"/>
        </w:rPr>
      </w:pPr>
    </w:p>
    <w:p w14:paraId="6B42F60C">
      <w:pPr>
        <w:pStyle w:val="43"/>
        <w:rPr>
          <w:rFonts w:hint="eastAsia" w:ascii="仿宋" w:hAnsi="仿宋" w:eastAsia="仿宋" w:cs="仿宋"/>
          <w:b/>
          <w:bCs/>
          <w:color w:val="auto"/>
          <w:sz w:val="32"/>
          <w:szCs w:val="32"/>
          <w:highlight w:val="none"/>
        </w:rPr>
      </w:pPr>
    </w:p>
    <w:p w14:paraId="7032D867">
      <w:pPr>
        <w:rPr>
          <w:rFonts w:hint="eastAsia" w:ascii="仿宋" w:hAnsi="仿宋" w:eastAsia="仿宋" w:cs="仿宋"/>
          <w:color w:val="auto"/>
          <w:highlight w:val="none"/>
        </w:rPr>
      </w:pPr>
    </w:p>
    <w:p w14:paraId="3EE09CB5">
      <w:pPr>
        <w:jc w:val="center"/>
        <w:outlineLvl w:val="0"/>
        <w:rPr>
          <w:rFonts w:hint="eastAsia" w:ascii="仿宋" w:hAnsi="仿宋" w:eastAsia="仿宋" w:cs="仿宋"/>
          <w:b/>
          <w:bCs/>
          <w:color w:val="auto"/>
          <w:sz w:val="32"/>
          <w:szCs w:val="32"/>
          <w:highlight w:val="none"/>
        </w:rPr>
      </w:pPr>
      <w:bookmarkStart w:id="564" w:name="_Toc3310"/>
      <w:r>
        <w:rPr>
          <w:rFonts w:hint="eastAsia"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八</w:t>
      </w:r>
      <w:r>
        <w:rPr>
          <w:rFonts w:hint="eastAsia" w:ascii="仿宋" w:hAnsi="仿宋" w:eastAsia="仿宋" w:cs="仿宋"/>
          <w:b/>
          <w:bCs/>
          <w:color w:val="auto"/>
          <w:sz w:val="32"/>
          <w:szCs w:val="32"/>
          <w:highlight w:val="none"/>
        </w:rPr>
        <w:t xml:space="preserve">章  </w:t>
      </w:r>
      <w:r>
        <w:rPr>
          <w:rFonts w:hint="eastAsia" w:ascii="仿宋" w:hAnsi="仿宋" w:eastAsia="仿宋" w:cs="仿宋"/>
          <w:b/>
          <w:bCs/>
          <w:color w:val="auto"/>
          <w:sz w:val="32"/>
          <w:szCs w:val="32"/>
          <w:highlight w:val="none"/>
          <w:lang w:eastAsia="zh-CN"/>
        </w:rPr>
        <w:t>响应文件</w:t>
      </w:r>
      <w:r>
        <w:rPr>
          <w:rFonts w:hint="eastAsia" w:ascii="仿宋" w:hAnsi="仿宋" w:eastAsia="仿宋" w:cs="仿宋"/>
          <w:b/>
          <w:bCs/>
          <w:color w:val="auto"/>
          <w:sz w:val="32"/>
          <w:szCs w:val="32"/>
          <w:highlight w:val="none"/>
        </w:rPr>
        <w:t>格式</w:t>
      </w:r>
      <w:bookmarkEnd w:id="564"/>
    </w:p>
    <w:p w14:paraId="2B08AD1D">
      <w:pPr>
        <w:spacing w:line="440" w:lineRule="exact"/>
        <w:rPr>
          <w:rFonts w:hint="eastAsia" w:ascii="仿宋" w:hAnsi="仿宋" w:eastAsia="仿宋" w:cs="仿宋"/>
          <w:color w:val="auto"/>
          <w:sz w:val="20"/>
          <w:szCs w:val="20"/>
          <w:highlight w:val="none"/>
        </w:rPr>
      </w:pPr>
    </w:p>
    <w:p w14:paraId="4C79E8C6">
      <w:pPr>
        <w:spacing w:line="440" w:lineRule="exact"/>
        <w:rPr>
          <w:rFonts w:hint="eastAsia" w:ascii="仿宋" w:hAnsi="仿宋" w:eastAsia="仿宋" w:cs="仿宋"/>
          <w:color w:val="auto"/>
          <w:sz w:val="20"/>
          <w:szCs w:val="20"/>
          <w:highlight w:val="none"/>
        </w:rPr>
      </w:pPr>
    </w:p>
    <w:p w14:paraId="171B4BE1">
      <w:pPr>
        <w:jc w:val="center"/>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（项目名称）</w:t>
      </w:r>
    </w:p>
    <w:p w14:paraId="1187DF5E">
      <w:pPr>
        <w:rPr>
          <w:rFonts w:hint="eastAsia" w:ascii="仿宋" w:hAnsi="仿宋" w:eastAsia="仿宋" w:cs="仿宋"/>
          <w:color w:val="auto"/>
          <w:sz w:val="20"/>
          <w:szCs w:val="20"/>
          <w:highlight w:val="none"/>
        </w:rPr>
      </w:pPr>
    </w:p>
    <w:p w14:paraId="5B5EB58E">
      <w:pPr>
        <w:rPr>
          <w:rFonts w:hint="eastAsia" w:ascii="仿宋" w:hAnsi="仿宋" w:eastAsia="仿宋" w:cs="仿宋"/>
          <w:color w:val="auto"/>
          <w:sz w:val="20"/>
          <w:szCs w:val="20"/>
          <w:highlight w:val="none"/>
        </w:rPr>
      </w:pPr>
    </w:p>
    <w:p w14:paraId="71310648">
      <w:pPr>
        <w:rPr>
          <w:rFonts w:hint="eastAsia" w:ascii="仿宋" w:hAnsi="仿宋" w:eastAsia="仿宋" w:cs="仿宋"/>
          <w:color w:val="auto"/>
          <w:sz w:val="20"/>
          <w:szCs w:val="20"/>
          <w:highlight w:val="none"/>
        </w:rPr>
      </w:pPr>
    </w:p>
    <w:p w14:paraId="5D4AD029">
      <w:pPr>
        <w:rPr>
          <w:rFonts w:hint="eastAsia" w:ascii="仿宋" w:hAnsi="仿宋" w:eastAsia="仿宋" w:cs="仿宋"/>
          <w:color w:val="auto"/>
          <w:sz w:val="20"/>
          <w:szCs w:val="20"/>
          <w:highlight w:val="none"/>
        </w:rPr>
      </w:pPr>
    </w:p>
    <w:p w14:paraId="63787515">
      <w:pPr>
        <w:rPr>
          <w:rFonts w:hint="eastAsia" w:ascii="仿宋" w:hAnsi="仿宋" w:eastAsia="仿宋" w:cs="仿宋"/>
          <w:color w:val="auto"/>
          <w:sz w:val="20"/>
          <w:szCs w:val="20"/>
          <w:highlight w:val="none"/>
        </w:rPr>
      </w:pPr>
    </w:p>
    <w:p w14:paraId="09028E07">
      <w:pPr>
        <w:rPr>
          <w:rFonts w:hint="eastAsia" w:ascii="仿宋" w:hAnsi="仿宋" w:eastAsia="仿宋" w:cs="仿宋"/>
          <w:color w:val="auto"/>
          <w:sz w:val="20"/>
          <w:szCs w:val="20"/>
          <w:highlight w:val="none"/>
        </w:rPr>
      </w:pPr>
    </w:p>
    <w:p w14:paraId="511F1DCE">
      <w:pPr>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lang w:val="en-US" w:eastAsia="zh-CN"/>
        </w:rPr>
        <w:t>响</w:t>
      </w:r>
      <w:r>
        <w:rPr>
          <w:rFonts w:hint="eastAsia" w:ascii="仿宋" w:hAnsi="仿宋" w:eastAsia="仿宋" w:cs="仿宋"/>
          <w:color w:val="auto"/>
          <w:sz w:val="72"/>
          <w:szCs w:val="72"/>
          <w:highlight w:val="none"/>
        </w:rPr>
        <w:t xml:space="preserve">  </w:t>
      </w:r>
      <w:r>
        <w:rPr>
          <w:rFonts w:hint="eastAsia" w:ascii="仿宋" w:hAnsi="仿宋" w:eastAsia="仿宋" w:cs="仿宋"/>
          <w:color w:val="auto"/>
          <w:sz w:val="72"/>
          <w:szCs w:val="72"/>
          <w:highlight w:val="none"/>
          <w:lang w:val="en-US" w:eastAsia="zh-CN"/>
        </w:rPr>
        <w:t>应</w:t>
      </w:r>
      <w:r>
        <w:rPr>
          <w:rFonts w:hint="eastAsia" w:ascii="仿宋" w:hAnsi="仿宋" w:eastAsia="仿宋" w:cs="仿宋"/>
          <w:color w:val="auto"/>
          <w:sz w:val="72"/>
          <w:szCs w:val="72"/>
          <w:highlight w:val="none"/>
        </w:rPr>
        <w:t xml:space="preserve">  文  件</w:t>
      </w:r>
    </w:p>
    <w:p w14:paraId="1B9D4D20">
      <w:pPr>
        <w:jc w:val="center"/>
        <w:rPr>
          <w:rFonts w:hint="eastAsia" w:ascii="仿宋" w:hAnsi="仿宋" w:eastAsia="仿宋" w:cs="仿宋"/>
          <w:color w:val="auto"/>
          <w:sz w:val="24"/>
          <w:highlight w:val="none"/>
        </w:rPr>
      </w:pPr>
    </w:p>
    <w:p w14:paraId="7B2D8623">
      <w:pPr>
        <w:spacing w:line="360" w:lineRule="auto"/>
        <w:ind w:firstLine="2640" w:firstLineChars="11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p>
    <w:p w14:paraId="0511AA04">
      <w:pPr>
        <w:rPr>
          <w:rFonts w:hint="eastAsia" w:ascii="仿宋" w:hAnsi="仿宋" w:eastAsia="仿宋" w:cs="仿宋"/>
          <w:color w:val="auto"/>
          <w:sz w:val="28"/>
          <w:szCs w:val="28"/>
          <w:highlight w:val="none"/>
        </w:rPr>
      </w:pPr>
    </w:p>
    <w:p w14:paraId="4AA969E0">
      <w:pPr>
        <w:rPr>
          <w:rFonts w:hint="eastAsia" w:ascii="仿宋" w:hAnsi="仿宋" w:eastAsia="仿宋" w:cs="仿宋"/>
          <w:color w:val="auto"/>
          <w:sz w:val="28"/>
          <w:szCs w:val="28"/>
          <w:highlight w:val="none"/>
        </w:rPr>
      </w:pPr>
    </w:p>
    <w:p w14:paraId="0F655142">
      <w:pPr>
        <w:pStyle w:val="45"/>
        <w:rPr>
          <w:rFonts w:hint="eastAsia" w:ascii="仿宋" w:hAnsi="仿宋" w:eastAsia="仿宋" w:cs="仿宋"/>
          <w:color w:val="auto"/>
          <w:sz w:val="28"/>
          <w:szCs w:val="28"/>
          <w:highlight w:val="none"/>
        </w:rPr>
      </w:pPr>
    </w:p>
    <w:p w14:paraId="610EBD8D">
      <w:pPr>
        <w:rPr>
          <w:rFonts w:hint="eastAsia" w:ascii="仿宋" w:hAnsi="仿宋" w:eastAsia="仿宋" w:cs="仿宋"/>
          <w:color w:val="auto"/>
          <w:highlight w:val="none"/>
        </w:rPr>
      </w:pPr>
    </w:p>
    <w:p w14:paraId="40AC5F6F">
      <w:pPr>
        <w:pStyle w:val="45"/>
        <w:rPr>
          <w:rFonts w:hint="eastAsia" w:ascii="仿宋" w:hAnsi="仿宋" w:eastAsia="仿宋" w:cs="仿宋"/>
          <w:color w:val="auto"/>
          <w:sz w:val="28"/>
          <w:szCs w:val="28"/>
          <w:highlight w:val="none"/>
          <w:lang w:eastAsia="zh-CN"/>
        </w:rPr>
      </w:pPr>
    </w:p>
    <w:p w14:paraId="2836E854">
      <w:pPr>
        <w:rPr>
          <w:rFonts w:hint="eastAsia" w:ascii="仿宋" w:hAnsi="仿宋" w:eastAsia="仿宋" w:cs="仿宋"/>
          <w:color w:val="auto"/>
          <w:sz w:val="28"/>
          <w:szCs w:val="28"/>
          <w:highlight w:val="none"/>
          <w:lang w:eastAsia="zh-CN"/>
        </w:rPr>
      </w:pPr>
    </w:p>
    <w:p w14:paraId="13701F35">
      <w:pPr>
        <w:rPr>
          <w:rFonts w:hint="eastAsia" w:ascii="仿宋" w:hAnsi="仿宋" w:eastAsia="仿宋" w:cs="仿宋"/>
          <w:color w:val="auto"/>
          <w:highlight w:val="none"/>
          <w:lang w:eastAsia="zh-CN"/>
        </w:rPr>
      </w:pPr>
    </w:p>
    <w:p w14:paraId="629AF6E3">
      <w:pPr>
        <w:rPr>
          <w:rFonts w:hint="eastAsia" w:ascii="仿宋" w:hAnsi="仿宋" w:eastAsia="仿宋" w:cs="仿宋"/>
          <w:color w:val="auto"/>
          <w:sz w:val="28"/>
          <w:szCs w:val="28"/>
          <w:highlight w:val="none"/>
        </w:rPr>
      </w:pPr>
    </w:p>
    <w:p w14:paraId="0CE2CF02">
      <w:pPr>
        <w:pStyle w:val="45"/>
        <w:rPr>
          <w:rFonts w:hint="eastAsia" w:ascii="仿宋" w:hAnsi="仿宋" w:eastAsia="仿宋" w:cs="仿宋"/>
          <w:color w:val="auto"/>
          <w:highlight w:val="none"/>
        </w:rPr>
      </w:pPr>
    </w:p>
    <w:p w14:paraId="73FCDB71">
      <w:pPr>
        <w:spacing w:line="360" w:lineRule="auto"/>
        <w:jc w:val="center"/>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（电子签章）</w:t>
      </w:r>
    </w:p>
    <w:p w14:paraId="0B81461F">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法定代表人或其委托代理人：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（电子签章</w:t>
      </w:r>
      <w:r>
        <w:rPr>
          <w:rFonts w:hint="eastAsia" w:ascii="仿宋" w:hAnsi="仿宋" w:eastAsia="仿宋" w:cs="仿宋"/>
          <w:color w:val="auto"/>
          <w:sz w:val="28"/>
          <w:szCs w:val="28"/>
          <w:highlight w:val="none"/>
          <w:lang w:val="en-US" w:eastAsia="zh-CN"/>
        </w:rPr>
        <w:t>或签字</w:t>
      </w:r>
      <w:r>
        <w:rPr>
          <w:rFonts w:hint="eastAsia" w:ascii="仿宋" w:hAnsi="仿宋" w:eastAsia="仿宋" w:cs="仿宋"/>
          <w:color w:val="auto"/>
          <w:sz w:val="28"/>
          <w:szCs w:val="28"/>
          <w:highlight w:val="none"/>
        </w:rPr>
        <w:t>）</w:t>
      </w:r>
    </w:p>
    <w:p w14:paraId="547FBED2">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3C74DA47">
      <w:pPr>
        <w:spacing w:line="360" w:lineRule="auto"/>
        <w:jc w:val="center"/>
        <w:rPr>
          <w:rFonts w:hint="eastAsia" w:ascii="仿宋" w:hAnsi="仿宋" w:eastAsia="仿宋" w:cs="仿宋"/>
          <w:color w:val="auto"/>
          <w:sz w:val="32"/>
          <w:szCs w:val="32"/>
          <w:highlight w:val="none"/>
        </w:rPr>
      </w:pPr>
      <w:bookmarkStart w:id="565" w:name="_Toc144974856"/>
      <w:bookmarkStart w:id="566" w:name="_Toc152045787"/>
      <w:bookmarkStart w:id="567" w:name="_Toc344483714"/>
      <w:bookmarkStart w:id="568" w:name="_Toc152042576"/>
      <w:bookmarkStart w:id="569" w:name="_Toc479014396"/>
      <w:bookmarkStart w:id="570" w:name="_Toc5036"/>
    </w:p>
    <w:p w14:paraId="5E492DCF">
      <w:pPr>
        <w:spacing w:line="360" w:lineRule="auto"/>
        <w:jc w:val="center"/>
        <w:rPr>
          <w:rFonts w:hint="eastAsia" w:ascii="仿宋" w:hAnsi="仿宋" w:eastAsia="仿宋" w:cs="仿宋"/>
          <w:color w:val="auto"/>
          <w:sz w:val="32"/>
          <w:szCs w:val="32"/>
          <w:highlight w:val="none"/>
        </w:rPr>
      </w:pPr>
    </w:p>
    <w:p w14:paraId="647D0F5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5AE661C6">
      <w:pPr>
        <w:spacing w:line="480" w:lineRule="auto"/>
        <w:jc w:val="center"/>
        <w:rPr>
          <w:rFonts w:hint="eastAsia" w:ascii="仿宋" w:hAnsi="仿宋" w:eastAsia="仿宋" w:cs="仿宋"/>
          <w:color w:val="auto"/>
          <w:highlight w:val="none"/>
        </w:rPr>
      </w:pPr>
      <w:r>
        <w:rPr>
          <w:rFonts w:hint="eastAsia" w:ascii="仿宋" w:hAnsi="仿宋" w:eastAsia="仿宋" w:cs="仿宋"/>
          <w:color w:val="auto"/>
          <w:sz w:val="32"/>
          <w:szCs w:val="32"/>
          <w:highlight w:val="none"/>
        </w:rPr>
        <w:t>目    录</w:t>
      </w:r>
      <w:bookmarkEnd w:id="565"/>
      <w:bookmarkEnd w:id="566"/>
      <w:bookmarkEnd w:id="567"/>
      <w:bookmarkEnd w:id="568"/>
      <w:bookmarkEnd w:id="569"/>
      <w:bookmarkEnd w:id="570"/>
    </w:p>
    <w:p w14:paraId="44295D7B">
      <w:pPr>
        <w:spacing w:line="480" w:lineRule="auto"/>
        <w:ind w:firstLine="972" w:firstLineChars="405"/>
        <w:rPr>
          <w:rFonts w:hint="eastAsia" w:ascii="仿宋" w:hAnsi="仿宋" w:eastAsia="仿宋" w:cs="仿宋"/>
          <w:color w:val="auto"/>
          <w:sz w:val="24"/>
          <w:szCs w:val="24"/>
          <w:highlight w:val="none"/>
        </w:rPr>
      </w:pPr>
      <w:bookmarkStart w:id="571" w:name="_Toc144974857"/>
      <w:bookmarkStart w:id="572" w:name="_Toc152045788"/>
      <w:bookmarkStart w:id="573" w:name="_Toc344483715"/>
      <w:bookmarkStart w:id="574" w:name="_Toc152042577"/>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函及</w:t>
      </w: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一览表</w:t>
      </w:r>
    </w:p>
    <w:p w14:paraId="17DC744F">
      <w:pPr>
        <w:spacing w:line="480" w:lineRule="auto"/>
        <w:ind w:firstLine="972" w:firstLineChars="4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二、法定代表人身份证明及授权委托书</w:t>
      </w:r>
    </w:p>
    <w:p w14:paraId="2213C401">
      <w:pPr>
        <w:spacing w:line="480" w:lineRule="auto"/>
        <w:ind w:firstLine="972" w:firstLineChars="40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响应承诺函</w:t>
      </w:r>
    </w:p>
    <w:p w14:paraId="0A365C45">
      <w:pPr>
        <w:spacing w:line="480" w:lineRule="auto"/>
        <w:ind w:firstLine="972" w:firstLineChars="40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已标价工程量清单</w:t>
      </w:r>
    </w:p>
    <w:p w14:paraId="012B4ABD">
      <w:pPr>
        <w:spacing w:line="480" w:lineRule="auto"/>
        <w:ind w:firstLine="972" w:firstLineChars="4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资格证明文件</w:t>
      </w:r>
    </w:p>
    <w:p w14:paraId="215C1899">
      <w:pPr>
        <w:spacing w:line="480" w:lineRule="auto"/>
        <w:ind w:firstLine="972" w:firstLineChars="4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、技术文件</w:t>
      </w:r>
    </w:p>
    <w:p w14:paraId="146CA2FD">
      <w:pPr>
        <w:spacing w:line="480" w:lineRule="auto"/>
        <w:ind w:firstLine="972" w:firstLineChars="4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、项目管理机构</w:t>
      </w:r>
    </w:p>
    <w:p w14:paraId="42533A5F">
      <w:pPr>
        <w:spacing w:line="480" w:lineRule="auto"/>
        <w:ind w:firstLine="972" w:firstLineChars="4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、供应商认为与本次项目有关的其他材料</w:t>
      </w:r>
    </w:p>
    <w:p w14:paraId="2F60AFB0">
      <w:pPr>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color w:val="auto"/>
          <w:highlight w:val="none"/>
        </w:rPr>
        <w:br w:type="page"/>
      </w:r>
      <w:bookmarkEnd w:id="571"/>
      <w:bookmarkEnd w:id="572"/>
      <w:bookmarkEnd w:id="573"/>
      <w:bookmarkEnd w:id="574"/>
      <w:r>
        <w:rPr>
          <w:rFonts w:hint="eastAsia" w:ascii="仿宋" w:hAnsi="仿宋" w:eastAsia="仿宋" w:cs="仿宋"/>
          <w:color w:val="auto"/>
          <w:highlight w:val="none"/>
        </w:rPr>
        <w:t>一、</w:t>
      </w:r>
      <w:r>
        <w:rPr>
          <w:rFonts w:hint="eastAsia" w:ascii="仿宋" w:hAnsi="仿宋" w:eastAsia="仿宋" w:cs="仿宋"/>
          <w:b/>
          <w:color w:val="auto"/>
          <w:sz w:val="30"/>
          <w:szCs w:val="30"/>
          <w:highlight w:val="none"/>
        </w:rPr>
        <w:t>磋商响应函及磋商</w:t>
      </w:r>
      <w:r>
        <w:rPr>
          <w:rFonts w:hint="eastAsia" w:ascii="仿宋" w:hAnsi="仿宋" w:eastAsia="仿宋" w:cs="仿宋"/>
          <w:b/>
          <w:color w:val="auto"/>
          <w:sz w:val="30"/>
          <w:szCs w:val="30"/>
          <w:highlight w:val="none"/>
          <w:lang w:eastAsia="zh-CN"/>
        </w:rPr>
        <w:t>响应</w:t>
      </w:r>
      <w:r>
        <w:rPr>
          <w:rFonts w:hint="eastAsia" w:ascii="仿宋" w:hAnsi="仿宋" w:eastAsia="仿宋" w:cs="仿宋"/>
          <w:b/>
          <w:color w:val="auto"/>
          <w:sz w:val="30"/>
          <w:szCs w:val="30"/>
          <w:highlight w:val="none"/>
        </w:rPr>
        <w:t>一览表</w:t>
      </w:r>
    </w:p>
    <w:p w14:paraId="4930A3FD">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（一）磋商响应函</w:t>
      </w:r>
    </w:p>
    <w:p w14:paraId="09E9AD0C">
      <w:pPr>
        <w:spacing w:line="48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(采购人名称</w:t>
      </w:r>
      <w:r>
        <w:rPr>
          <w:rFonts w:hint="eastAsia" w:ascii="仿宋" w:hAnsi="仿宋" w:eastAsia="仿宋" w:cs="仿宋"/>
          <w:color w:val="auto"/>
          <w:sz w:val="24"/>
          <w:szCs w:val="24"/>
          <w:highlight w:val="none"/>
          <w:u w:val="single"/>
          <w:lang w:val="en-US" w:eastAsia="zh-CN"/>
        </w:rPr>
        <w:t>或</w:t>
      </w:r>
      <w:r>
        <w:rPr>
          <w:rFonts w:hint="eastAsia" w:ascii="仿宋" w:hAnsi="仿宋" w:eastAsia="仿宋" w:cs="仿宋"/>
          <w:color w:val="auto"/>
          <w:sz w:val="24"/>
          <w:szCs w:val="24"/>
          <w:highlight w:val="none"/>
          <w:u w:val="single"/>
        </w:rPr>
        <w:t xml:space="preserve">采购代理机构名称）   </w:t>
      </w:r>
    </w:p>
    <w:p w14:paraId="5634DBD4">
      <w:pPr>
        <w:spacing w:line="48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我们收到了</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，经详细研究，我们决定参加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项目名称</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，我们郑重声明以下诸点并负法律责任。</w:t>
      </w:r>
    </w:p>
    <w:p w14:paraId="3EF73E08">
      <w:pPr>
        <w:numPr>
          <w:ilvl w:val="0"/>
          <w:numId w:val="3"/>
        </w:num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愿按照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中的条款和要求，以</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报价人民币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lang w:val="en-US" w:eastAsia="zh-CN"/>
        </w:rPr>
        <w:t>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规定），质量</w:t>
      </w:r>
      <w:r>
        <w:rPr>
          <w:rFonts w:hint="eastAsia" w:ascii="仿宋" w:hAnsi="仿宋" w:eastAsia="仿宋" w:cs="仿宋"/>
          <w:color w:val="auto"/>
          <w:sz w:val="24"/>
          <w:szCs w:val="24"/>
          <w:highlight w:val="none"/>
          <w:lang w:val="en-US" w:eastAsia="zh-CN"/>
        </w:rPr>
        <w:t>标准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05D9990">
      <w:pPr>
        <w:numPr>
          <w:ilvl w:val="0"/>
          <w:numId w:val="0"/>
        </w:num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2、如果我们的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被接受，我们将履行</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中规定的各项要求。</w:t>
      </w:r>
    </w:p>
    <w:p w14:paraId="262EA1A8">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3、我们同意按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中的规定，本</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的有效期为自投标截止之日起</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日历天。如果中标，有效期延长至合同终止日止。</w:t>
      </w:r>
    </w:p>
    <w:p w14:paraId="33842EC1">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4、我们愿提供</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中要求的所有文件资料。</w:t>
      </w:r>
    </w:p>
    <w:p w14:paraId="69B56A4F">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5、我们承认最低报价是中标的重要选择，但不是唯一标准。</w:t>
      </w:r>
    </w:p>
    <w:p w14:paraId="1069EB07">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6、我们已经详细审核了全部</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，包括修改、补充的文件（如果有）及有关附件，我们完全理解并同意放弃对这方面有不明及误解的权利。</w:t>
      </w:r>
    </w:p>
    <w:p w14:paraId="3DA555E8">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7、如我方中标，我方愿意按</w:t>
      </w:r>
      <w:r>
        <w:rPr>
          <w:rFonts w:hint="eastAsia" w:ascii="仿宋" w:hAnsi="仿宋" w:eastAsia="仿宋" w:cs="仿宋"/>
          <w:color w:val="auto"/>
          <w:sz w:val="24"/>
          <w:szCs w:val="24"/>
          <w:highlight w:val="none"/>
          <w:lang w:val="en-US" w:eastAsia="zh-CN"/>
        </w:rPr>
        <w:t>采购文件规定的</w:t>
      </w:r>
      <w:r>
        <w:rPr>
          <w:rFonts w:hint="eastAsia" w:ascii="仿宋" w:hAnsi="仿宋" w:eastAsia="仿宋" w:cs="仿宋"/>
          <w:bCs/>
          <w:color w:val="auto"/>
          <w:kern w:val="1"/>
          <w:sz w:val="24"/>
          <w:szCs w:val="24"/>
          <w:highlight w:val="none"/>
        </w:rPr>
        <w:t>采购代理服务费</w:t>
      </w:r>
      <w:r>
        <w:rPr>
          <w:rFonts w:hint="eastAsia" w:ascii="仿宋" w:hAnsi="仿宋" w:eastAsia="仿宋" w:cs="仿宋"/>
          <w:bCs/>
          <w:color w:val="auto"/>
          <w:kern w:val="1"/>
          <w:sz w:val="24"/>
          <w:szCs w:val="24"/>
          <w:highlight w:val="none"/>
          <w:lang w:val="en-US" w:eastAsia="zh-CN"/>
        </w:rPr>
        <w:t>收费标准</w:t>
      </w:r>
      <w:r>
        <w:rPr>
          <w:rFonts w:hint="eastAsia" w:ascii="仿宋" w:hAnsi="仿宋" w:eastAsia="仿宋" w:cs="仿宋"/>
          <w:color w:val="auto"/>
          <w:sz w:val="24"/>
          <w:szCs w:val="24"/>
          <w:highlight w:val="none"/>
        </w:rPr>
        <w:t>向采购代理机构支付本次招标代理服务费。</w:t>
      </w:r>
    </w:p>
    <w:p w14:paraId="605ECB31">
      <w:pPr>
        <w:wordWrap w:val="0"/>
        <w:spacing w:line="450" w:lineRule="atLeast"/>
        <w:jc w:val="both"/>
        <w:rPr>
          <w:rFonts w:hint="eastAsia" w:ascii="仿宋" w:hAnsi="仿宋" w:eastAsia="仿宋" w:cs="仿宋"/>
          <w:color w:val="auto"/>
          <w:sz w:val="24"/>
          <w:szCs w:val="24"/>
          <w:highlight w:val="none"/>
        </w:rPr>
      </w:pPr>
    </w:p>
    <w:p w14:paraId="30EB619E">
      <w:pPr>
        <w:wordWrap w:val="0"/>
        <w:spacing w:line="480" w:lineRule="auto"/>
        <w:ind w:firstLine="2640" w:firstLineChars="1100"/>
        <w:jc w:val="both"/>
        <w:rPr>
          <w:rFonts w:hint="eastAsia" w:ascii="仿宋" w:hAnsi="仿宋" w:eastAsia="仿宋" w:cs="仿宋"/>
          <w:color w:val="auto"/>
          <w:sz w:val="24"/>
          <w:szCs w:val="24"/>
          <w:highlight w:val="none"/>
        </w:rPr>
      </w:pPr>
    </w:p>
    <w:p w14:paraId="00BB6C6A">
      <w:pPr>
        <w:wordWrap w:val="0"/>
        <w:spacing w:line="480" w:lineRule="auto"/>
        <w:ind w:firstLine="2640" w:firstLineChars="1100"/>
        <w:jc w:val="both"/>
        <w:rPr>
          <w:rFonts w:hint="eastAsia" w:ascii="仿宋" w:hAnsi="仿宋" w:eastAsia="仿宋" w:cs="仿宋"/>
          <w:color w:val="auto"/>
          <w:sz w:val="24"/>
          <w:szCs w:val="24"/>
          <w:highlight w:val="none"/>
        </w:rPr>
      </w:pPr>
    </w:p>
    <w:p w14:paraId="10496B2F">
      <w:pPr>
        <w:wordWrap w:val="0"/>
        <w:spacing w:line="480" w:lineRule="auto"/>
        <w:ind w:firstLine="2640" w:firstLineChars="1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（电子签章）</w:t>
      </w:r>
    </w:p>
    <w:p w14:paraId="2D897BE9">
      <w:pPr>
        <w:wordWrap w:val="0"/>
        <w:spacing w:line="48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sz w:val="24"/>
          <w:szCs w:val="24"/>
          <w:highlight w:val="none"/>
        </w:rPr>
        <w:t>）</w:t>
      </w:r>
    </w:p>
    <w:p w14:paraId="063126EC">
      <w:pPr>
        <w:wordWrap w:val="0"/>
        <w:spacing w:line="48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D149F8D">
      <w:pPr>
        <w:spacing w:line="440" w:lineRule="exact"/>
        <w:jc w:val="center"/>
        <w:rPr>
          <w:rFonts w:hint="eastAsia" w:ascii="仿宋" w:hAnsi="仿宋" w:eastAsia="仿宋" w:cs="仿宋"/>
          <w:b/>
          <w:bCs/>
          <w:color w:val="auto"/>
          <w:szCs w:val="21"/>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br w:type="page"/>
      </w:r>
      <w:bookmarkStart w:id="575" w:name="_Toc3090"/>
      <w:r>
        <w:rPr>
          <w:rFonts w:hint="eastAsia" w:ascii="仿宋" w:hAnsi="仿宋" w:eastAsia="仿宋" w:cs="仿宋"/>
          <w:b/>
          <w:bCs/>
          <w:color w:val="auto"/>
          <w:sz w:val="24"/>
          <w:szCs w:val="24"/>
          <w:highlight w:val="none"/>
        </w:rPr>
        <w:t xml:space="preserve">（二） </w:t>
      </w:r>
      <w:bookmarkEnd w:id="575"/>
      <w:r>
        <w:rPr>
          <w:rFonts w:hint="eastAsia" w:ascii="仿宋" w:hAnsi="仿宋" w:eastAsia="仿宋" w:cs="仿宋"/>
          <w:b/>
          <w:bCs/>
          <w:color w:val="auto"/>
          <w:sz w:val="24"/>
          <w:szCs w:val="24"/>
          <w:highlight w:val="none"/>
          <w:lang w:eastAsia="zh-CN"/>
        </w:rPr>
        <w:t>磋商响应</w:t>
      </w:r>
      <w:r>
        <w:rPr>
          <w:rFonts w:hint="eastAsia" w:ascii="仿宋" w:hAnsi="仿宋" w:eastAsia="仿宋" w:cs="仿宋"/>
          <w:b/>
          <w:bCs/>
          <w:color w:val="auto"/>
          <w:sz w:val="24"/>
          <w:szCs w:val="24"/>
          <w:highlight w:val="none"/>
        </w:rPr>
        <w:t>一览表</w:t>
      </w:r>
    </w:p>
    <w:p w14:paraId="35956A43">
      <w:pPr>
        <w:spacing w:line="440" w:lineRule="exact"/>
        <w:jc w:val="center"/>
        <w:rPr>
          <w:rFonts w:hint="eastAsia" w:ascii="仿宋" w:hAnsi="仿宋" w:eastAsia="仿宋" w:cs="仿宋"/>
          <w:b/>
          <w:bCs/>
          <w:color w:val="auto"/>
          <w:sz w:val="24"/>
          <w:highlight w:val="none"/>
        </w:rPr>
      </w:pPr>
    </w:p>
    <w:tbl>
      <w:tblPr>
        <w:tblStyle w:val="27"/>
        <w:tblW w:w="8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1184"/>
        <w:gridCol w:w="1001"/>
        <w:gridCol w:w="1174"/>
        <w:gridCol w:w="1207"/>
        <w:gridCol w:w="1565"/>
      </w:tblGrid>
      <w:tr w14:paraId="6FD8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148" w:type="dxa"/>
            <w:noWrap w:val="0"/>
            <w:vAlign w:val="center"/>
          </w:tcPr>
          <w:p w14:paraId="0166B5F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供应商名称</w:t>
            </w:r>
          </w:p>
        </w:tc>
        <w:tc>
          <w:tcPr>
            <w:tcW w:w="6131" w:type="dxa"/>
            <w:gridSpan w:val="5"/>
            <w:noWrap w:val="0"/>
            <w:vAlign w:val="center"/>
          </w:tcPr>
          <w:p w14:paraId="6DAAA28A">
            <w:pPr>
              <w:spacing w:line="440" w:lineRule="exact"/>
              <w:rPr>
                <w:rFonts w:hint="eastAsia" w:ascii="仿宋" w:hAnsi="仿宋" w:eastAsia="仿宋" w:cs="仿宋"/>
                <w:color w:val="auto"/>
                <w:sz w:val="24"/>
                <w:szCs w:val="24"/>
                <w:highlight w:val="none"/>
              </w:rPr>
            </w:pPr>
          </w:p>
        </w:tc>
      </w:tr>
      <w:tr w14:paraId="1213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148" w:type="dxa"/>
            <w:noWrap w:val="0"/>
            <w:vAlign w:val="center"/>
          </w:tcPr>
          <w:p w14:paraId="6214EFCD">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响应内容</w:t>
            </w:r>
          </w:p>
        </w:tc>
        <w:tc>
          <w:tcPr>
            <w:tcW w:w="6131" w:type="dxa"/>
            <w:gridSpan w:val="5"/>
            <w:noWrap w:val="0"/>
            <w:vAlign w:val="center"/>
          </w:tcPr>
          <w:p w14:paraId="71F85E07">
            <w:pPr>
              <w:spacing w:line="440" w:lineRule="exact"/>
              <w:rPr>
                <w:rFonts w:hint="eastAsia" w:ascii="仿宋" w:hAnsi="仿宋" w:eastAsia="仿宋" w:cs="仿宋"/>
                <w:color w:val="auto"/>
                <w:sz w:val="24"/>
                <w:szCs w:val="24"/>
                <w:highlight w:val="none"/>
              </w:rPr>
            </w:pPr>
          </w:p>
        </w:tc>
      </w:tr>
      <w:tr w14:paraId="2186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48" w:type="dxa"/>
            <w:noWrap w:val="0"/>
            <w:vAlign w:val="center"/>
          </w:tcPr>
          <w:p w14:paraId="7225B53F">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报价（元）</w:t>
            </w:r>
          </w:p>
        </w:tc>
        <w:tc>
          <w:tcPr>
            <w:tcW w:w="6131" w:type="dxa"/>
            <w:gridSpan w:val="5"/>
            <w:noWrap w:val="0"/>
            <w:vAlign w:val="center"/>
          </w:tcPr>
          <w:p w14:paraId="5859A684">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p w14:paraId="5E248A2E">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r>
      <w:tr w14:paraId="5F68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148" w:type="dxa"/>
            <w:noWrap w:val="0"/>
            <w:vAlign w:val="center"/>
          </w:tcPr>
          <w:p w14:paraId="5B690B79">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工 期</w:t>
            </w:r>
          </w:p>
        </w:tc>
        <w:tc>
          <w:tcPr>
            <w:tcW w:w="6131" w:type="dxa"/>
            <w:gridSpan w:val="5"/>
            <w:noWrap w:val="0"/>
            <w:vAlign w:val="center"/>
          </w:tcPr>
          <w:p w14:paraId="00910DA4">
            <w:pPr>
              <w:spacing w:line="440" w:lineRule="exact"/>
              <w:jc w:val="center"/>
              <w:rPr>
                <w:rFonts w:hint="eastAsia" w:ascii="仿宋" w:hAnsi="仿宋" w:eastAsia="仿宋" w:cs="仿宋"/>
                <w:color w:val="auto"/>
                <w:sz w:val="24"/>
                <w:szCs w:val="24"/>
                <w:highlight w:val="none"/>
              </w:rPr>
            </w:pPr>
          </w:p>
        </w:tc>
      </w:tr>
      <w:tr w14:paraId="641B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148" w:type="dxa"/>
            <w:noWrap w:val="0"/>
            <w:vAlign w:val="center"/>
          </w:tcPr>
          <w:p w14:paraId="6AE2D3AA">
            <w:pPr>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val="en-US" w:eastAsia="zh-CN"/>
              </w:rPr>
              <w:t>标准</w:t>
            </w:r>
          </w:p>
        </w:tc>
        <w:tc>
          <w:tcPr>
            <w:tcW w:w="6131" w:type="dxa"/>
            <w:gridSpan w:val="5"/>
            <w:noWrap w:val="0"/>
            <w:vAlign w:val="center"/>
          </w:tcPr>
          <w:p w14:paraId="73DCFB78">
            <w:pPr>
              <w:spacing w:line="440" w:lineRule="exact"/>
              <w:jc w:val="center"/>
              <w:rPr>
                <w:rFonts w:hint="eastAsia" w:ascii="仿宋" w:hAnsi="仿宋" w:eastAsia="仿宋" w:cs="仿宋"/>
                <w:color w:val="auto"/>
                <w:sz w:val="24"/>
                <w:szCs w:val="24"/>
                <w:highlight w:val="none"/>
              </w:rPr>
            </w:pPr>
          </w:p>
        </w:tc>
      </w:tr>
      <w:tr w14:paraId="4B53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148" w:type="dxa"/>
            <w:noWrap w:val="0"/>
            <w:vAlign w:val="center"/>
          </w:tcPr>
          <w:p w14:paraId="4F8EF515">
            <w:pPr>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质保期</w:t>
            </w:r>
          </w:p>
        </w:tc>
        <w:tc>
          <w:tcPr>
            <w:tcW w:w="6131" w:type="dxa"/>
            <w:gridSpan w:val="5"/>
            <w:noWrap w:val="0"/>
            <w:vAlign w:val="center"/>
          </w:tcPr>
          <w:p w14:paraId="08F36B5B">
            <w:pPr>
              <w:spacing w:line="440" w:lineRule="exact"/>
              <w:jc w:val="center"/>
              <w:rPr>
                <w:rFonts w:hint="eastAsia" w:ascii="仿宋" w:hAnsi="仿宋" w:eastAsia="仿宋" w:cs="仿宋"/>
                <w:color w:val="auto"/>
                <w:sz w:val="24"/>
                <w:szCs w:val="24"/>
                <w:highlight w:val="none"/>
              </w:rPr>
            </w:pPr>
          </w:p>
        </w:tc>
      </w:tr>
      <w:tr w14:paraId="4426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148" w:type="dxa"/>
            <w:noWrap w:val="0"/>
            <w:vAlign w:val="center"/>
          </w:tcPr>
          <w:p w14:paraId="7B98ED4C">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磋商有效期</w:t>
            </w:r>
          </w:p>
        </w:tc>
        <w:tc>
          <w:tcPr>
            <w:tcW w:w="6131" w:type="dxa"/>
            <w:gridSpan w:val="5"/>
            <w:noWrap w:val="0"/>
            <w:vAlign w:val="center"/>
          </w:tcPr>
          <w:p w14:paraId="7316811D">
            <w:pPr>
              <w:spacing w:line="440" w:lineRule="exact"/>
              <w:rPr>
                <w:rFonts w:hint="eastAsia" w:ascii="仿宋" w:hAnsi="仿宋" w:eastAsia="仿宋" w:cs="仿宋"/>
                <w:color w:val="auto"/>
                <w:sz w:val="24"/>
                <w:szCs w:val="24"/>
                <w:highlight w:val="none"/>
              </w:rPr>
            </w:pPr>
          </w:p>
        </w:tc>
      </w:tr>
      <w:tr w14:paraId="6FA7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148" w:type="dxa"/>
            <w:noWrap w:val="0"/>
            <w:vAlign w:val="center"/>
          </w:tcPr>
          <w:p w14:paraId="1437C1EB">
            <w:pPr>
              <w:spacing w:line="44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项目经理</w:t>
            </w:r>
          </w:p>
        </w:tc>
        <w:tc>
          <w:tcPr>
            <w:tcW w:w="1184" w:type="dxa"/>
            <w:noWrap w:val="0"/>
            <w:vAlign w:val="center"/>
          </w:tcPr>
          <w:p w14:paraId="626BD20E">
            <w:pPr>
              <w:spacing w:line="440" w:lineRule="exact"/>
              <w:jc w:val="center"/>
              <w:rPr>
                <w:rFonts w:hint="eastAsia" w:ascii="仿宋" w:hAnsi="仿宋" w:eastAsia="仿宋" w:cs="仿宋"/>
                <w:color w:val="auto"/>
                <w:sz w:val="24"/>
                <w:szCs w:val="24"/>
                <w:highlight w:val="none"/>
              </w:rPr>
            </w:pPr>
          </w:p>
        </w:tc>
        <w:tc>
          <w:tcPr>
            <w:tcW w:w="1001" w:type="dxa"/>
            <w:noWrap w:val="0"/>
            <w:vAlign w:val="center"/>
          </w:tcPr>
          <w:p w14:paraId="154A5490">
            <w:pPr>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级别</w:t>
            </w:r>
          </w:p>
        </w:tc>
        <w:tc>
          <w:tcPr>
            <w:tcW w:w="1174" w:type="dxa"/>
            <w:noWrap w:val="0"/>
            <w:vAlign w:val="center"/>
          </w:tcPr>
          <w:p w14:paraId="3B8095CF">
            <w:pPr>
              <w:spacing w:line="440" w:lineRule="exact"/>
              <w:jc w:val="center"/>
              <w:rPr>
                <w:rFonts w:hint="eastAsia" w:ascii="仿宋" w:hAnsi="仿宋" w:eastAsia="仿宋" w:cs="仿宋"/>
                <w:color w:val="auto"/>
                <w:sz w:val="24"/>
                <w:szCs w:val="24"/>
                <w:highlight w:val="none"/>
              </w:rPr>
            </w:pPr>
          </w:p>
        </w:tc>
        <w:tc>
          <w:tcPr>
            <w:tcW w:w="1207" w:type="dxa"/>
            <w:noWrap w:val="0"/>
            <w:vAlign w:val="center"/>
          </w:tcPr>
          <w:p w14:paraId="5338017F">
            <w:pPr>
              <w:spacing w:line="44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注册证号</w:t>
            </w:r>
          </w:p>
        </w:tc>
        <w:tc>
          <w:tcPr>
            <w:tcW w:w="1565" w:type="dxa"/>
            <w:noWrap w:val="0"/>
            <w:vAlign w:val="center"/>
          </w:tcPr>
          <w:p w14:paraId="205DFAB5">
            <w:pPr>
              <w:spacing w:line="440" w:lineRule="exact"/>
              <w:jc w:val="center"/>
              <w:rPr>
                <w:rFonts w:hint="eastAsia" w:ascii="仿宋" w:hAnsi="仿宋" w:eastAsia="仿宋" w:cs="仿宋"/>
                <w:color w:val="auto"/>
                <w:sz w:val="24"/>
                <w:szCs w:val="24"/>
                <w:highlight w:val="none"/>
              </w:rPr>
            </w:pPr>
          </w:p>
        </w:tc>
      </w:tr>
      <w:tr w14:paraId="533B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9" w:hRule="atLeast"/>
          <w:jc w:val="center"/>
        </w:trPr>
        <w:tc>
          <w:tcPr>
            <w:tcW w:w="8279" w:type="dxa"/>
            <w:gridSpan w:val="6"/>
            <w:noWrap w:val="0"/>
            <w:vAlign w:val="center"/>
          </w:tcPr>
          <w:p w14:paraId="044A6BBA">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其他声明：</w:t>
            </w:r>
          </w:p>
        </w:tc>
      </w:tr>
    </w:tbl>
    <w:p w14:paraId="114C14F9">
      <w:pPr>
        <w:spacing w:line="440" w:lineRule="exact"/>
        <w:ind w:left="5145" w:leftChars="2450"/>
        <w:rPr>
          <w:rFonts w:hint="eastAsia" w:ascii="仿宋" w:hAnsi="仿宋" w:eastAsia="仿宋" w:cs="仿宋"/>
          <w:color w:val="auto"/>
          <w:sz w:val="24"/>
          <w:highlight w:val="none"/>
        </w:rPr>
      </w:pPr>
    </w:p>
    <w:p w14:paraId="3E68247D">
      <w:pPr>
        <w:spacing w:line="440" w:lineRule="exact"/>
        <w:ind w:left="5145" w:leftChars="2450"/>
        <w:rPr>
          <w:rFonts w:hint="eastAsia" w:ascii="仿宋" w:hAnsi="仿宋" w:eastAsia="仿宋" w:cs="仿宋"/>
          <w:color w:val="auto"/>
          <w:sz w:val="24"/>
          <w:highlight w:val="none"/>
        </w:rPr>
      </w:pPr>
    </w:p>
    <w:p w14:paraId="3F5907FC">
      <w:pPr>
        <w:wordWrap w:val="0"/>
        <w:spacing w:line="480" w:lineRule="auto"/>
        <w:ind w:firstLine="2310" w:firstLineChars="1100"/>
        <w:jc w:val="both"/>
        <w:rPr>
          <w:rFonts w:hint="eastAsia" w:ascii="仿宋" w:hAnsi="仿宋" w:eastAsia="仿宋" w:cs="仿宋"/>
          <w:color w:val="auto"/>
          <w:sz w:val="24"/>
          <w:szCs w:val="24"/>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（电子签章）</w:t>
      </w:r>
    </w:p>
    <w:p w14:paraId="23EFFFC3">
      <w:pPr>
        <w:wordWrap w:val="0"/>
        <w:spacing w:line="48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sz w:val="24"/>
          <w:szCs w:val="24"/>
          <w:highlight w:val="none"/>
        </w:rPr>
        <w:t>）</w:t>
      </w:r>
    </w:p>
    <w:p w14:paraId="09A959D3">
      <w:pPr>
        <w:wordWrap w:val="0"/>
        <w:spacing w:line="48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62577B5">
      <w:pPr>
        <w:wordWrap w:val="0"/>
        <w:spacing w:line="450" w:lineRule="atLeast"/>
        <w:jc w:val="center"/>
        <w:rPr>
          <w:rFonts w:hint="eastAsia" w:ascii="仿宋" w:hAnsi="仿宋" w:eastAsia="仿宋" w:cs="仿宋"/>
          <w:color w:val="auto"/>
          <w:szCs w:val="21"/>
          <w:highlight w:val="none"/>
        </w:rPr>
      </w:pPr>
    </w:p>
    <w:p w14:paraId="6A6901F2">
      <w:pPr>
        <w:spacing w:line="360" w:lineRule="auto"/>
        <w:ind w:firstLine="972" w:firstLineChars="405"/>
        <w:jc w:val="center"/>
        <w:rPr>
          <w:rFonts w:hint="eastAsia" w:ascii="仿宋" w:hAnsi="仿宋" w:eastAsia="仿宋" w:cs="仿宋"/>
          <w:b/>
          <w:color w:val="auto"/>
          <w:sz w:val="30"/>
          <w:szCs w:val="30"/>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30"/>
          <w:szCs w:val="30"/>
          <w:highlight w:val="none"/>
        </w:rPr>
        <w:t>二、法定代表人身份证明及授权委托书</w:t>
      </w:r>
    </w:p>
    <w:p w14:paraId="45AE8A43">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(一)法定代表人身份证明</w:t>
      </w:r>
    </w:p>
    <w:p w14:paraId="0C1784AE">
      <w:pPr>
        <w:spacing w:line="440" w:lineRule="exact"/>
        <w:jc w:val="center"/>
        <w:rPr>
          <w:rFonts w:hint="eastAsia" w:ascii="仿宋" w:hAnsi="仿宋" w:eastAsia="仿宋" w:cs="仿宋"/>
          <w:color w:val="auto"/>
          <w:sz w:val="24"/>
          <w:szCs w:val="24"/>
          <w:highlight w:val="none"/>
        </w:rPr>
      </w:pPr>
    </w:p>
    <w:p w14:paraId="02DE8537">
      <w:pPr>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p>
    <w:p w14:paraId="27036E02">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p>
    <w:p w14:paraId="6BF8FE67">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33967237">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FBE9B85">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p>
    <w:p w14:paraId="51EF4FD6">
      <w:pPr>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14:paraId="48B405FD">
      <w:pPr>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（供应商单位名称）的法定代表人。</w:t>
      </w:r>
    </w:p>
    <w:p w14:paraId="672E816B">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3B09D99B">
      <w:pPr>
        <w:spacing w:line="44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附：法定代表人身份证复印件</w:t>
      </w:r>
    </w:p>
    <w:p w14:paraId="774DBC7E">
      <w:pPr>
        <w:spacing w:line="440" w:lineRule="exact"/>
        <w:rPr>
          <w:rFonts w:hint="eastAsia" w:ascii="仿宋" w:hAnsi="仿宋" w:eastAsia="仿宋" w:cs="仿宋"/>
          <w:color w:val="auto"/>
          <w:sz w:val="24"/>
          <w:szCs w:val="24"/>
          <w:highlight w:val="none"/>
        </w:rPr>
      </w:pPr>
    </w:p>
    <w:p w14:paraId="3F20996F">
      <w:pPr>
        <w:spacing w:line="440" w:lineRule="exact"/>
        <w:rPr>
          <w:rFonts w:hint="eastAsia" w:ascii="仿宋" w:hAnsi="仿宋" w:eastAsia="仿宋" w:cs="仿宋"/>
          <w:color w:val="auto"/>
          <w:sz w:val="24"/>
          <w:szCs w:val="24"/>
          <w:highlight w:val="none"/>
        </w:rPr>
      </w:pPr>
    </w:p>
    <w:p w14:paraId="36E42948">
      <w:pPr>
        <w:spacing w:line="440" w:lineRule="exact"/>
        <w:rPr>
          <w:rFonts w:hint="eastAsia" w:ascii="仿宋" w:hAnsi="仿宋" w:eastAsia="仿宋" w:cs="仿宋"/>
          <w:color w:val="auto"/>
          <w:sz w:val="24"/>
          <w:szCs w:val="24"/>
          <w:highlight w:val="none"/>
        </w:rPr>
      </w:pPr>
    </w:p>
    <w:p w14:paraId="42592B70">
      <w:pPr>
        <w:spacing w:line="440" w:lineRule="exact"/>
        <w:rPr>
          <w:rFonts w:hint="eastAsia" w:ascii="仿宋" w:hAnsi="仿宋" w:eastAsia="仿宋" w:cs="仿宋"/>
          <w:color w:val="auto"/>
          <w:sz w:val="24"/>
          <w:szCs w:val="24"/>
          <w:highlight w:val="none"/>
        </w:rPr>
      </w:pPr>
    </w:p>
    <w:p w14:paraId="002AA854">
      <w:pPr>
        <w:wordWrap w:val="0"/>
        <w:spacing w:line="45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（电子签章）</w:t>
      </w:r>
    </w:p>
    <w:p w14:paraId="78D64F3C">
      <w:pPr>
        <w:wordWrap w:val="0"/>
        <w:spacing w:line="450" w:lineRule="atLeast"/>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sz w:val="24"/>
          <w:szCs w:val="24"/>
          <w:highlight w:val="none"/>
        </w:rPr>
        <w:t>）</w:t>
      </w:r>
    </w:p>
    <w:p w14:paraId="52E4F10B">
      <w:pPr>
        <w:wordWrap w:val="0"/>
        <w:spacing w:line="45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870709B">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rPr>
        <w:t xml:space="preserve">（二）法定代表人授权委托书 </w:t>
      </w:r>
    </w:p>
    <w:p w14:paraId="34181F34">
      <w:pPr>
        <w:spacing w:line="440" w:lineRule="exact"/>
        <w:ind w:left="840"/>
        <w:rPr>
          <w:rFonts w:hint="eastAsia" w:ascii="仿宋" w:hAnsi="仿宋" w:eastAsia="仿宋" w:cs="仿宋"/>
          <w:b/>
          <w:bCs/>
          <w:color w:val="auto"/>
          <w:sz w:val="24"/>
          <w:szCs w:val="24"/>
          <w:highlight w:val="none"/>
        </w:rPr>
      </w:pPr>
    </w:p>
    <w:p w14:paraId="055A9568">
      <w:pPr>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（姓名）系</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（供应商名称）的法定代表人，现委托</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（姓名）为我方代理人。代理人根据授权，以我方名义签署、澄清、说明、补正、递交、撤回、修改</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（项目名称）</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、签订合同和处理有关事宜，其法律后果由我方承担。</w:t>
      </w:r>
    </w:p>
    <w:p w14:paraId="0EA701C6">
      <w:pPr>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委托期限：</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w:t>
      </w:r>
    </w:p>
    <w:p w14:paraId="50F1B103">
      <w:pPr>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代理人无转委托权。</w:t>
      </w:r>
    </w:p>
    <w:p w14:paraId="5FEAF52E">
      <w:pPr>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附：委托代理人身份证复印件</w:t>
      </w:r>
    </w:p>
    <w:p w14:paraId="78DA8765">
      <w:pPr>
        <w:spacing w:line="440" w:lineRule="exact"/>
        <w:ind w:left="84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p>
    <w:p w14:paraId="185E78C7">
      <w:pPr>
        <w:spacing w:line="440" w:lineRule="exact"/>
        <w:ind w:left="84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p>
    <w:p w14:paraId="748A0BCF">
      <w:pPr>
        <w:spacing w:line="440" w:lineRule="exact"/>
        <w:ind w:left="840"/>
        <w:rPr>
          <w:rFonts w:hint="eastAsia" w:ascii="仿宋" w:hAnsi="仿宋" w:eastAsia="仿宋" w:cs="仿宋"/>
          <w:bCs/>
          <w:color w:val="auto"/>
          <w:sz w:val="24"/>
          <w:szCs w:val="24"/>
          <w:highlight w:val="none"/>
        </w:rPr>
      </w:pPr>
    </w:p>
    <w:p w14:paraId="04E4B04A">
      <w:pPr>
        <w:spacing w:line="440" w:lineRule="exact"/>
        <w:ind w:left="840"/>
        <w:rPr>
          <w:rFonts w:hint="eastAsia" w:ascii="仿宋" w:hAnsi="仿宋" w:eastAsia="仿宋" w:cs="仿宋"/>
          <w:bCs/>
          <w:color w:val="auto"/>
          <w:sz w:val="24"/>
          <w:szCs w:val="24"/>
          <w:highlight w:val="none"/>
        </w:rPr>
      </w:pPr>
    </w:p>
    <w:p w14:paraId="04633E5B">
      <w:pPr>
        <w:spacing w:line="440" w:lineRule="exact"/>
        <w:ind w:left="840"/>
        <w:rPr>
          <w:rFonts w:hint="eastAsia" w:ascii="仿宋" w:hAnsi="仿宋" w:eastAsia="仿宋" w:cs="仿宋"/>
          <w:bCs/>
          <w:color w:val="auto"/>
          <w:sz w:val="24"/>
          <w:szCs w:val="24"/>
          <w:highlight w:val="none"/>
        </w:rPr>
      </w:pPr>
    </w:p>
    <w:p w14:paraId="4C600D17">
      <w:pPr>
        <w:spacing w:line="440" w:lineRule="exact"/>
        <w:ind w:left="840"/>
        <w:rPr>
          <w:rFonts w:hint="eastAsia" w:ascii="仿宋" w:hAnsi="仿宋" w:eastAsia="仿宋" w:cs="仿宋"/>
          <w:bCs/>
          <w:color w:val="auto"/>
          <w:sz w:val="24"/>
          <w:szCs w:val="24"/>
          <w:highlight w:val="none"/>
        </w:rPr>
      </w:pPr>
    </w:p>
    <w:p w14:paraId="484C5289">
      <w:pPr>
        <w:spacing w:line="440" w:lineRule="exact"/>
        <w:ind w:firstLine="3600" w:firstLineChars="1500"/>
        <w:rPr>
          <w:rFonts w:hint="eastAsia" w:ascii="仿宋" w:hAnsi="仿宋" w:eastAsia="仿宋" w:cs="仿宋"/>
          <w:bCs/>
          <w:color w:val="auto"/>
          <w:sz w:val="24"/>
          <w:szCs w:val="24"/>
          <w:highlight w:val="none"/>
        </w:rPr>
      </w:pPr>
    </w:p>
    <w:p w14:paraId="50B2E68C">
      <w:pPr>
        <w:spacing w:line="440" w:lineRule="exact"/>
        <w:jc w:val="righ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供应商单位名称：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电子签章</w:t>
      </w:r>
      <w:r>
        <w:rPr>
          <w:rFonts w:hint="eastAsia" w:ascii="仿宋" w:hAnsi="仿宋" w:eastAsia="仿宋" w:cs="仿宋"/>
          <w:bCs/>
          <w:color w:val="auto"/>
          <w:sz w:val="24"/>
          <w:szCs w:val="24"/>
          <w:highlight w:val="none"/>
        </w:rPr>
        <w:t>）</w:t>
      </w:r>
    </w:p>
    <w:p w14:paraId="572893E2">
      <w:pPr>
        <w:spacing w:line="440" w:lineRule="exact"/>
        <w:jc w:val="righ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电子签章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bCs/>
          <w:color w:val="auto"/>
          <w:sz w:val="24"/>
          <w:szCs w:val="24"/>
          <w:highlight w:val="none"/>
        </w:rPr>
        <w:t>）</w:t>
      </w:r>
    </w:p>
    <w:p w14:paraId="0AC5B6B7">
      <w:pPr>
        <w:spacing w:line="440" w:lineRule="exact"/>
        <w:jc w:val="righ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委托代理</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电子签章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bCs/>
          <w:color w:val="auto"/>
          <w:sz w:val="24"/>
          <w:szCs w:val="24"/>
          <w:highlight w:val="none"/>
        </w:rPr>
        <w:t>）</w:t>
      </w:r>
    </w:p>
    <w:p w14:paraId="67DF572D">
      <w:pPr>
        <w:spacing w:line="440" w:lineRule="exact"/>
        <w:ind w:firstLine="3120" w:firstLineChars="13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身份证号码：</w:t>
      </w:r>
      <w:r>
        <w:rPr>
          <w:rFonts w:hint="eastAsia" w:ascii="仿宋" w:hAnsi="仿宋" w:eastAsia="仿宋" w:cs="仿宋"/>
          <w:bCs/>
          <w:color w:val="auto"/>
          <w:sz w:val="24"/>
          <w:szCs w:val="24"/>
          <w:highlight w:val="none"/>
          <w:u w:val="single"/>
        </w:rPr>
        <w:t xml:space="preserve">                            </w:t>
      </w:r>
    </w:p>
    <w:p w14:paraId="53ABCFD8">
      <w:pPr>
        <w:spacing w:line="440" w:lineRule="exact"/>
        <w:ind w:firstLine="3120" w:firstLineChars="1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委托代理人身份证号码：</w:t>
      </w:r>
      <w:r>
        <w:rPr>
          <w:rFonts w:hint="eastAsia" w:ascii="仿宋" w:hAnsi="仿宋" w:eastAsia="仿宋" w:cs="仿宋"/>
          <w:bCs/>
          <w:color w:val="auto"/>
          <w:sz w:val="24"/>
          <w:szCs w:val="24"/>
          <w:highlight w:val="none"/>
          <w:u w:val="single"/>
        </w:rPr>
        <w:t xml:space="preserve">                  </w:t>
      </w:r>
    </w:p>
    <w:p w14:paraId="488ABF59">
      <w:pPr>
        <w:spacing w:line="440" w:lineRule="exact"/>
        <w:ind w:firstLine="3600" w:firstLineChars="1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7085200">
      <w:pPr>
        <w:spacing w:line="360" w:lineRule="auto"/>
        <w:jc w:val="center"/>
        <w:rPr>
          <w:rFonts w:hint="eastAsia" w:ascii="仿宋" w:hAnsi="仿宋" w:eastAsia="仿宋" w:cs="仿宋"/>
          <w:b/>
          <w:bCs/>
          <w:color w:val="auto"/>
          <w:sz w:val="24"/>
          <w:highlight w:val="none"/>
          <w:lang w:eastAsia="zh-CN"/>
        </w:rPr>
      </w:pPr>
      <w:r>
        <w:rPr>
          <w:rFonts w:hint="eastAsia" w:ascii="仿宋" w:hAnsi="仿宋" w:eastAsia="仿宋" w:cs="仿宋"/>
          <w:color w:val="auto"/>
          <w:kern w:val="0"/>
          <w:sz w:val="24"/>
          <w:szCs w:val="24"/>
          <w:highlight w:val="none"/>
        </w:rPr>
        <w:br w:type="page"/>
      </w:r>
      <w:r>
        <w:rPr>
          <w:rFonts w:hint="eastAsia" w:ascii="仿宋" w:hAnsi="仿宋" w:eastAsia="仿宋" w:cs="仿宋"/>
          <w:b/>
          <w:color w:val="auto"/>
          <w:sz w:val="30"/>
          <w:szCs w:val="30"/>
          <w:highlight w:val="none"/>
        </w:rPr>
        <w:t>三、</w:t>
      </w:r>
      <w:r>
        <w:rPr>
          <w:rFonts w:hint="eastAsia" w:ascii="仿宋" w:hAnsi="仿宋" w:eastAsia="仿宋" w:cs="仿宋"/>
          <w:b/>
          <w:color w:val="auto"/>
          <w:sz w:val="30"/>
          <w:szCs w:val="30"/>
          <w:highlight w:val="none"/>
          <w:lang w:eastAsia="zh-CN"/>
        </w:rPr>
        <w:t>响应承诺函</w:t>
      </w:r>
    </w:p>
    <w:p w14:paraId="604D88FD">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(采购人名称</w:t>
      </w:r>
      <w:r>
        <w:rPr>
          <w:rFonts w:hint="eastAsia" w:ascii="仿宋" w:hAnsi="仿宋" w:eastAsia="仿宋" w:cs="仿宋"/>
          <w:color w:val="auto"/>
          <w:sz w:val="24"/>
          <w:szCs w:val="24"/>
          <w:highlight w:val="none"/>
          <w:u w:val="single"/>
          <w:lang w:val="en-US" w:eastAsia="zh-CN"/>
        </w:rPr>
        <w:t>或</w:t>
      </w:r>
      <w:r>
        <w:rPr>
          <w:rFonts w:hint="eastAsia" w:ascii="仿宋" w:hAnsi="仿宋" w:eastAsia="仿宋" w:cs="仿宋"/>
          <w:color w:val="auto"/>
          <w:sz w:val="24"/>
          <w:szCs w:val="24"/>
          <w:highlight w:val="none"/>
          <w:u w:val="single"/>
        </w:rPr>
        <w:t xml:space="preserve">采购代理机构名称）   </w:t>
      </w:r>
    </w:p>
    <w:p w14:paraId="3E48995A">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我们收到了</w:t>
      </w: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（项目名称</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，已详细审查全部内容（含补遗文件，如有），我们完全理解并同意放弃对上述文件有不明及误解的权利。我方在此郑重承诺，如果我方在本次投标过程存在下述任一行为：</w:t>
      </w:r>
    </w:p>
    <w:p w14:paraId="1ABAFEBC">
      <w:pPr>
        <w:pStyle w:val="21"/>
        <w:numPr>
          <w:ilvl w:val="2"/>
          <w:numId w:val="4"/>
        </w:numPr>
        <w:tabs>
          <w:tab w:val="left" w:pos="1260"/>
          <w:tab w:val="clear" w:pos="1485"/>
        </w:tabs>
        <w:spacing w:line="480" w:lineRule="auto"/>
        <w:ind w:hanging="7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规定的</w:t>
      </w:r>
      <w:r>
        <w:rPr>
          <w:rFonts w:hint="eastAsia" w:ascii="仿宋" w:hAnsi="仿宋" w:eastAsia="仿宋" w:cs="仿宋"/>
          <w:color w:val="auto"/>
          <w:sz w:val="24"/>
          <w:szCs w:val="24"/>
          <w:highlight w:val="none"/>
          <w:lang w:eastAsia="zh-CN"/>
        </w:rPr>
        <w:t>磋商有效期</w:t>
      </w:r>
      <w:r>
        <w:rPr>
          <w:rFonts w:hint="eastAsia" w:ascii="仿宋" w:hAnsi="仿宋" w:eastAsia="仿宋" w:cs="仿宋"/>
          <w:color w:val="auto"/>
          <w:sz w:val="24"/>
          <w:szCs w:val="24"/>
          <w:highlight w:val="none"/>
        </w:rPr>
        <w:t>内撤回其投标；</w:t>
      </w:r>
    </w:p>
    <w:p w14:paraId="0ED72AEF">
      <w:pPr>
        <w:pStyle w:val="21"/>
        <w:numPr>
          <w:ilvl w:val="2"/>
          <w:numId w:val="4"/>
        </w:numPr>
        <w:tabs>
          <w:tab w:val="left" w:pos="1260"/>
          <w:tab w:val="clear" w:pos="1485"/>
        </w:tabs>
        <w:spacing w:line="480" w:lineRule="auto"/>
        <w:ind w:hanging="7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中提供虚假材料；</w:t>
      </w:r>
    </w:p>
    <w:p w14:paraId="7A75FC0F">
      <w:pPr>
        <w:pStyle w:val="21"/>
        <w:numPr>
          <w:ilvl w:val="2"/>
          <w:numId w:val="4"/>
        </w:numPr>
        <w:tabs>
          <w:tab w:val="left" w:pos="1260"/>
          <w:tab w:val="clear" w:pos="1485"/>
        </w:tabs>
        <w:spacing w:line="480" w:lineRule="auto"/>
        <w:ind w:hanging="7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供应商与采购人、其他供应商或者招标代理机构恶意串通的；</w:t>
      </w:r>
    </w:p>
    <w:p w14:paraId="7EB64798">
      <w:pPr>
        <w:pStyle w:val="21"/>
        <w:numPr>
          <w:ilvl w:val="2"/>
          <w:numId w:val="4"/>
        </w:numPr>
        <w:tabs>
          <w:tab w:val="left" w:pos="1260"/>
          <w:tab w:val="clear" w:pos="1485"/>
        </w:tabs>
        <w:spacing w:line="480" w:lineRule="auto"/>
        <w:ind w:hanging="7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人除因不可抗力未在法律规定时间内签订合同；</w:t>
      </w:r>
    </w:p>
    <w:p w14:paraId="2C99306A">
      <w:pPr>
        <w:pStyle w:val="21"/>
        <w:numPr>
          <w:ilvl w:val="2"/>
          <w:numId w:val="4"/>
        </w:numPr>
        <w:tabs>
          <w:tab w:val="left" w:pos="1260"/>
          <w:tab w:val="clear" w:pos="1485"/>
        </w:tabs>
        <w:spacing w:line="480" w:lineRule="auto"/>
        <w:ind w:left="1276" w:hanging="56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将中标项目转让给他人，或者在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中未说明，且未经采购人同意，将中标项目分包给他人的；</w:t>
      </w:r>
    </w:p>
    <w:p w14:paraId="4F5BE2C0">
      <w:pPr>
        <w:pStyle w:val="21"/>
        <w:numPr>
          <w:ilvl w:val="2"/>
          <w:numId w:val="4"/>
        </w:numPr>
        <w:tabs>
          <w:tab w:val="left" w:pos="1260"/>
          <w:tab w:val="clear" w:pos="1485"/>
        </w:tabs>
        <w:spacing w:line="480" w:lineRule="auto"/>
        <w:ind w:hanging="7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规定按时向招标代理机构交纳代理服务费；</w:t>
      </w:r>
    </w:p>
    <w:p w14:paraId="0C246531">
      <w:pPr>
        <w:pStyle w:val="21"/>
        <w:numPr>
          <w:ilvl w:val="2"/>
          <w:numId w:val="4"/>
        </w:numPr>
        <w:tabs>
          <w:tab w:val="left" w:pos="1260"/>
          <w:tab w:val="clear" w:pos="1485"/>
        </w:tabs>
        <w:spacing w:line="480" w:lineRule="auto"/>
        <w:ind w:hanging="7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其他违反法律法规的情形。</w:t>
      </w:r>
    </w:p>
    <w:p w14:paraId="38E38119">
      <w:pPr>
        <w:spacing w:line="48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我方将承担相关责任和后果，并按照采购项目预算金额的2%支付给采购人或招标代理机构，以弥补对其造成的损失，不足部分我方将另行承担。同时，我方完全了解上述行为可能导致被记入失信或不良行为记录。</w:t>
      </w:r>
    </w:p>
    <w:p w14:paraId="54DA0CD6">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7F526474">
      <w:pPr>
        <w:spacing w:line="440" w:lineRule="exact"/>
        <w:rPr>
          <w:rFonts w:hint="eastAsia" w:ascii="仿宋" w:hAnsi="仿宋" w:eastAsia="仿宋" w:cs="仿宋"/>
          <w:b/>
          <w:bCs/>
          <w:color w:val="auto"/>
          <w:sz w:val="24"/>
          <w:szCs w:val="24"/>
          <w:highlight w:val="none"/>
        </w:rPr>
      </w:pPr>
    </w:p>
    <w:p w14:paraId="14398B99">
      <w:pPr>
        <w:spacing w:line="440" w:lineRule="exact"/>
        <w:jc w:val="center"/>
        <w:rPr>
          <w:rFonts w:hint="eastAsia" w:ascii="仿宋" w:hAnsi="仿宋" w:eastAsia="仿宋" w:cs="仿宋"/>
          <w:b/>
          <w:bCs/>
          <w:color w:val="auto"/>
          <w:sz w:val="24"/>
          <w:szCs w:val="24"/>
          <w:highlight w:val="none"/>
        </w:rPr>
      </w:pPr>
    </w:p>
    <w:p w14:paraId="65162CAC">
      <w:pPr>
        <w:spacing w:line="440" w:lineRule="exact"/>
        <w:jc w:val="right"/>
        <w:rPr>
          <w:rFonts w:hint="eastAsia" w:ascii="仿宋" w:hAnsi="仿宋" w:eastAsia="仿宋" w:cs="仿宋"/>
          <w:b/>
          <w:bCs/>
          <w:color w:val="auto"/>
          <w:sz w:val="24"/>
          <w:szCs w:val="24"/>
          <w:highlight w:val="none"/>
        </w:rPr>
      </w:pPr>
    </w:p>
    <w:p w14:paraId="7C2AF904">
      <w:pPr>
        <w:wordWrap w:val="0"/>
        <w:spacing w:line="45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（电子签章）</w:t>
      </w:r>
    </w:p>
    <w:p w14:paraId="709BB902">
      <w:pPr>
        <w:wordWrap w:val="0"/>
        <w:spacing w:line="450" w:lineRule="atLeast"/>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sz w:val="24"/>
          <w:szCs w:val="24"/>
          <w:highlight w:val="none"/>
        </w:rPr>
        <w:t>）</w:t>
      </w:r>
    </w:p>
    <w:p w14:paraId="3C8D3505">
      <w:pPr>
        <w:wordWrap w:val="0"/>
        <w:spacing w:line="45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BDEF895">
      <w:pPr>
        <w:spacing w:line="440" w:lineRule="exact"/>
        <w:jc w:val="center"/>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br w:type="page"/>
      </w:r>
    </w:p>
    <w:p w14:paraId="05F296DC">
      <w:pPr>
        <w:tabs>
          <w:tab w:val="left" w:pos="540"/>
        </w:tabs>
        <w:jc w:val="center"/>
        <w:rPr>
          <w:rFonts w:hint="eastAsia" w:ascii="仿宋" w:hAnsi="仿宋" w:eastAsia="仿宋" w:cs="仿宋"/>
          <w:b/>
          <w:color w:val="auto"/>
          <w:sz w:val="24"/>
          <w:highlight w:val="none"/>
          <w:lang w:val="zh-CN"/>
        </w:rPr>
      </w:pPr>
      <w:bookmarkStart w:id="576" w:name="_Toc11096"/>
      <w:bookmarkStart w:id="577" w:name="_Toc9811"/>
      <w:bookmarkStart w:id="578" w:name="_Toc633"/>
      <w:r>
        <w:rPr>
          <w:rFonts w:hint="eastAsia" w:ascii="仿宋" w:hAnsi="仿宋" w:eastAsia="仿宋" w:cs="仿宋"/>
          <w:b/>
          <w:color w:val="auto"/>
          <w:sz w:val="30"/>
          <w:szCs w:val="30"/>
          <w:highlight w:val="none"/>
          <w:lang w:val="en-US" w:eastAsia="zh-CN"/>
        </w:rPr>
        <w:t>四、</w:t>
      </w:r>
      <w:r>
        <w:rPr>
          <w:rFonts w:hint="eastAsia" w:ascii="仿宋" w:hAnsi="仿宋" w:eastAsia="仿宋" w:cs="仿宋"/>
          <w:b/>
          <w:color w:val="auto"/>
          <w:sz w:val="30"/>
          <w:szCs w:val="30"/>
          <w:highlight w:val="none"/>
          <w:lang w:val="zh-CN"/>
        </w:rPr>
        <w:t>已标价工程量清单</w:t>
      </w:r>
      <w:bookmarkEnd w:id="576"/>
      <w:bookmarkEnd w:id="577"/>
      <w:bookmarkEnd w:id="578"/>
    </w:p>
    <w:p w14:paraId="51945837">
      <w:pPr>
        <w:rPr>
          <w:rFonts w:hint="eastAsia" w:ascii="仿宋" w:hAnsi="仿宋" w:eastAsia="仿宋" w:cs="仿宋"/>
          <w:b/>
          <w:color w:val="auto"/>
          <w:sz w:val="30"/>
          <w:szCs w:val="30"/>
          <w:highlight w:val="none"/>
          <w:lang w:val="en-US" w:eastAsia="zh-CN"/>
        </w:rPr>
      </w:pPr>
      <w:bookmarkStart w:id="579" w:name="_Toc7397"/>
      <w:bookmarkStart w:id="580" w:name="_Toc12541"/>
      <w:bookmarkStart w:id="581" w:name="_Toc29230"/>
      <w:bookmarkStart w:id="582" w:name="_Toc19619"/>
      <w:bookmarkStart w:id="583" w:name="_Toc8848"/>
      <w:bookmarkStart w:id="584" w:name="_Toc6714"/>
      <w:bookmarkStart w:id="585" w:name="_Toc10903"/>
      <w:r>
        <w:rPr>
          <w:rFonts w:hint="eastAsia" w:ascii="仿宋" w:hAnsi="仿宋" w:eastAsia="仿宋" w:cs="仿宋"/>
          <w:b/>
          <w:color w:val="auto"/>
          <w:sz w:val="30"/>
          <w:szCs w:val="30"/>
          <w:highlight w:val="none"/>
          <w:lang w:val="en-US" w:eastAsia="zh-CN"/>
        </w:rPr>
        <w:br w:type="page"/>
      </w:r>
    </w:p>
    <w:p w14:paraId="233A34FD">
      <w:pPr>
        <w:spacing w:line="560" w:lineRule="exact"/>
        <w:jc w:val="center"/>
        <w:outlineLvl w:val="0"/>
        <w:rPr>
          <w:rFonts w:hint="eastAsia" w:ascii="仿宋" w:hAnsi="仿宋" w:eastAsia="仿宋" w:cs="仿宋"/>
          <w:b/>
          <w:color w:val="auto"/>
          <w:sz w:val="30"/>
          <w:szCs w:val="30"/>
          <w:highlight w:val="none"/>
          <w:lang w:val="zh-CN" w:eastAsia="zh-CN"/>
        </w:rPr>
      </w:pPr>
      <w:bookmarkStart w:id="586" w:name="_Toc29990"/>
      <w:bookmarkStart w:id="587" w:name="_Toc7129"/>
      <w:r>
        <w:rPr>
          <w:rFonts w:hint="eastAsia" w:ascii="仿宋" w:hAnsi="仿宋" w:eastAsia="仿宋" w:cs="仿宋"/>
          <w:b/>
          <w:color w:val="auto"/>
          <w:sz w:val="30"/>
          <w:szCs w:val="30"/>
          <w:highlight w:val="none"/>
          <w:lang w:val="en-US" w:eastAsia="zh-CN"/>
        </w:rPr>
        <w:t>五</w:t>
      </w:r>
      <w:r>
        <w:rPr>
          <w:rFonts w:hint="eastAsia" w:ascii="仿宋" w:hAnsi="仿宋" w:eastAsia="仿宋" w:cs="仿宋"/>
          <w:b/>
          <w:color w:val="auto"/>
          <w:sz w:val="30"/>
          <w:szCs w:val="30"/>
          <w:highlight w:val="none"/>
          <w:lang w:val="zh-CN"/>
        </w:rPr>
        <w:t>、</w:t>
      </w:r>
      <w:bookmarkStart w:id="588" w:name="_Toc152045807"/>
      <w:bookmarkEnd w:id="588"/>
      <w:bookmarkStart w:id="589" w:name="_Toc247514299"/>
      <w:bookmarkEnd w:id="589"/>
      <w:bookmarkStart w:id="590" w:name="_Toc247527847"/>
      <w:bookmarkEnd w:id="590"/>
      <w:bookmarkStart w:id="591" w:name="_Toc144974875"/>
      <w:bookmarkEnd w:id="591"/>
      <w:bookmarkStart w:id="592" w:name="_Toc152042596"/>
      <w:bookmarkEnd w:id="592"/>
      <w:r>
        <w:rPr>
          <w:rFonts w:hint="eastAsia" w:ascii="仿宋" w:hAnsi="仿宋" w:eastAsia="仿宋" w:cs="仿宋"/>
          <w:b/>
          <w:color w:val="auto"/>
          <w:sz w:val="30"/>
          <w:szCs w:val="30"/>
          <w:highlight w:val="none"/>
          <w:lang w:val="zh-CN"/>
        </w:rPr>
        <w:t>资格</w:t>
      </w:r>
      <w:bookmarkEnd w:id="579"/>
      <w:bookmarkEnd w:id="580"/>
      <w:bookmarkEnd w:id="581"/>
      <w:bookmarkEnd w:id="582"/>
      <w:r>
        <w:rPr>
          <w:rFonts w:hint="eastAsia" w:ascii="仿宋" w:hAnsi="仿宋" w:eastAsia="仿宋" w:cs="仿宋"/>
          <w:b/>
          <w:color w:val="auto"/>
          <w:sz w:val="30"/>
          <w:szCs w:val="30"/>
          <w:highlight w:val="none"/>
          <w:lang w:val="zh-CN" w:eastAsia="zh-CN"/>
        </w:rPr>
        <w:t>证明文件</w:t>
      </w:r>
      <w:bookmarkEnd w:id="583"/>
      <w:bookmarkEnd w:id="584"/>
      <w:bookmarkEnd w:id="585"/>
      <w:bookmarkEnd w:id="586"/>
      <w:bookmarkEnd w:id="587"/>
      <w:bookmarkStart w:id="593" w:name="_Toc247514300"/>
      <w:bookmarkEnd w:id="593"/>
      <w:bookmarkStart w:id="594" w:name="_Toc144974876"/>
      <w:bookmarkEnd w:id="594"/>
      <w:bookmarkStart w:id="595" w:name="_Toc247527848"/>
      <w:bookmarkEnd w:id="595"/>
      <w:bookmarkStart w:id="596" w:name="_Toc152045808"/>
      <w:bookmarkEnd w:id="596"/>
      <w:bookmarkStart w:id="597" w:name="_Toc152042597"/>
      <w:bookmarkEnd w:id="597"/>
      <w:bookmarkStart w:id="598" w:name="_Toc7020"/>
      <w:bookmarkStart w:id="599" w:name="_Toc13056_WPSOffice_Level2"/>
      <w:bookmarkStart w:id="600" w:name="_Toc31804_WPSOffice_Level2"/>
      <w:bookmarkStart w:id="601" w:name="_Toc9918"/>
      <w:bookmarkStart w:id="602" w:name="_Toc7716_WPSOffice_Level2"/>
      <w:bookmarkStart w:id="603" w:name="_Toc32361"/>
      <w:bookmarkStart w:id="604" w:name="_Toc494321544"/>
    </w:p>
    <w:p w14:paraId="7C618F48">
      <w:pPr>
        <w:pStyle w:val="4"/>
        <w:numPr>
          <w:ilvl w:val="0"/>
          <w:numId w:val="0"/>
        </w:numPr>
        <w:spacing w:line="240" w:lineRule="auto"/>
        <w:jc w:val="center"/>
        <w:rPr>
          <w:rFonts w:hint="eastAsia" w:ascii="仿宋" w:hAnsi="仿宋" w:eastAsia="仿宋" w:cs="仿宋"/>
          <w:b/>
          <w:bCs/>
          <w:color w:val="auto"/>
          <w:kern w:val="2"/>
          <w:sz w:val="24"/>
          <w:szCs w:val="24"/>
          <w:highlight w:val="none"/>
          <w:lang w:val="en-US" w:eastAsia="zh-CN" w:bidi="ar-SA"/>
        </w:rPr>
      </w:pPr>
      <w:bookmarkStart w:id="605" w:name="_Toc27065"/>
      <w:bookmarkStart w:id="606" w:name="_Toc27542"/>
      <w:bookmarkStart w:id="607" w:name="_Toc29146"/>
      <w:bookmarkStart w:id="608" w:name="_Toc3212"/>
      <w:r>
        <w:rPr>
          <w:rFonts w:hint="eastAsia" w:ascii="仿宋" w:hAnsi="仿宋" w:eastAsia="仿宋" w:cs="仿宋"/>
          <w:color w:val="auto"/>
          <w:sz w:val="24"/>
          <w:szCs w:val="24"/>
          <w:highlight w:val="none"/>
        </w:rPr>
        <w:t>（一）</w:t>
      </w:r>
      <w:r>
        <w:rPr>
          <w:rFonts w:hint="eastAsia" w:ascii="仿宋" w:hAnsi="仿宋" w:eastAsia="仿宋" w:cs="仿宋"/>
          <w:b/>
          <w:bCs/>
          <w:color w:val="auto"/>
          <w:kern w:val="2"/>
          <w:sz w:val="24"/>
          <w:szCs w:val="24"/>
          <w:highlight w:val="none"/>
          <w:lang w:val="en-US" w:eastAsia="zh-CN" w:bidi="ar-SA"/>
        </w:rPr>
        <w:t>资格承诺声明函</w:t>
      </w:r>
    </w:p>
    <w:p w14:paraId="19F63078">
      <w:pPr>
        <w:keepNext w:val="0"/>
        <w:keepLines w:val="0"/>
        <w:pageBreakBefore w:val="0"/>
        <w:widowControl w:val="0"/>
        <w:kinsoku w:val="0"/>
        <w:wordWrap/>
        <w:overflowPunct/>
        <w:topLinePunct w:val="0"/>
        <w:autoSpaceDE w:val="0"/>
        <w:autoSpaceDN w:val="0"/>
        <w:bidi w:val="0"/>
        <w:adjustRightInd w:val="0"/>
        <w:snapToGrid/>
        <w:spacing w:line="460" w:lineRule="exac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lang w:bidi="zh-CN"/>
        </w:rPr>
        <w:t xml:space="preserve">           </w:t>
      </w:r>
      <w:r>
        <w:rPr>
          <w:rFonts w:hint="eastAsia" w:ascii="仿宋" w:hAnsi="仿宋" w:eastAsia="仿宋" w:cs="仿宋"/>
          <w:color w:val="auto"/>
          <w:sz w:val="24"/>
          <w:szCs w:val="24"/>
          <w:lang w:bidi="zh-CN"/>
        </w:rPr>
        <w:t>（采购人名称）：</w:t>
      </w:r>
    </w:p>
    <w:p w14:paraId="67406C1E">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我单位自愿参加本次政府采购活动，严格遵守《中华人民共和国政府采购法》及相关法律法规，依法诚信经营，依法遵守本次政府采购活动的各项规定。我单位郑重承诺声明如下：</w:t>
      </w:r>
    </w:p>
    <w:p w14:paraId="0F69920A">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一、我单位全称为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，注册地点为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，统一社会信用代码为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，法定代表人（单位负责人）为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，联系方式为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0DF32F6D">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二、我单位具有独立承担民事责任的能力。</w:t>
      </w:r>
    </w:p>
    <w:p w14:paraId="68384674">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三、我单位具有良好的商业信誉和健全的财务会计制度。</w:t>
      </w:r>
    </w:p>
    <w:p w14:paraId="6EDAD5E1">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四、我单位具有履行合同所必需的设备和专业技术能力。</w:t>
      </w:r>
    </w:p>
    <w:p w14:paraId="4B6E3310">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五、我单位有依法缴纳税收和社会保障资金的良好记录。</w:t>
      </w:r>
    </w:p>
    <w:p w14:paraId="49B7FBB2">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六、我单位参加政府采购活动前三年内，在经营活动中没有重大违法记录。（重大违法记录，是指供应商因违法经营受到刑事处罚或者责令停产停业、吊销许可证或者执照、较大数额罚款等行政处罚。）</w:t>
      </w:r>
    </w:p>
    <w:p w14:paraId="17AAA47F">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七、我单位具备法律、行政法规规定的其他条件。</w:t>
      </w:r>
    </w:p>
    <w:p w14:paraId="3492B3CA">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我单位保证上述声明的事项都是真实的，符合《中华人民共和国政府采购法》规定的供应商资格条件。如有弄虚作假，我单位愿意按照“提供虚假材料谋取中标、成交”承担相应的法律责任，同意将违背承诺行为作为失信行为记录到社会信用信息平台，并承担因此所造成的一切损失。</w:t>
      </w:r>
    </w:p>
    <w:p w14:paraId="72D7D49D">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084C945D">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 xml:space="preserve">                  承诺单位（盖单位公章）：</w:t>
      </w:r>
    </w:p>
    <w:p w14:paraId="4DB48210">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 xml:space="preserve">                  法定代表人或授权代表（签字或盖章）：</w:t>
      </w:r>
    </w:p>
    <w:p w14:paraId="1434A1F7">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    年   月   日</w:t>
      </w:r>
    </w:p>
    <w:p w14:paraId="3DAF8A3C">
      <w:pPr>
        <w:keepNext w:val="0"/>
        <w:keepLines w:val="0"/>
        <w:pageBreakBefore w:val="0"/>
        <w:widowControl w:val="0"/>
        <w:kinsoku w:val="0"/>
        <w:wordWrap/>
        <w:overflowPunct/>
        <w:topLinePunct w:val="0"/>
        <w:autoSpaceDE w:val="0"/>
        <w:autoSpaceDN w:val="0"/>
        <w:bidi w:val="0"/>
        <w:adjustRightInd w:val="0"/>
        <w:snapToGrid/>
        <w:spacing w:line="460" w:lineRule="exac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注：1</w:t>
      </w:r>
      <w:r>
        <w:rPr>
          <w:rFonts w:hint="eastAsia" w:ascii="仿宋" w:hAnsi="仿宋" w:eastAsia="仿宋" w:cs="仿宋"/>
          <w:b/>
          <w:bCs/>
          <w:color w:val="auto"/>
          <w:sz w:val="24"/>
          <w:szCs w:val="24"/>
        </w:rPr>
        <w:t>.</w:t>
      </w:r>
      <w:r>
        <w:rPr>
          <w:rFonts w:hint="eastAsia" w:ascii="仿宋" w:hAnsi="仿宋" w:eastAsia="仿宋" w:cs="仿宋"/>
          <w:color w:val="auto"/>
          <w:sz w:val="24"/>
          <w:szCs w:val="24"/>
        </w:rPr>
        <w:t>供应商须在响应文件中按此模板提供承诺函，未提供视为未实质性响应磋商文件要求，按无效投标处理。</w:t>
      </w:r>
    </w:p>
    <w:p w14:paraId="0CC20B16">
      <w:pPr>
        <w:keepNext w:val="0"/>
        <w:keepLines w:val="0"/>
        <w:pageBreakBefore w:val="0"/>
        <w:widowControl w:val="0"/>
        <w:numPr>
          <w:ilvl w:val="0"/>
          <w:numId w:val="0"/>
        </w:numPr>
        <w:kinsoku w:val="0"/>
        <w:wordWrap/>
        <w:overflowPunct/>
        <w:topLinePunct w:val="0"/>
        <w:autoSpaceDE w:val="0"/>
        <w:autoSpaceDN w:val="0"/>
        <w:bidi w:val="0"/>
        <w:adjustRightInd w:val="0"/>
        <w:snapToGrid/>
        <w:spacing w:line="460" w:lineRule="exact"/>
        <w:textAlignment w:val="baseline"/>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24"/>
          <w:szCs w:val="24"/>
        </w:rPr>
        <w:t>供应商的法定代表人或者授权代表的签字或盖章应真实、有效。</w:t>
      </w:r>
    </w:p>
    <w:p w14:paraId="0931590A">
      <w:pPr>
        <w:pStyle w:val="4"/>
        <w:spacing w:line="360" w:lineRule="auto"/>
        <w:jc w:val="center"/>
        <w:rPr>
          <w:rFonts w:hint="eastAsia" w:ascii="仿宋" w:hAnsi="仿宋" w:eastAsia="仿宋" w:cs="仿宋"/>
          <w:color w:val="auto"/>
          <w:sz w:val="24"/>
          <w:szCs w:val="24"/>
          <w:highlight w:val="none"/>
        </w:rPr>
      </w:pPr>
    </w:p>
    <w:p w14:paraId="216FA6F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3C1A4F7">
      <w:pPr>
        <w:pStyle w:val="4"/>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基本情况表</w:t>
      </w:r>
      <w:bookmarkEnd w:id="598"/>
      <w:bookmarkEnd w:id="599"/>
      <w:bookmarkEnd w:id="600"/>
      <w:bookmarkEnd w:id="601"/>
      <w:bookmarkEnd w:id="602"/>
      <w:bookmarkEnd w:id="603"/>
      <w:bookmarkEnd w:id="604"/>
      <w:bookmarkEnd w:id="605"/>
      <w:bookmarkEnd w:id="606"/>
      <w:bookmarkEnd w:id="607"/>
      <w:bookmarkEnd w:id="608"/>
    </w:p>
    <w:tbl>
      <w:tblPr>
        <w:tblStyle w:val="27"/>
        <w:tblW w:w="8959" w:type="dxa"/>
        <w:jc w:val="center"/>
        <w:tblLayout w:type="fixed"/>
        <w:tblCellMar>
          <w:top w:w="0" w:type="dxa"/>
          <w:left w:w="108" w:type="dxa"/>
          <w:bottom w:w="0" w:type="dxa"/>
          <w:right w:w="108" w:type="dxa"/>
        </w:tblCellMar>
      </w:tblPr>
      <w:tblGrid>
        <w:gridCol w:w="1806"/>
        <w:gridCol w:w="939"/>
        <w:gridCol w:w="994"/>
        <w:gridCol w:w="878"/>
        <w:gridCol w:w="439"/>
        <w:gridCol w:w="326"/>
        <w:gridCol w:w="1269"/>
        <w:gridCol w:w="370"/>
        <w:gridCol w:w="899"/>
        <w:gridCol w:w="1039"/>
      </w:tblGrid>
      <w:tr w14:paraId="58F53B62">
        <w:tblPrEx>
          <w:tblCellMar>
            <w:top w:w="0" w:type="dxa"/>
            <w:left w:w="108" w:type="dxa"/>
            <w:bottom w:w="0" w:type="dxa"/>
            <w:right w:w="108" w:type="dxa"/>
          </w:tblCellMar>
        </w:tblPrEx>
        <w:trPr>
          <w:trHeight w:val="665" w:hRule="atLeast"/>
          <w:jc w:val="center"/>
        </w:trPr>
        <w:tc>
          <w:tcPr>
            <w:tcW w:w="1806" w:type="dxa"/>
            <w:tcBorders>
              <w:top w:val="single" w:color="auto" w:sz="4" w:space="0"/>
              <w:left w:val="single" w:color="auto" w:sz="4" w:space="0"/>
              <w:bottom w:val="single" w:color="auto" w:sz="4" w:space="0"/>
              <w:right w:val="single" w:color="auto" w:sz="4" w:space="0"/>
            </w:tcBorders>
            <w:noWrap w:val="0"/>
            <w:vAlign w:val="center"/>
          </w:tcPr>
          <w:p w14:paraId="61AAE709">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7153" w:type="dxa"/>
            <w:gridSpan w:val="9"/>
            <w:tcBorders>
              <w:top w:val="single" w:color="auto" w:sz="4" w:space="0"/>
              <w:left w:val="nil"/>
              <w:bottom w:val="single" w:color="auto" w:sz="4" w:space="0"/>
              <w:right w:val="single" w:color="auto" w:sz="4" w:space="0"/>
            </w:tcBorders>
            <w:noWrap w:val="0"/>
            <w:vAlign w:val="center"/>
          </w:tcPr>
          <w:p w14:paraId="5995704B">
            <w:pPr>
              <w:topLinePunct/>
              <w:spacing w:line="360" w:lineRule="auto"/>
              <w:jc w:val="center"/>
              <w:rPr>
                <w:rFonts w:hint="eastAsia" w:ascii="仿宋" w:hAnsi="仿宋" w:eastAsia="仿宋" w:cs="仿宋"/>
                <w:color w:val="auto"/>
                <w:sz w:val="24"/>
                <w:szCs w:val="24"/>
                <w:highlight w:val="none"/>
              </w:rPr>
            </w:pPr>
          </w:p>
        </w:tc>
      </w:tr>
      <w:tr w14:paraId="4249351C">
        <w:tblPrEx>
          <w:tblCellMar>
            <w:top w:w="0" w:type="dxa"/>
            <w:left w:w="108" w:type="dxa"/>
            <w:bottom w:w="0" w:type="dxa"/>
            <w:right w:w="108" w:type="dxa"/>
          </w:tblCellMar>
        </w:tblPrEx>
        <w:trPr>
          <w:trHeight w:val="721" w:hRule="atLeast"/>
          <w:jc w:val="center"/>
        </w:trPr>
        <w:tc>
          <w:tcPr>
            <w:tcW w:w="1806" w:type="dxa"/>
            <w:tcBorders>
              <w:top w:val="single" w:color="auto" w:sz="4" w:space="0"/>
              <w:left w:val="single" w:color="auto" w:sz="4" w:space="0"/>
              <w:bottom w:val="single" w:color="auto" w:sz="4" w:space="0"/>
              <w:right w:val="single" w:color="auto" w:sz="4" w:space="0"/>
            </w:tcBorders>
            <w:noWrap w:val="0"/>
            <w:vAlign w:val="center"/>
          </w:tcPr>
          <w:p w14:paraId="1A953D67">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576" w:type="dxa"/>
            <w:gridSpan w:val="5"/>
            <w:tcBorders>
              <w:top w:val="single" w:color="auto" w:sz="4" w:space="0"/>
              <w:left w:val="nil"/>
              <w:bottom w:val="single" w:color="auto" w:sz="4" w:space="0"/>
              <w:right w:val="single" w:color="auto" w:sz="4" w:space="0"/>
            </w:tcBorders>
            <w:noWrap w:val="0"/>
            <w:vAlign w:val="center"/>
          </w:tcPr>
          <w:p w14:paraId="673D77B8">
            <w:pPr>
              <w:topLinePunct/>
              <w:spacing w:line="360" w:lineRule="auto"/>
              <w:jc w:val="center"/>
              <w:rPr>
                <w:rFonts w:hint="eastAsia" w:ascii="仿宋" w:hAnsi="仿宋" w:eastAsia="仿宋" w:cs="仿宋"/>
                <w:color w:val="auto"/>
                <w:sz w:val="24"/>
                <w:szCs w:val="24"/>
                <w:highlight w:val="none"/>
              </w:rPr>
            </w:pPr>
          </w:p>
        </w:tc>
        <w:tc>
          <w:tcPr>
            <w:tcW w:w="1269" w:type="dxa"/>
            <w:tcBorders>
              <w:top w:val="single" w:color="auto" w:sz="4" w:space="0"/>
              <w:left w:val="nil"/>
              <w:bottom w:val="single" w:color="auto" w:sz="4" w:space="0"/>
              <w:right w:val="single" w:color="auto" w:sz="4" w:space="0"/>
            </w:tcBorders>
            <w:noWrap w:val="0"/>
            <w:vAlign w:val="center"/>
          </w:tcPr>
          <w:p w14:paraId="70229BE9">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308" w:type="dxa"/>
            <w:gridSpan w:val="3"/>
            <w:tcBorders>
              <w:top w:val="single" w:color="auto" w:sz="4" w:space="0"/>
              <w:left w:val="nil"/>
              <w:bottom w:val="single" w:color="auto" w:sz="4" w:space="0"/>
              <w:right w:val="single" w:color="auto" w:sz="4" w:space="0"/>
            </w:tcBorders>
            <w:noWrap w:val="0"/>
            <w:vAlign w:val="center"/>
          </w:tcPr>
          <w:p w14:paraId="33EA88E3">
            <w:pPr>
              <w:topLinePunct/>
              <w:spacing w:line="360" w:lineRule="auto"/>
              <w:jc w:val="center"/>
              <w:rPr>
                <w:rFonts w:hint="eastAsia" w:ascii="仿宋" w:hAnsi="仿宋" w:eastAsia="仿宋" w:cs="仿宋"/>
                <w:color w:val="auto"/>
                <w:sz w:val="24"/>
                <w:szCs w:val="24"/>
                <w:highlight w:val="none"/>
              </w:rPr>
            </w:pPr>
          </w:p>
        </w:tc>
      </w:tr>
      <w:tr w14:paraId="5BA2A121">
        <w:tblPrEx>
          <w:tblCellMar>
            <w:top w:w="0" w:type="dxa"/>
            <w:left w:w="108" w:type="dxa"/>
            <w:bottom w:w="0" w:type="dxa"/>
            <w:right w:w="108" w:type="dxa"/>
          </w:tblCellMar>
        </w:tblPrEx>
        <w:trPr>
          <w:cantSplit/>
          <w:trHeight w:val="714" w:hRule="atLeast"/>
          <w:jc w:val="center"/>
        </w:trPr>
        <w:tc>
          <w:tcPr>
            <w:tcW w:w="1806" w:type="dxa"/>
            <w:vMerge w:val="restart"/>
            <w:tcBorders>
              <w:top w:val="nil"/>
              <w:left w:val="single" w:color="auto" w:sz="4" w:space="0"/>
              <w:bottom w:val="single" w:color="auto" w:sz="4" w:space="0"/>
              <w:right w:val="single" w:color="auto" w:sz="4" w:space="0"/>
            </w:tcBorders>
            <w:noWrap w:val="0"/>
            <w:vAlign w:val="center"/>
          </w:tcPr>
          <w:p w14:paraId="22A6AF1E">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939" w:type="dxa"/>
            <w:tcBorders>
              <w:top w:val="single" w:color="auto" w:sz="4" w:space="0"/>
              <w:left w:val="nil"/>
              <w:bottom w:val="single" w:color="auto" w:sz="4" w:space="0"/>
              <w:right w:val="single" w:color="auto" w:sz="4" w:space="0"/>
            </w:tcBorders>
            <w:noWrap w:val="0"/>
            <w:vAlign w:val="center"/>
          </w:tcPr>
          <w:p w14:paraId="7F4BA2C3">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637" w:type="dxa"/>
            <w:gridSpan w:val="4"/>
            <w:tcBorders>
              <w:top w:val="single" w:color="auto" w:sz="4" w:space="0"/>
              <w:left w:val="nil"/>
              <w:bottom w:val="single" w:color="auto" w:sz="4" w:space="0"/>
              <w:right w:val="single" w:color="auto" w:sz="4" w:space="0"/>
            </w:tcBorders>
            <w:noWrap w:val="0"/>
            <w:vAlign w:val="center"/>
          </w:tcPr>
          <w:p w14:paraId="5FB4A449">
            <w:pPr>
              <w:topLinePunct/>
              <w:spacing w:line="360" w:lineRule="auto"/>
              <w:jc w:val="center"/>
              <w:rPr>
                <w:rFonts w:hint="eastAsia" w:ascii="仿宋" w:hAnsi="仿宋" w:eastAsia="仿宋" w:cs="仿宋"/>
                <w:color w:val="auto"/>
                <w:sz w:val="24"/>
                <w:szCs w:val="24"/>
                <w:highlight w:val="none"/>
              </w:rPr>
            </w:pPr>
          </w:p>
        </w:tc>
        <w:tc>
          <w:tcPr>
            <w:tcW w:w="1269" w:type="dxa"/>
            <w:tcBorders>
              <w:top w:val="single" w:color="auto" w:sz="4" w:space="0"/>
              <w:left w:val="nil"/>
              <w:bottom w:val="single" w:color="auto" w:sz="4" w:space="0"/>
              <w:right w:val="single" w:color="auto" w:sz="4" w:space="0"/>
            </w:tcBorders>
            <w:noWrap w:val="0"/>
            <w:vAlign w:val="center"/>
          </w:tcPr>
          <w:p w14:paraId="72804D1F">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2308" w:type="dxa"/>
            <w:gridSpan w:val="3"/>
            <w:tcBorders>
              <w:top w:val="single" w:color="auto" w:sz="4" w:space="0"/>
              <w:left w:val="nil"/>
              <w:bottom w:val="single" w:color="auto" w:sz="4" w:space="0"/>
              <w:right w:val="single" w:color="auto" w:sz="4" w:space="0"/>
            </w:tcBorders>
            <w:noWrap w:val="0"/>
            <w:vAlign w:val="center"/>
          </w:tcPr>
          <w:p w14:paraId="54B92C97">
            <w:pPr>
              <w:topLinePunct/>
              <w:spacing w:line="360" w:lineRule="auto"/>
              <w:jc w:val="center"/>
              <w:rPr>
                <w:rFonts w:hint="eastAsia" w:ascii="仿宋" w:hAnsi="仿宋" w:eastAsia="仿宋" w:cs="仿宋"/>
                <w:color w:val="auto"/>
                <w:sz w:val="24"/>
                <w:szCs w:val="24"/>
                <w:highlight w:val="none"/>
              </w:rPr>
            </w:pPr>
          </w:p>
        </w:tc>
      </w:tr>
      <w:tr w14:paraId="096FBABE">
        <w:tblPrEx>
          <w:tblCellMar>
            <w:top w:w="0" w:type="dxa"/>
            <w:left w:w="108" w:type="dxa"/>
            <w:bottom w:w="0" w:type="dxa"/>
            <w:right w:w="108" w:type="dxa"/>
          </w:tblCellMar>
        </w:tblPrEx>
        <w:trPr>
          <w:cantSplit/>
          <w:trHeight w:val="723" w:hRule="atLeast"/>
          <w:jc w:val="center"/>
        </w:trPr>
        <w:tc>
          <w:tcPr>
            <w:tcW w:w="1806" w:type="dxa"/>
            <w:vMerge w:val="continue"/>
            <w:tcBorders>
              <w:top w:val="nil"/>
              <w:left w:val="single" w:color="auto" w:sz="4" w:space="0"/>
              <w:bottom w:val="single" w:color="auto" w:sz="4" w:space="0"/>
              <w:right w:val="single" w:color="auto" w:sz="4" w:space="0"/>
            </w:tcBorders>
            <w:noWrap w:val="0"/>
            <w:vAlign w:val="center"/>
          </w:tcPr>
          <w:p w14:paraId="57D3237F">
            <w:pPr>
              <w:widowControl/>
              <w:spacing w:line="360" w:lineRule="auto"/>
              <w:jc w:val="left"/>
              <w:rPr>
                <w:rFonts w:hint="eastAsia" w:ascii="仿宋" w:hAnsi="仿宋" w:eastAsia="仿宋" w:cs="仿宋"/>
                <w:color w:val="auto"/>
                <w:sz w:val="24"/>
                <w:szCs w:val="24"/>
                <w:highlight w:val="none"/>
              </w:rPr>
            </w:pPr>
          </w:p>
        </w:tc>
        <w:tc>
          <w:tcPr>
            <w:tcW w:w="939" w:type="dxa"/>
            <w:tcBorders>
              <w:top w:val="single" w:color="auto" w:sz="4" w:space="0"/>
              <w:left w:val="nil"/>
              <w:bottom w:val="single" w:color="auto" w:sz="4" w:space="0"/>
              <w:right w:val="single" w:color="auto" w:sz="4" w:space="0"/>
            </w:tcBorders>
            <w:noWrap w:val="0"/>
            <w:vAlign w:val="center"/>
          </w:tcPr>
          <w:p w14:paraId="5C16C9F2">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tc>
        <w:tc>
          <w:tcPr>
            <w:tcW w:w="2637" w:type="dxa"/>
            <w:gridSpan w:val="4"/>
            <w:tcBorders>
              <w:top w:val="single" w:color="auto" w:sz="4" w:space="0"/>
              <w:left w:val="nil"/>
              <w:bottom w:val="single" w:color="auto" w:sz="4" w:space="0"/>
              <w:right w:val="single" w:color="auto" w:sz="4" w:space="0"/>
            </w:tcBorders>
            <w:noWrap w:val="0"/>
            <w:vAlign w:val="center"/>
          </w:tcPr>
          <w:p w14:paraId="099ACEAB">
            <w:pPr>
              <w:topLinePunct/>
              <w:spacing w:line="360" w:lineRule="auto"/>
              <w:jc w:val="center"/>
              <w:rPr>
                <w:rFonts w:hint="eastAsia" w:ascii="仿宋" w:hAnsi="仿宋" w:eastAsia="仿宋" w:cs="仿宋"/>
                <w:color w:val="auto"/>
                <w:sz w:val="24"/>
                <w:szCs w:val="24"/>
                <w:highlight w:val="none"/>
              </w:rPr>
            </w:pPr>
          </w:p>
        </w:tc>
        <w:tc>
          <w:tcPr>
            <w:tcW w:w="1269" w:type="dxa"/>
            <w:tcBorders>
              <w:top w:val="single" w:color="auto" w:sz="4" w:space="0"/>
              <w:left w:val="nil"/>
              <w:bottom w:val="single" w:color="auto" w:sz="4" w:space="0"/>
              <w:right w:val="single" w:color="auto" w:sz="4" w:space="0"/>
            </w:tcBorders>
            <w:noWrap w:val="0"/>
            <w:vAlign w:val="center"/>
          </w:tcPr>
          <w:p w14:paraId="6FEB5160">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 址</w:t>
            </w:r>
          </w:p>
        </w:tc>
        <w:tc>
          <w:tcPr>
            <w:tcW w:w="2308" w:type="dxa"/>
            <w:gridSpan w:val="3"/>
            <w:tcBorders>
              <w:top w:val="single" w:color="auto" w:sz="4" w:space="0"/>
              <w:left w:val="nil"/>
              <w:bottom w:val="single" w:color="auto" w:sz="4" w:space="0"/>
              <w:right w:val="single" w:color="auto" w:sz="4" w:space="0"/>
            </w:tcBorders>
            <w:noWrap w:val="0"/>
            <w:vAlign w:val="center"/>
          </w:tcPr>
          <w:p w14:paraId="338BC934">
            <w:pPr>
              <w:topLinePunct/>
              <w:spacing w:line="360" w:lineRule="auto"/>
              <w:jc w:val="center"/>
              <w:rPr>
                <w:rFonts w:hint="eastAsia" w:ascii="仿宋" w:hAnsi="仿宋" w:eastAsia="仿宋" w:cs="仿宋"/>
                <w:color w:val="auto"/>
                <w:sz w:val="24"/>
                <w:szCs w:val="24"/>
                <w:highlight w:val="none"/>
              </w:rPr>
            </w:pPr>
          </w:p>
        </w:tc>
      </w:tr>
      <w:tr w14:paraId="5710C3E0">
        <w:tblPrEx>
          <w:tblCellMar>
            <w:top w:w="0" w:type="dxa"/>
            <w:left w:w="108" w:type="dxa"/>
            <w:bottom w:w="0" w:type="dxa"/>
            <w:right w:w="108" w:type="dxa"/>
          </w:tblCellMar>
        </w:tblPrEx>
        <w:trPr>
          <w:trHeight w:val="725" w:hRule="atLeast"/>
          <w:jc w:val="center"/>
        </w:trPr>
        <w:tc>
          <w:tcPr>
            <w:tcW w:w="1806" w:type="dxa"/>
            <w:tcBorders>
              <w:top w:val="single" w:color="auto" w:sz="4" w:space="0"/>
              <w:left w:val="single" w:color="auto" w:sz="4" w:space="0"/>
              <w:bottom w:val="single" w:color="auto" w:sz="4" w:space="0"/>
              <w:right w:val="single" w:color="auto" w:sz="4" w:space="0"/>
            </w:tcBorders>
            <w:noWrap w:val="0"/>
            <w:vAlign w:val="center"/>
          </w:tcPr>
          <w:p w14:paraId="1867B393">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组织结构</w:t>
            </w:r>
          </w:p>
        </w:tc>
        <w:tc>
          <w:tcPr>
            <w:tcW w:w="7153" w:type="dxa"/>
            <w:gridSpan w:val="9"/>
            <w:tcBorders>
              <w:top w:val="single" w:color="auto" w:sz="4" w:space="0"/>
              <w:left w:val="nil"/>
              <w:bottom w:val="single" w:color="auto" w:sz="4" w:space="0"/>
              <w:right w:val="single" w:color="auto" w:sz="4" w:space="0"/>
            </w:tcBorders>
            <w:noWrap w:val="0"/>
            <w:vAlign w:val="center"/>
          </w:tcPr>
          <w:p w14:paraId="5EF5801E">
            <w:pPr>
              <w:topLinePunct/>
              <w:spacing w:line="360" w:lineRule="auto"/>
              <w:jc w:val="center"/>
              <w:rPr>
                <w:rFonts w:hint="eastAsia" w:ascii="仿宋" w:hAnsi="仿宋" w:eastAsia="仿宋" w:cs="仿宋"/>
                <w:color w:val="auto"/>
                <w:sz w:val="24"/>
                <w:szCs w:val="24"/>
                <w:highlight w:val="none"/>
              </w:rPr>
            </w:pPr>
          </w:p>
        </w:tc>
      </w:tr>
      <w:tr w14:paraId="34AAD63E">
        <w:tblPrEx>
          <w:tblCellMar>
            <w:top w:w="0" w:type="dxa"/>
            <w:left w:w="108" w:type="dxa"/>
            <w:bottom w:w="0" w:type="dxa"/>
            <w:right w:w="108" w:type="dxa"/>
          </w:tblCellMar>
        </w:tblPrEx>
        <w:trPr>
          <w:trHeight w:val="718" w:hRule="atLeast"/>
          <w:jc w:val="center"/>
        </w:trPr>
        <w:tc>
          <w:tcPr>
            <w:tcW w:w="1806" w:type="dxa"/>
            <w:tcBorders>
              <w:top w:val="single" w:color="auto" w:sz="4" w:space="0"/>
              <w:left w:val="single" w:color="auto" w:sz="4" w:space="0"/>
              <w:bottom w:val="single" w:color="auto" w:sz="4" w:space="0"/>
              <w:right w:val="single" w:color="auto" w:sz="4" w:space="0"/>
            </w:tcBorders>
            <w:noWrap w:val="0"/>
            <w:vAlign w:val="center"/>
          </w:tcPr>
          <w:p w14:paraId="6C9899D0">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939" w:type="dxa"/>
            <w:tcBorders>
              <w:top w:val="single" w:color="auto" w:sz="4" w:space="0"/>
              <w:left w:val="nil"/>
              <w:bottom w:val="single" w:color="auto" w:sz="4" w:space="0"/>
              <w:right w:val="single" w:color="auto" w:sz="4" w:space="0"/>
            </w:tcBorders>
            <w:noWrap w:val="0"/>
            <w:vAlign w:val="center"/>
          </w:tcPr>
          <w:p w14:paraId="3DB0B314">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94" w:type="dxa"/>
            <w:tcBorders>
              <w:top w:val="single" w:color="auto" w:sz="4" w:space="0"/>
              <w:left w:val="nil"/>
              <w:bottom w:val="single" w:color="auto" w:sz="4" w:space="0"/>
              <w:right w:val="single" w:color="auto" w:sz="4" w:space="0"/>
            </w:tcBorders>
            <w:noWrap w:val="0"/>
            <w:vAlign w:val="center"/>
          </w:tcPr>
          <w:p w14:paraId="24228546">
            <w:pPr>
              <w:topLinePunct/>
              <w:spacing w:line="360" w:lineRule="auto"/>
              <w:jc w:val="center"/>
              <w:rPr>
                <w:rFonts w:hint="eastAsia" w:ascii="仿宋" w:hAnsi="仿宋" w:eastAsia="仿宋" w:cs="仿宋"/>
                <w:color w:val="auto"/>
                <w:sz w:val="24"/>
                <w:szCs w:val="24"/>
                <w:highlight w:val="none"/>
              </w:rPr>
            </w:pPr>
          </w:p>
        </w:tc>
        <w:tc>
          <w:tcPr>
            <w:tcW w:w="1317" w:type="dxa"/>
            <w:gridSpan w:val="2"/>
            <w:tcBorders>
              <w:top w:val="single" w:color="auto" w:sz="4" w:space="0"/>
              <w:left w:val="nil"/>
              <w:bottom w:val="single" w:color="auto" w:sz="4" w:space="0"/>
              <w:right w:val="single" w:color="auto" w:sz="4" w:space="0"/>
            </w:tcBorders>
            <w:noWrap w:val="0"/>
            <w:vAlign w:val="center"/>
          </w:tcPr>
          <w:p w14:paraId="3AD8567C">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965" w:type="dxa"/>
            <w:gridSpan w:val="3"/>
            <w:tcBorders>
              <w:top w:val="single" w:color="auto" w:sz="4" w:space="0"/>
              <w:left w:val="nil"/>
              <w:bottom w:val="single" w:color="auto" w:sz="4" w:space="0"/>
              <w:right w:val="single" w:color="auto" w:sz="4" w:space="0"/>
            </w:tcBorders>
            <w:noWrap w:val="0"/>
            <w:vAlign w:val="center"/>
          </w:tcPr>
          <w:p w14:paraId="40720CB7">
            <w:pPr>
              <w:topLinePunct/>
              <w:spacing w:line="360" w:lineRule="auto"/>
              <w:jc w:val="center"/>
              <w:rPr>
                <w:rFonts w:hint="eastAsia" w:ascii="仿宋" w:hAnsi="仿宋" w:eastAsia="仿宋" w:cs="仿宋"/>
                <w:color w:val="auto"/>
                <w:sz w:val="24"/>
                <w:szCs w:val="24"/>
                <w:highlight w:val="none"/>
              </w:rPr>
            </w:pPr>
          </w:p>
        </w:tc>
        <w:tc>
          <w:tcPr>
            <w:tcW w:w="899" w:type="dxa"/>
            <w:tcBorders>
              <w:top w:val="single" w:color="auto" w:sz="4" w:space="0"/>
              <w:left w:val="nil"/>
              <w:bottom w:val="single" w:color="auto" w:sz="4" w:space="0"/>
              <w:right w:val="single" w:color="auto" w:sz="4" w:space="0"/>
            </w:tcBorders>
            <w:noWrap w:val="0"/>
            <w:vAlign w:val="center"/>
          </w:tcPr>
          <w:p w14:paraId="17146FD0">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039" w:type="dxa"/>
            <w:tcBorders>
              <w:top w:val="single" w:color="auto" w:sz="4" w:space="0"/>
              <w:left w:val="nil"/>
              <w:bottom w:val="single" w:color="auto" w:sz="4" w:space="0"/>
              <w:right w:val="single" w:color="auto" w:sz="4" w:space="0"/>
            </w:tcBorders>
            <w:noWrap w:val="0"/>
            <w:vAlign w:val="center"/>
          </w:tcPr>
          <w:p w14:paraId="135D2CBF">
            <w:pPr>
              <w:topLinePunct/>
              <w:spacing w:line="360" w:lineRule="auto"/>
              <w:jc w:val="center"/>
              <w:rPr>
                <w:rFonts w:hint="eastAsia" w:ascii="仿宋" w:hAnsi="仿宋" w:eastAsia="仿宋" w:cs="仿宋"/>
                <w:color w:val="auto"/>
                <w:sz w:val="24"/>
                <w:szCs w:val="24"/>
                <w:highlight w:val="none"/>
              </w:rPr>
            </w:pPr>
          </w:p>
        </w:tc>
      </w:tr>
      <w:tr w14:paraId="19FEFF3E">
        <w:tblPrEx>
          <w:tblCellMar>
            <w:top w:w="0" w:type="dxa"/>
            <w:left w:w="108" w:type="dxa"/>
            <w:bottom w:w="0" w:type="dxa"/>
            <w:right w:w="108" w:type="dxa"/>
          </w:tblCellMar>
        </w:tblPrEx>
        <w:trPr>
          <w:trHeight w:val="711" w:hRule="atLeast"/>
          <w:jc w:val="center"/>
        </w:trPr>
        <w:tc>
          <w:tcPr>
            <w:tcW w:w="1806" w:type="dxa"/>
            <w:tcBorders>
              <w:top w:val="single" w:color="auto" w:sz="4" w:space="0"/>
              <w:left w:val="single" w:color="auto" w:sz="4" w:space="0"/>
              <w:bottom w:val="single" w:color="auto" w:sz="4" w:space="0"/>
              <w:right w:val="single" w:color="auto" w:sz="4" w:space="0"/>
            </w:tcBorders>
            <w:noWrap w:val="0"/>
            <w:vAlign w:val="center"/>
          </w:tcPr>
          <w:p w14:paraId="03089CFB">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939" w:type="dxa"/>
            <w:tcBorders>
              <w:top w:val="single" w:color="auto" w:sz="4" w:space="0"/>
              <w:left w:val="nil"/>
              <w:bottom w:val="single" w:color="auto" w:sz="4" w:space="0"/>
              <w:right w:val="single" w:color="auto" w:sz="4" w:space="0"/>
            </w:tcBorders>
            <w:noWrap w:val="0"/>
            <w:vAlign w:val="center"/>
          </w:tcPr>
          <w:p w14:paraId="2FDB3EFA">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94" w:type="dxa"/>
            <w:tcBorders>
              <w:top w:val="single" w:color="auto" w:sz="4" w:space="0"/>
              <w:left w:val="nil"/>
              <w:bottom w:val="single" w:color="auto" w:sz="4" w:space="0"/>
              <w:right w:val="single" w:color="auto" w:sz="4" w:space="0"/>
            </w:tcBorders>
            <w:noWrap w:val="0"/>
            <w:vAlign w:val="center"/>
          </w:tcPr>
          <w:p w14:paraId="5AE63370">
            <w:pPr>
              <w:topLinePunct/>
              <w:spacing w:line="360" w:lineRule="auto"/>
              <w:jc w:val="center"/>
              <w:rPr>
                <w:rFonts w:hint="eastAsia" w:ascii="仿宋" w:hAnsi="仿宋" w:eastAsia="仿宋" w:cs="仿宋"/>
                <w:color w:val="auto"/>
                <w:sz w:val="24"/>
                <w:szCs w:val="24"/>
                <w:highlight w:val="none"/>
              </w:rPr>
            </w:pPr>
          </w:p>
        </w:tc>
        <w:tc>
          <w:tcPr>
            <w:tcW w:w="1317" w:type="dxa"/>
            <w:gridSpan w:val="2"/>
            <w:tcBorders>
              <w:top w:val="single" w:color="auto" w:sz="4" w:space="0"/>
              <w:left w:val="nil"/>
              <w:bottom w:val="single" w:color="auto" w:sz="4" w:space="0"/>
              <w:right w:val="single" w:color="auto" w:sz="4" w:space="0"/>
            </w:tcBorders>
            <w:noWrap w:val="0"/>
            <w:vAlign w:val="center"/>
          </w:tcPr>
          <w:p w14:paraId="4165A5F8">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965" w:type="dxa"/>
            <w:gridSpan w:val="3"/>
            <w:tcBorders>
              <w:top w:val="single" w:color="auto" w:sz="4" w:space="0"/>
              <w:left w:val="nil"/>
              <w:bottom w:val="single" w:color="auto" w:sz="4" w:space="0"/>
              <w:right w:val="single" w:color="auto" w:sz="4" w:space="0"/>
            </w:tcBorders>
            <w:noWrap w:val="0"/>
            <w:vAlign w:val="center"/>
          </w:tcPr>
          <w:p w14:paraId="645D4A4C">
            <w:pPr>
              <w:topLinePunct/>
              <w:spacing w:line="360" w:lineRule="auto"/>
              <w:jc w:val="center"/>
              <w:rPr>
                <w:rFonts w:hint="eastAsia" w:ascii="仿宋" w:hAnsi="仿宋" w:eastAsia="仿宋" w:cs="仿宋"/>
                <w:color w:val="auto"/>
                <w:sz w:val="24"/>
                <w:szCs w:val="24"/>
                <w:highlight w:val="none"/>
              </w:rPr>
            </w:pPr>
          </w:p>
        </w:tc>
        <w:tc>
          <w:tcPr>
            <w:tcW w:w="899" w:type="dxa"/>
            <w:tcBorders>
              <w:top w:val="single" w:color="auto" w:sz="4" w:space="0"/>
              <w:left w:val="nil"/>
              <w:bottom w:val="single" w:color="auto" w:sz="4" w:space="0"/>
              <w:right w:val="single" w:color="auto" w:sz="4" w:space="0"/>
            </w:tcBorders>
            <w:noWrap w:val="0"/>
            <w:vAlign w:val="center"/>
          </w:tcPr>
          <w:p w14:paraId="0FBE54F0">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039" w:type="dxa"/>
            <w:tcBorders>
              <w:top w:val="single" w:color="auto" w:sz="4" w:space="0"/>
              <w:left w:val="nil"/>
              <w:bottom w:val="single" w:color="auto" w:sz="4" w:space="0"/>
              <w:right w:val="single" w:color="auto" w:sz="4" w:space="0"/>
            </w:tcBorders>
            <w:noWrap w:val="0"/>
            <w:vAlign w:val="center"/>
          </w:tcPr>
          <w:p w14:paraId="02B7CC2D">
            <w:pPr>
              <w:topLinePunct/>
              <w:spacing w:line="360" w:lineRule="auto"/>
              <w:jc w:val="center"/>
              <w:rPr>
                <w:rFonts w:hint="eastAsia" w:ascii="仿宋" w:hAnsi="仿宋" w:eastAsia="仿宋" w:cs="仿宋"/>
                <w:color w:val="auto"/>
                <w:sz w:val="24"/>
                <w:szCs w:val="24"/>
                <w:highlight w:val="none"/>
              </w:rPr>
            </w:pPr>
          </w:p>
        </w:tc>
      </w:tr>
      <w:tr w14:paraId="1A47DDC9">
        <w:tblPrEx>
          <w:tblCellMar>
            <w:top w:w="0" w:type="dxa"/>
            <w:left w:w="108" w:type="dxa"/>
            <w:bottom w:w="0" w:type="dxa"/>
            <w:right w:w="108" w:type="dxa"/>
          </w:tblCellMar>
        </w:tblPrEx>
        <w:trPr>
          <w:trHeight w:val="737" w:hRule="atLeast"/>
          <w:jc w:val="center"/>
        </w:trPr>
        <w:tc>
          <w:tcPr>
            <w:tcW w:w="1806" w:type="dxa"/>
            <w:tcBorders>
              <w:top w:val="single" w:color="auto" w:sz="4" w:space="0"/>
              <w:left w:val="single" w:color="auto" w:sz="4" w:space="0"/>
              <w:bottom w:val="single" w:color="auto" w:sz="4" w:space="0"/>
              <w:right w:val="single" w:color="auto" w:sz="4" w:space="0"/>
            </w:tcBorders>
            <w:noWrap w:val="0"/>
            <w:vAlign w:val="center"/>
          </w:tcPr>
          <w:p w14:paraId="08A79B2F">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1933" w:type="dxa"/>
            <w:gridSpan w:val="2"/>
            <w:tcBorders>
              <w:top w:val="single" w:color="auto" w:sz="4" w:space="0"/>
              <w:left w:val="nil"/>
              <w:bottom w:val="single" w:color="auto" w:sz="4" w:space="0"/>
              <w:right w:val="single" w:color="auto" w:sz="4" w:space="0"/>
            </w:tcBorders>
            <w:noWrap w:val="0"/>
            <w:vAlign w:val="center"/>
          </w:tcPr>
          <w:p w14:paraId="39BBC6FF">
            <w:pPr>
              <w:topLinePunct/>
              <w:spacing w:line="360" w:lineRule="auto"/>
              <w:jc w:val="center"/>
              <w:rPr>
                <w:rFonts w:hint="eastAsia" w:ascii="仿宋" w:hAnsi="仿宋" w:eastAsia="仿宋" w:cs="仿宋"/>
                <w:color w:val="auto"/>
                <w:sz w:val="24"/>
                <w:szCs w:val="24"/>
                <w:highlight w:val="none"/>
              </w:rPr>
            </w:pPr>
          </w:p>
        </w:tc>
        <w:tc>
          <w:tcPr>
            <w:tcW w:w="5220" w:type="dxa"/>
            <w:gridSpan w:val="7"/>
            <w:tcBorders>
              <w:top w:val="single" w:color="auto" w:sz="4" w:space="0"/>
              <w:left w:val="nil"/>
              <w:bottom w:val="single" w:color="auto" w:sz="4" w:space="0"/>
              <w:right w:val="single" w:color="auto" w:sz="4" w:space="0"/>
            </w:tcBorders>
            <w:noWrap w:val="0"/>
            <w:vAlign w:val="center"/>
          </w:tcPr>
          <w:p w14:paraId="195F0673">
            <w:pPr>
              <w:topLinePunct/>
              <w:spacing w:line="360" w:lineRule="auto"/>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员工总人数：</w:t>
            </w:r>
          </w:p>
        </w:tc>
      </w:tr>
      <w:tr w14:paraId="32BAA7A2">
        <w:tblPrEx>
          <w:tblCellMar>
            <w:top w:w="0" w:type="dxa"/>
            <w:left w:w="108" w:type="dxa"/>
            <w:bottom w:w="0" w:type="dxa"/>
            <w:right w:w="108" w:type="dxa"/>
          </w:tblCellMar>
        </w:tblPrEx>
        <w:trPr>
          <w:cantSplit/>
          <w:trHeight w:val="775" w:hRule="atLeast"/>
          <w:jc w:val="center"/>
        </w:trPr>
        <w:tc>
          <w:tcPr>
            <w:tcW w:w="1806" w:type="dxa"/>
            <w:tcBorders>
              <w:top w:val="single" w:color="auto" w:sz="4" w:space="0"/>
              <w:left w:val="single" w:color="auto" w:sz="4" w:space="0"/>
              <w:bottom w:val="single" w:color="auto" w:sz="4" w:space="0"/>
              <w:right w:val="single" w:color="auto" w:sz="4" w:space="0"/>
            </w:tcBorders>
            <w:noWrap w:val="0"/>
            <w:vAlign w:val="center"/>
          </w:tcPr>
          <w:p w14:paraId="55893EA2">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企业资质等级</w:t>
            </w:r>
          </w:p>
        </w:tc>
        <w:tc>
          <w:tcPr>
            <w:tcW w:w="1933" w:type="dxa"/>
            <w:gridSpan w:val="2"/>
            <w:tcBorders>
              <w:top w:val="single" w:color="auto" w:sz="4" w:space="0"/>
              <w:left w:val="nil"/>
              <w:bottom w:val="single" w:color="auto" w:sz="4" w:space="0"/>
              <w:right w:val="single" w:color="auto" w:sz="4" w:space="0"/>
            </w:tcBorders>
            <w:noWrap w:val="0"/>
            <w:vAlign w:val="center"/>
          </w:tcPr>
          <w:p w14:paraId="732EFAFF">
            <w:pPr>
              <w:topLinePunct/>
              <w:spacing w:line="360" w:lineRule="auto"/>
              <w:jc w:val="center"/>
              <w:rPr>
                <w:rFonts w:hint="eastAsia" w:ascii="仿宋" w:hAnsi="仿宋" w:eastAsia="仿宋" w:cs="仿宋"/>
                <w:color w:val="auto"/>
                <w:sz w:val="24"/>
                <w:szCs w:val="24"/>
                <w:highlight w:val="none"/>
              </w:rPr>
            </w:pPr>
          </w:p>
        </w:tc>
        <w:tc>
          <w:tcPr>
            <w:tcW w:w="878" w:type="dxa"/>
            <w:vMerge w:val="restart"/>
            <w:tcBorders>
              <w:top w:val="nil"/>
              <w:left w:val="nil"/>
              <w:bottom w:val="single" w:color="auto" w:sz="4" w:space="0"/>
              <w:right w:val="single" w:color="auto" w:sz="4" w:space="0"/>
            </w:tcBorders>
            <w:noWrap w:val="0"/>
            <w:vAlign w:val="center"/>
          </w:tcPr>
          <w:p w14:paraId="1C683A30">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tc>
        <w:tc>
          <w:tcPr>
            <w:tcW w:w="2404" w:type="dxa"/>
            <w:gridSpan w:val="4"/>
            <w:tcBorders>
              <w:top w:val="single" w:color="auto" w:sz="4" w:space="0"/>
              <w:left w:val="nil"/>
              <w:bottom w:val="single" w:color="auto" w:sz="4" w:space="0"/>
              <w:right w:val="single" w:color="auto" w:sz="4" w:space="0"/>
            </w:tcBorders>
            <w:noWrap w:val="0"/>
            <w:vAlign w:val="center"/>
          </w:tcPr>
          <w:p w14:paraId="4AB7BC65">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1938" w:type="dxa"/>
            <w:gridSpan w:val="2"/>
            <w:tcBorders>
              <w:top w:val="single" w:color="auto" w:sz="4" w:space="0"/>
              <w:left w:val="nil"/>
              <w:bottom w:val="single" w:color="auto" w:sz="4" w:space="0"/>
              <w:right w:val="single" w:color="auto" w:sz="4" w:space="0"/>
            </w:tcBorders>
            <w:noWrap w:val="0"/>
            <w:vAlign w:val="center"/>
          </w:tcPr>
          <w:p w14:paraId="1DEA9B16">
            <w:pPr>
              <w:topLinePunct/>
              <w:spacing w:line="360" w:lineRule="auto"/>
              <w:jc w:val="center"/>
              <w:rPr>
                <w:rFonts w:hint="eastAsia" w:ascii="仿宋" w:hAnsi="仿宋" w:eastAsia="仿宋" w:cs="仿宋"/>
                <w:color w:val="auto"/>
                <w:sz w:val="24"/>
                <w:szCs w:val="24"/>
                <w:highlight w:val="none"/>
              </w:rPr>
            </w:pPr>
          </w:p>
        </w:tc>
      </w:tr>
      <w:tr w14:paraId="75AF99CB">
        <w:tblPrEx>
          <w:tblCellMar>
            <w:top w:w="0" w:type="dxa"/>
            <w:left w:w="108" w:type="dxa"/>
            <w:bottom w:w="0" w:type="dxa"/>
            <w:right w:w="108" w:type="dxa"/>
          </w:tblCellMar>
        </w:tblPrEx>
        <w:trPr>
          <w:cantSplit/>
          <w:trHeight w:val="721" w:hRule="atLeast"/>
          <w:jc w:val="center"/>
        </w:trPr>
        <w:tc>
          <w:tcPr>
            <w:tcW w:w="1806" w:type="dxa"/>
            <w:tcBorders>
              <w:top w:val="single" w:color="auto" w:sz="4" w:space="0"/>
              <w:left w:val="single" w:color="auto" w:sz="4" w:space="0"/>
              <w:bottom w:val="single" w:color="auto" w:sz="4" w:space="0"/>
              <w:right w:val="single" w:color="auto" w:sz="4" w:space="0"/>
            </w:tcBorders>
            <w:noWrap w:val="0"/>
            <w:vAlign w:val="center"/>
          </w:tcPr>
          <w:p w14:paraId="4F214132">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w:t>
            </w:r>
          </w:p>
        </w:tc>
        <w:tc>
          <w:tcPr>
            <w:tcW w:w="1933" w:type="dxa"/>
            <w:gridSpan w:val="2"/>
            <w:tcBorders>
              <w:top w:val="single" w:color="auto" w:sz="4" w:space="0"/>
              <w:left w:val="nil"/>
              <w:bottom w:val="single" w:color="auto" w:sz="4" w:space="0"/>
              <w:right w:val="single" w:color="auto" w:sz="4" w:space="0"/>
            </w:tcBorders>
            <w:noWrap w:val="0"/>
            <w:vAlign w:val="center"/>
          </w:tcPr>
          <w:p w14:paraId="3B187E13">
            <w:pPr>
              <w:topLinePunct/>
              <w:spacing w:line="360" w:lineRule="auto"/>
              <w:jc w:val="center"/>
              <w:rPr>
                <w:rFonts w:hint="eastAsia" w:ascii="仿宋" w:hAnsi="仿宋" w:eastAsia="仿宋" w:cs="仿宋"/>
                <w:color w:val="auto"/>
                <w:sz w:val="24"/>
                <w:szCs w:val="24"/>
                <w:highlight w:val="none"/>
              </w:rPr>
            </w:pPr>
          </w:p>
        </w:tc>
        <w:tc>
          <w:tcPr>
            <w:tcW w:w="878" w:type="dxa"/>
            <w:vMerge w:val="continue"/>
            <w:tcBorders>
              <w:top w:val="nil"/>
              <w:left w:val="nil"/>
              <w:bottom w:val="single" w:color="auto" w:sz="4" w:space="0"/>
              <w:right w:val="single" w:color="auto" w:sz="4" w:space="0"/>
            </w:tcBorders>
            <w:noWrap w:val="0"/>
            <w:vAlign w:val="center"/>
          </w:tcPr>
          <w:p w14:paraId="2D2680D5">
            <w:pPr>
              <w:widowControl/>
              <w:spacing w:line="360" w:lineRule="auto"/>
              <w:jc w:val="left"/>
              <w:rPr>
                <w:rFonts w:hint="eastAsia" w:ascii="仿宋" w:hAnsi="仿宋" w:eastAsia="仿宋" w:cs="仿宋"/>
                <w:color w:val="auto"/>
                <w:sz w:val="24"/>
                <w:szCs w:val="24"/>
                <w:highlight w:val="none"/>
              </w:rPr>
            </w:pPr>
          </w:p>
        </w:tc>
        <w:tc>
          <w:tcPr>
            <w:tcW w:w="2404" w:type="dxa"/>
            <w:gridSpan w:val="4"/>
            <w:tcBorders>
              <w:top w:val="single" w:color="auto" w:sz="4" w:space="0"/>
              <w:left w:val="nil"/>
              <w:bottom w:val="single" w:color="auto" w:sz="4" w:space="0"/>
              <w:right w:val="single" w:color="auto" w:sz="4" w:space="0"/>
            </w:tcBorders>
            <w:noWrap w:val="0"/>
            <w:vAlign w:val="center"/>
          </w:tcPr>
          <w:p w14:paraId="433C7CBD">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高级职称人员</w:t>
            </w:r>
          </w:p>
        </w:tc>
        <w:tc>
          <w:tcPr>
            <w:tcW w:w="1938" w:type="dxa"/>
            <w:gridSpan w:val="2"/>
            <w:tcBorders>
              <w:top w:val="single" w:color="auto" w:sz="4" w:space="0"/>
              <w:left w:val="nil"/>
              <w:bottom w:val="single" w:color="auto" w:sz="4" w:space="0"/>
              <w:right w:val="single" w:color="auto" w:sz="4" w:space="0"/>
            </w:tcBorders>
            <w:noWrap w:val="0"/>
            <w:vAlign w:val="center"/>
          </w:tcPr>
          <w:p w14:paraId="3A46B61E">
            <w:pPr>
              <w:topLinePunct/>
              <w:spacing w:line="360" w:lineRule="auto"/>
              <w:jc w:val="center"/>
              <w:rPr>
                <w:rFonts w:hint="eastAsia" w:ascii="仿宋" w:hAnsi="仿宋" w:eastAsia="仿宋" w:cs="仿宋"/>
                <w:color w:val="auto"/>
                <w:sz w:val="24"/>
                <w:szCs w:val="24"/>
                <w:highlight w:val="none"/>
              </w:rPr>
            </w:pPr>
          </w:p>
        </w:tc>
      </w:tr>
      <w:tr w14:paraId="3979429B">
        <w:tblPrEx>
          <w:tblCellMar>
            <w:top w:w="0" w:type="dxa"/>
            <w:left w:w="108" w:type="dxa"/>
            <w:bottom w:w="0" w:type="dxa"/>
            <w:right w:w="108" w:type="dxa"/>
          </w:tblCellMar>
        </w:tblPrEx>
        <w:trPr>
          <w:cantSplit/>
          <w:trHeight w:val="713" w:hRule="atLeast"/>
          <w:jc w:val="center"/>
        </w:trPr>
        <w:tc>
          <w:tcPr>
            <w:tcW w:w="1806" w:type="dxa"/>
            <w:tcBorders>
              <w:top w:val="single" w:color="auto" w:sz="4" w:space="0"/>
              <w:left w:val="single" w:color="auto" w:sz="4" w:space="0"/>
              <w:bottom w:val="single" w:color="auto" w:sz="4" w:space="0"/>
              <w:right w:val="single" w:color="auto" w:sz="4" w:space="0"/>
            </w:tcBorders>
            <w:noWrap w:val="0"/>
            <w:vAlign w:val="center"/>
          </w:tcPr>
          <w:p w14:paraId="4A960C2D">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1933" w:type="dxa"/>
            <w:gridSpan w:val="2"/>
            <w:tcBorders>
              <w:top w:val="single" w:color="auto" w:sz="4" w:space="0"/>
              <w:left w:val="nil"/>
              <w:bottom w:val="single" w:color="auto" w:sz="4" w:space="0"/>
              <w:right w:val="single" w:color="auto" w:sz="4" w:space="0"/>
            </w:tcBorders>
            <w:noWrap w:val="0"/>
            <w:vAlign w:val="center"/>
          </w:tcPr>
          <w:p w14:paraId="1E280ACB">
            <w:pPr>
              <w:topLinePunct/>
              <w:spacing w:line="360" w:lineRule="auto"/>
              <w:jc w:val="center"/>
              <w:rPr>
                <w:rFonts w:hint="eastAsia" w:ascii="仿宋" w:hAnsi="仿宋" w:eastAsia="仿宋" w:cs="仿宋"/>
                <w:color w:val="auto"/>
                <w:sz w:val="24"/>
                <w:szCs w:val="24"/>
                <w:highlight w:val="none"/>
              </w:rPr>
            </w:pPr>
          </w:p>
        </w:tc>
        <w:tc>
          <w:tcPr>
            <w:tcW w:w="878" w:type="dxa"/>
            <w:vMerge w:val="continue"/>
            <w:tcBorders>
              <w:top w:val="nil"/>
              <w:left w:val="nil"/>
              <w:bottom w:val="single" w:color="auto" w:sz="4" w:space="0"/>
              <w:right w:val="single" w:color="auto" w:sz="4" w:space="0"/>
            </w:tcBorders>
            <w:noWrap w:val="0"/>
            <w:vAlign w:val="center"/>
          </w:tcPr>
          <w:p w14:paraId="6E33C475">
            <w:pPr>
              <w:widowControl/>
              <w:spacing w:line="360" w:lineRule="auto"/>
              <w:jc w:val="left"/>
              <w:rPr>
                <w:rFonts w:hint="eastAsia" w:ascii="仿宋" w:hAnsi="仿宋" w:eastAsia="仿宋" w:cs="仿宋"/>
                <w:color w:val="auto"/>
                <w:sz w:val="24"/>
                <w:szCs w:val="24"/>
                <w:highlight w:val="none"/>
              </w:rPr>
            </w:pPr>
          </w:p>
        </w:tc>
        <w:tc>
          <w:tcPr>
            <w:tcW w:w="2404" w:type="dxa"/>
            <w:gridSpan w:val="4"/>
            <w:tcBorders>
              <w:top w:val="single" w:color="auto" w:sz="4" w:space="0"/>
              <w:left w:val="nil"/>
              <w:bottom w:val="single" w:color="auto" w:sz="4" w:space="0"/>
              <w:right w:val="single" w:color="auto" w:sz="4" w:space="0"/>
            </w:tcBorders>
            <w:noWrap w:val="0"/>
            <w:vAlign w:val="center"/>
          </w:tcPr>
          <w:p w14:paraId="40F3345E">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中级职称人员</w:t>
            </w:r>
          </w:p>
        </w:tc>
        <w:tc>
          <w:tcPr>
            <w:tcW w:w="1938" w:type="dxa"/>
            <w:gridSpan w:val="2"/>
            <w:tcBorders>
              <w:top w:val="single" w:color="auto" w:sz="4" w:space="0"/>
              <w:left w:val="nil"/>
              <w:bottom w:val="single" w:color="auto" w:sz="4" w:space="0"/>
              <w:right w:val="single" w:color="auto" w:sz="4" w:space="0"/>
            </w:tcBorders>
            <w:noWrap w:val="0"/>
            <w:vAlign w:val="center"/>
          </w:tcPr>
          <w:p w14:paraId="3D691C53">
            <w:pPr>
              <w:topLinePunct/>
              <w:spacing w:line="360" w:lineRule="auto"/>
              <w:jc w:val="center"/>
              <w:rPr>
                <w:rFonts w:hint="eastAsia" w:ascii="仿宋" w:hAnsi="仿宋" w:eastAsia="仿宋" w:cs="仿宋"/>
                <w:color w:val="auto"/>
                <w:sz w:val="24"/>
                <w:szCs w:val="24"/>
                <w:highlight w:val="none"/>
              </w:rPr>
            </w:pPr>
          </w:p>
        </w:tc>
      </w:tr>
      <w:tr w14:paraId="49833A11">
        <w:tblPrEx>
          <w:tblCellMar>
            <w:top w:w="0" w:type="dxa"/>
            <w:left w:w="108" w:type="dxa"/>
            <w:bottom w:w="0" w:type="dxa"/>
            <w:right w:w="108" w:type="dxa"/>
          </w:tblCellMar>
        </w:tblPrEx>
        <w:trPr>
          <w:cantSplit/>
          <w:trHeight w:val="738" w:hRule="atLeast"/>
          <w:jc w:val="center"/>
        </w:trPr>
        <w:tc>
          <w:tcPr>
            <w:tcW w:w="1806" w:type="dxa"/>
            <w:tcBorders>
              <w:top w:val="single" w:color="auto" w:sz="4" w:space="0"/>
              <w:left w:val="single" w:color="auto" w:sz="4" w:space="0"/>
              <w:bottom w:val="single" w:color="auto" w:sz="4" w:space="0"/>
              <w:right w:val="single" w:color="auto" w:sz="4" w:space="0"/>
            </w:tcBorders>
            <w:noWrap w:val="0"/>
            <w:vAlign w:val="center"/>
          </w:tcPr>
          <w:p w14:paraId="3A672987">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1933" w:type="dxa"/>
            <w:gridSpan w:val="2"/>
            <w:tcBorders>
              <w:top w:val="single" w:color="auto" w:sz="4" w:space="0"/>
              <w:left w:val="nil"/>
              <w:bottom w:val="single" w:color="auto" w:sz="4" w:space="0"/>
              <w:right w:val="single" w:color="auto" w:sz="4" w:space="0"/>
            </w:tcBorders>
            <w:noWrap w:val="0"/>
            <w:vAlign w:val="center"/>
          </w:tcPr>
          <w:p w14:paraId="075EFC18">
            <w:pPr>
              <w:topLinePunct/>
              <w:spacing w:line="360" w:lineRule="auto"/>
              <w:jc w:val="center"/>
              <w:rPr>
                <w:rFonts w:hint="eastAsia" w:ascii="仿宋" w:hAnsi="仿宋" w:eastAsia="仿宋" w:cs="仿宋"/>
                <w:color w:val="auto"/>
                <w:sz w:val="24"/>
                <w:szCs w:val="24"/>
                <w:highlight w:val="none"/>
              </w:rPr>
            </w:pPr>
          </w:p>
        </w:tc>
        <w:tc>
          <w:tcPr>
            <w:tcW w:w="878" w:type="dxa"/>
            <w:vMerge w:val="continue"/>
            <w:tcBorders>
              <w:top w:val="nil"/>
              <w:left w:val="nil"/>
              <w:bottom w:val="single" w:color="auto" w:sz="4" w:space="0"/>
              <w:right w:val="single" w:color="auto" w:sz="4" w:space="0"/>
            </w:tcBorders>
            <w:noWrap w:val="0"/>
            <w:vAlign w:val="center"/>
          </w:tcPr>
          <w:p w14:paraId="71D0BF38">
            <w:pPr>
              <w:widowControl/>
              <w:spacing w:line="360" w:lineRule="auto"/>
              <w:jc w:val="left"/>
              <w:rPr>
                <w:rFonts w:hint="eastAsia" w:ascii="仿宋" w:hAnsi="仿宋" w:eastAsia="仿宋" w:cs="仿宋"/>
                <w:color w:val="auto"/>
                <w:sz w:val="24"/>
                <w:szCs w:val="24"/>
                <w:highlight w:val="none"/>
              </w:rPr>
            </w:pPr>
          </w:p>
        </w:tc>
        <w:tc>
          <w:tcPr>
            <w:tcW w:w="2404" w:type="dxa"/>
            <w:gridSpan w:val="4"/>
            <w:tcBorders>
              <w:top w:val="single" w:color="auto" w:sz="4" w:space="0"/>
              <w:left w:val="nil"/>
              <w:bottom w:val="single" w:color="auto" w:sz="4" w:space="0"/>
              <w:right w:val="single" w:color="auto" w:sz="4" w:space="0"/>
            </w:tcBorders>
            <w:noWrap w:val="0"/>
            <w:vAlign w:val="center"/>
          </w:tcPr>
          <w:p w14:paraId="08D28BF4">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初级职称人员</w:t>
            </w:r>
          </w:p>
        </w:tc>
        <w:tc>
          <w:tcPr>
            <w:tcW w:w="1938" w:type="dxa"/>
            <w:gridSpan w:val="2"/>
            <w:tcBorders>
              <w:top w:val="single" w:color="auto" w:sz="4" w:space="0"/>
              <w:left w:val="nil"/>
              <w:bottom w:val="single" w:color="auto" w:sz="4" w:space="0"/>
              <w:right w:val="single" w:color="auto" w:sz="4" w:space="0"/>
            </w:tcBorders>
            <w:noWrap w:val="0"/>
            <w:vAlign w:val="center"/>
          </w:tcPr>
          <w:p w14:paraId="7FB25416">
            <w:pPr>
              <w:topLinePunct/>
              <w:spacing w:line="360" w:lineRule="auto"/>
              <w:jc w:val="center"/>
              <w:rPr>
                <w:rFonts w:hint="eastAsia" w:ascii="仿宋" w:hAnsi="仿宋" w:eastAsia="仿宋" w:cs="仿宋"/>
                <w:color w:val="auto"/>
                <w:sz w:val="24"/>
                <w:szCs w:val="24"/>
                <w:highlight w:val="none"/>
              </w:rPr>
            </w:pPr>
          </w:p>
        </w:tc>
      </w:tr>
      <w:tr w14:paraId="11C72622">
        <w:tblPrEx>
          <w:tblCellMar>
            <w:top w:w="0" w:type="dxa"/>
            <w:left w:w="108" w:type="dxa"/>
            <w:bottom w:w="0" w:type="dxa"/>
            <w:right w:w="108" w:type="dxa"/>
          </w:tblCellMar>
        </w:tblPrEx>
        <w:trPr>
          <w:cantSplit/>
          <w:trHeight w:val="715" w:hRule="atLeast"/>
          <w:jc w:val="center"/>
        </w:trPr>
        <w:tc>
          <w:tcPr>
            <w:tcW w:w="1806" w:type="dxa"/>
            <w:tcBorders>
              <w:top w:val="single" w:color="auto" w:sz="4" w:space="0"/>
              <w:left w:val="single" w:color="auto" w:sz="4" w:space="0"/>
              <w:bottom w:val="single" w:color="auto" w:sz="4" w:space="0"/>
              <w:right w:val="single" w:color="auto" w:sz="4" w:space="0"/>
            </w:tcBorders>
            <w:noWrap w:val="0"/>
            <w:vAlign w:val="center"/>
          </w:tcPr>
          <w:p w14:paraId="3A345313">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c>
          <w:tcPr>
            <w:tcW w:w="1933" w:type="dxa"/>
            <w:gridSpan w:val="2"/>
            <w:tcBorders>
              <w:top w:val="single" w:color="auto" w:sz="4" w:space="0"/>
              <w:left w:val="nil"/>
              <w:bottom w:val="single" w:color="auto" w:sz="4" w:space="0"/>
              <w:right w:val="single" w:color="auto" w:sz="4" w:space="0"/>
            </w:tcBorders>
            <w:noWrap w:val="0"/>
            <w:vAlign w:val="center"/>
          </w:tcPr>
          <w:p w14:paraId="36D2A817">
            <w:pPr>
              <w:topLinePunct/>
              <w:spacing w:line="360" w:lineRule="auto"/>
              <w:jc w:val="center"/>
              <w:rPr>
                <w:rFonts w:hint="eastAsia" w:ascii="仿宋" w:hAnsi="仿宋" w:eastAsia="仿宋" w:cs="仿宋"/>
                <w:color w:val="auto"/>
                <w:sz w:val="24"/>
                <w:szCs w:val="24"/>
                <w:highlight w:val="none"/>
              </w:rPr>
            </w:pPr>
          </w:p>
        </w:tc>
        <w:tc>
          <w:tcPr>
            <w:tcW w:w="878" w:type="dxa"/>
            <w:vMerge w:val="continue"/>
            <w:tcBorders>
              <w:top w:val="nil"/>
              <w:left w:val="nil"/>
              <w:bottom w:val="single" w:color="auto" w:sz="4" w:space="0"/>
              <w:right w:val="single" w:color="auto" w:sz="4" w:space="0"/>
            </w:tcBorders>
            <w:noWrap w:val="0"/>
            <w:vAlign w:val="center"/>
          </w:tcPr>
          <w:p w14:paraId="2B58F8E0">
            <w:pPr>
              <w:widowControl/>
              <w:spacing w:line="360" w:lineRule="auto"/>
              <w:jc w:val="left"/>
              <w:rPr>
                <w:rFonts w:hint="eastAsia" w:ascii="仿宋" w:hAnsi="仿宋" w:eastAsia="仿宋" w:cs="仿宋"/>
                <w:color w:val="auto"/>
                <w:sz w:val="24"/>
                <w:szCs w:val="24"/>
                <w:highlight w:val="none"/>
              </w:rPr>
            </w:pPr>
          </w:p>
        </w:tc>
        <w:tc>
          <w:tcPr>
            <w:tcW w:w="2404" w:type="dxa"/>
            <w:gridSpan w:val="4"/>
            <w:tcBorders>
              <w:top w:val="single" w:color="auto" w:sz="4" w:space="0"/>
              <w:left w:val="nil"/>
              <w:bottom w:val="single" w:color="auto" w:sz="4" w:space="0"/>
              <w:right w:val="single" w:color="auto" w:sz="4" w:space="0"/>
            </w:tcBorders>
            <w:noWrap w:val="0"/>
            <w:vAlign w:val="center"/>
          </w:tcPr>
          <w:p w14:paraId="0B271C28">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技工</w:t>
            </w:r>
          </w:p>
        </w:tc>
        <w:tc>
          <w:tcPr>
            <w:tcW w:w="1938" w:type="dxa"/>
            <w:gridSpan w:val="2"/>
            <w:tcBorders>
              <w:top w:val="single" w:color="auto" w:sz="4" w:space="0"/>
              <w:left w:val="nil"/>
              <w:bottom w:val="single" w:color="auto" w:sz="4" w:space="0"/>
              <w:right w:val="single" w:color="auto" w:sz="4" w:space="0"/>
            </w:tcBorders>
            <w:noWrap w:val="0"/>
            <w:vAlign w:val="center"/>
          </w:tcPr>
          <w:p w14:paraId="53C89746">
            <w:pPr>
              <w:topLinePunct/>
              <w:spacing w:line="360" w:lineRule="auto"/>
              <w:jc w:val="center"/>
              <w:rPr>
                <w:rFonts w:hint="eastAsia" w:ascii="仿宋" w:hAnsi="仿宋" w:eastAsia="仿宋" w:cs="仿宋"/>
                <w:color w:val="auto"/>
                <w:sz w:val="24"/>
                <w:szCs w:val="24"/>
                <w:highlight w:val="none"/>
              </w:rPr>
            </w:pPr>
          </w:p>
        </w:tc>
      </w:tr>
      <w:tr w14:paraId="19A7868B">
        <w:tblPrEx>
          <w:tblCellMar>
            <w:top w:w="0" w:type="dxa"/>
            <w:left w:w="108" w:type="dxa"/>
            <w:bottom w:w="0" w:type="dxa"/>
            <w:right w:w="108" w:type="dxa"/>
          </w:tblCellMar>
        </w:tblPrEx>
        <w:trPr>
          <w:trHeight w:val="1345" w:hRule="atLeast"/>
          <w:jc w:val="center"/>
        </w:trPr>
        <w:tc>
          <w:tcPr>
            <w:tcW w:w="1806" w:type="dxa"/>
            <w:tcBorders>
              <w:top w:val="single" w:color="auto" w:sz="4" w:space="0"/>
              <w:left w:val="single" w:color="auto" w:sz="4" w:space="0"/>
              <w:right w:val="single" w:color="auto" w:sz="4" w:space="0"/>
            </w:tcBorders>
            <w:noWrap w:val="0"/>
            <w:vAlign w:val="center"/>
          </w:tcPr>
          <w:p w14:paraId="2D0B2585">
            <w:pPr>
              <w:topLinePunct/>
              <w:spacing w:line="360" w:lineRule="auto"/>
              <w:ind w:firstLine="240" w:firstLineChar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7153" w:type="dxa"/>
            <w:gridSpan w:val="9"/>
            <w:tcBorders>
              <w:top w:val="single" w:color="auto" w:sz="4" w:space="0"/>
              <w:left w:val="nil"/>
              <w:right w:val="single" w:color="auto" w:sz="4" w:space="0"/>
            </w:tcBorders>
            <w:noWrap w:val="0"/>
            <w:vAlign w:val="center"/>
          </w:tcPr>
          <w:p w14:paraId="4E85D5CF">
            <w:pPr>
              <w:topLinePunct/>
              <w:spacing w:line="360" w:lineRule="auto"/>
              <w:rPr>
                <w:rFonts w:hint="eastAsia" w:ascii="仿宋" w:hAnsi="仿宋" w:eastAsia="仿宋" w:cs="仿宋"/>
                <w:color w:val="auto"/>
                <w:sz w:val="24"/>
                <w:szCs w:val="24"/>
                <w:highlight w:val="none"/>
              </w:rPr>
            </w:pPr>
          </w:p>
        </w:tc>
      </w:tr>
      <w:tr w14:paraId="277CB642">
        <w:tblPrEx>
          <w:tblCellMar>
            <w:top w:w="0" w:type="dxa"/>
            <w:left w:w="108" w:type="dxa"/>
            <w:bottom w:w="0" w:type="dxa"/>
            <w:right w:w="108" w:type="dxa"/>
          </w:tblCellMar>
        </w:tblPrEx>
        <w:trPr>
          <w:trHeight w:val="750" w:hRule="atLeast"/>
          <w:jc w:val="center"/>
        </w:trPr>
        <w:tc>
          <w:tcPr>
            <w:tcW w:w="1806" w:type="dxa"/>
            <w:tcBorders>
              <w:top w:val="single" w:color="auto" w:sz="4" w:space="0"/>
              <w:left w:val="single" w:color="auto" w:sz="4" w:space="0"/>
              <w:bottom w:val="single" w:color="auto" w:sz="4" w:space="0"/>
              <w:right w:val="single" w:color="auto" w:sz="4" w:space="0"/>
            </w:tcBorders>
            <w:noWrap w:val="0"/>
            <w:vAlign w:val="center"/>
          </w:tcPr>
          <w:p w14:paraId="5F7F141F">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153" w:type="dxa"/>
            <w:gridSpan w:val="9"/>
            <w:tcBorders>
              <w:top w:val="single" w:color="auto" w:sz="4" w:space="0"/>
              <w:left w:val="nil"/>
              <w:bottom w:val="single" w:color="auto" w:sz="4" w:space="0"/>
              <w:right w:val="single" w:color="auto" w:sz="4" w:space="0"/>
            </w:tcBorders>
            <w:noWrap w:val="0"/>
            <w:vAlign w:val="center"/>
          </w:tcPr>
          <w:p w14:paraId="61C33B0C">
            <w:pPr>
              <w:topLinePunct/>
              <w:spacing w:line="360" w:lineRule="auto"/>
              <w:jc w:val="center"/>
              <w:rPr>
                <w:rFonts w:hint="eastAsia" w:ascii="仿宋" w:hAnsi="仿宋" w:eastAsia="仿宋" w:cs="仿宋"/>
                <w:color w:val="auto"/>
                <w:sz w:val="24"/>
                <w:szCs w:val="24"/>
                <w:highlight w:val="none"/>
              </w:rPr>
            </w:pPr>
          </w:p>
        </w:tc>
      </w:tr>
    </w:tbl>
    <w:p w14:paraId="231B5AB9">
      <w:pPr>
        <w:rPr>
          <w:rFonts w:hint="eastAsia"/>
        </w:rPr>
      </w:pPr>
      <w:bookmarkStart w:id="609" w:name="_Toc16517"/>
      <w:r>
        <w:rPr>
          <w:rFonts w:hint="eastAsia" w:ascii="仿宋" w:hAnsi="仿宋" w:eastAsia="仿宋" w:cs="仿宋"/>
          <w:color w:val="auto"/>
          <w:sz w:val="24"/>
          <w:szCs w:val="24"/>
          <w:highlight w:val="none"/>
        </w:rPr>
        <w:br w:type="page"/>
      </w:r>
    </w:p>
    <w:bookmarkEnd w:id="609"/>
    <w:p w14:paraId="7BB1168F">
      <w:pPr>
        <w:pStyle w:val="4"/>
        <w:numPr>
          <w:ilvl w:val="0"/>
          <w:numId w:val="0"/>
        </w:numPr>
        <w:spacing w:line="240" w:lineRule="auto"/>
        <w:jc w:val="center"/>
        <w:rPr>
          <w:rFonts w:hint="eastAsia" w:ascii="仿宋" w:hAnsi="仿宋" w:eastAsia="仿宋" w:cs="仿宋"/>
          <w:b/>
          <w:bCs/>
          <w:color w:val="auto"/>
          <w:kern w:val="2"/>
          <w:sz w:val="24"/>
          <w:szCs w:val="24"/>
          <w:highlight w:val="none"/>
          <w:lang w:val="en-US" w:eastAsia="zh-CN" w:bidi="ar-SA"/>
        </w:rPr>
      </w:pPr>
      <w:bookmarkStart w:id="610" w:name="_Toc12020"/>
      <w:r>
        <w:rPr>
          <w:rFonts w:hint="eastAsia" w:ascii="仿宋" w:hAnsi="仿宋" w:eastAsia="仿宋" w:cs="仿宋"/>
          <w:b/>
          <w:bCs/>
          <w:color w:val="auto"/>
          <w:kern w:val="2"/>
          <w:sz w:val="24"/>
          <w:szCs w:val="24"/>
          <w:highlight w:val="none"/>
          <w:lang w:val="en-US" w:eastAsia="zh-CN" w:bidi="ar-SA"/>
        </w:rPr>
        <w:t>（三）能证明供应商资格的资料</w:t>
      </w:r>
    </w:p>
    <w:bookmarkEnd w:id="610"/>
    <w:p w14:paraId="306D1DAA">
      <w:pPr>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rPr>
        <w:br w:type="page"/>
      </w:r>
    </w:p>
    <w:p w14:paraId="04A73CE4">
      <w:pPr>
        <w:jc w:val="center"/>
        <w:rPr>
          <w:rFonts w:hint="eastAsia" w:ascii="仿宋" w:hAnsi="仿宋" w:eastAsia="仿宋" w:cs="仿宋"/>
          <w:b/>
          <w:color w:val="auto"/>
          <w:sz w:val="30"/>
          <w:szCs w:val="30"/>
          <w:highlight w:val="none"/>
          <w:lang w:val="zh-CN" w:eastAsia="zh-CN"/>
        </w:rPr>
      </w:pPr>
      <w:bookmarkStart w:id="611" w:name="_Toc559"/>
      <w:bookmarkStart w:id="612" w:name="_Toc28175"/>
      <w:bookmarkStart w:id="613" w:name="_Toc22775"/>
      <w:bookmarkStart w:id="614" w:name="_Toc5591"/>
      <w:bookmarkStart w:id="615" w:name="_Toc26294"/>
      <w:bookmarkStart w:id="616" w:name="_Toc22068"/>
      <w:bookmarkStart w:id="617" w:name="_Toc21659"/>
      <w:r>
        <w:rPr>
          <w:rFonts w:hint="eastAsia" w:ascii="仿宋" w:hAnsi="仿宋" w:eastAsia="仿宋" w:cs="仿宋"/>
          <w:b/>
          <w:color w:val="auto"/>
          <w:sz w:val="30"/>
          <w:szCs w:val="30"/>
          <w:highlight w:val="none"/>
          <w:lang w:val="en-US" w:eastAsia="zh-CN"/>
        </w:rPr>
        <w:t>六</w:t>
      </w:r>
      <w:r>
        <w:rPr>
          <w:rFonts w:hint="eastAsia" w:ascii="仿宋" w:hAnsi="仿宋" w:eastAsia="仿宋" w:cs="仿宋"/>
          <w:b/>
          <w:color w:val="auto"/>
          <w:sz w:val="30"/>
          <w:szCs w:val="30"/>
          <w:highlight w:val="none"/>
          <w:lang w:val="zh-CN" w:eastAsia="zh-CN"/>
        </w:rPr>
        <w:t>、技术文件</w:t>
      </w:r>
      <w:bookmarkEnd w:id="611"/>
      <w:bookmarkEnd w:id="612"/>
      <w:bookmarkEnd w:id="613"/>
      <w:bookmarkEnd w:id="614"/>
      <w:bookmarkEnd w:id="615"/>
      <w:bookmarkEnd w:id="616"/>
      <w:bookmarkEnd w:id="617"/>
    </w:p>
    <w:p w14:paraId="08C3E5DB">
      <w:pPr>
        <w:tabs>
          <w:tab w:val="left" w:pos="720"/>
        </w:tabs>
        <w:spacing w:line="440" w:lineRule="exact"/>
        <w:ind w:firstLine="864" w:firstLineChars="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编制施工组织设计的要求：</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应根据竞争性磋商文件和对现场的勘察情况，采用文字并结合图表形式，参考以下要点编制本工程的施工组织设计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包括但不限于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259A7825">
      <w:pPr>
        <w:tabs>
          <w:tab w:val="left" w:pos="720"/>
        </w:tabs>
        <w:spacing w:line="440" w:lineRule="exact"/>
        <w:ind w:firstLine="864" w:firstLineChars="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（1）施工方案与技术措施</w:t>
      </w:r>
    </w:p>
    <w:p w14:paraId="55B6529D">
      <w:pPr>
        <w:tabs>
          <w:tab w:val="left" w:pos="720"/>
        </w:tabs>
        <w:spacing w:line="440" w:lineRule="exact"/>
        <w:ind w:firstLine="864" w:firstLineChars="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（2）质量管理体系与措施</w:t>
      </w:r>
    </w:p>
    <w:p w14:paraId="5B25E0A4">
      <w:pPr>
        <w:tabs>
          <w:tab w:val="left" w:pos="720"/>
        </w:tabs>
        <w:spacing w:line="440" w:lineRule="exact"/>
        <w:ind w:firstLine="864" w:firstLineChars="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（3）安全管理体系与措施</w:t>
      </w:r>
    </w:p>
    <w:p w14:paraId="73F3E547">
      <w:pPr>
        <w:tabs>
          <w:tab w:val="left" w:pos="720"/>
        </w:tabs>
        <w:spacing w:line="440" w:lineRule="exact"/>
        <w:ind w:firstLine="864" w:firstLineChars="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（4）文明施工、环境保护管理体系</w:t>
      </w:r>
    </w:p>
    <w:p w14:paraId="23B4A8DA">
      <w:pPr>
        <w:tabs>
          <w:tab w:val="left" w:pos="720"/>
        </w:tabs>
        <w:spacing w:line="440" w:lineRule="exact"/>
        <w:ind w:firstLine="864" w:firstLineChars="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（5）工期保证措施</w:t>
      </w:r>
    </w:p>
    <w:p w14:paraId="2C993297">
      <w:pPr>
        <w:tabs>
          <w:tab w:val="left" w:pos="720"/>
        </w:tabs>
        <w:spacing w:line="440" w:lineRule="exact"/>
        <w:ind w:firstLine="864" w:firstLineChars="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（6）拟投入资源配备计划</w:t>
      </w:r>
    </w:p>
    <w:p w14:paraId="1A9E5C9A">
      <w:pPr>
        <w:tabs>
          <w:tab w:val="left" w:pos="720"/>
        </w:tabs>
        <w:spacing w:line="440" w:lineRule="exact"/>
        <w:ind w:firstLine="864" w:firstLineChars="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）施工总平面图布置</w:t>
      </w:r>
    </w:p>
    <w:p w14:paraId="173C540D">
      <w:pPr>
        <w:tabs>
          <w:tab w:val="left" w:pos="720"/>
        </w:tabs>
        <w:spacing w:line="440" w:lineRule="exact"/>
        <w:ind w:firstLine="864" w:firstLineChars="360"/>
        <w:rPr>
          <w:rFonts w:hint="eastAsia" w:ascii="仿宋" w:hAnsi="仿宋" w:eastAsia="仿宋" w:cs="仿宋"/>
          <w:b/>
          <w:color w:val="auto"/>
          <w:sz w:val="24"/>
          <w:szCs w:val="24"/>
          <w:highlight w:val="none"/>
          <w:lang w:val="en-US" w:eastAsia="zh-CN"/>
        </w:rPr>
        <w:sectPr>
          <w:footerReference r:id="rId19" w:type="default"/>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bookmarkStart w:id="618" w:name="_Toc31805"/>
      <w:bookmarkStart w:id="619" w:name="_Toc2263"/>
      <w:bookmarkStart w:id="620" w:name="_Toc9770"/>
      <w:r>
        <w:rPr>
          <w:rFonts w:hint="eastAsia" w:ascii="仿宋" w:hAnsi="仿宋" w:eastAsia="仿宋" w:cs="仿宋"/>
          <w:color w:val="auto"/>
          <w:sz w:val="24"/>
          <w:szCs w:val="24"/>
          <w:highlight w:val="none"/>
        </w:rPr>
        <w:t>项目风险预测与防范、事故应急预案</w:t>
      </w:r>
    </w:p>
    <w:p w14:paraId="0ABDE8D0">
      <w:pPr>
        <w:autoSpaceDE w:val="0"/>
        <w:autoSpaceDN w:val="0"/>
        <w:adjustRightInd w:val="0"/>
        <w:spacing w:line="360" w:lineRule="auto"/>
        <w:jc w:val="center"/>
        <w:outlineLvl w:val="1"/>
        <w:rPr>
          <w:rFonts w:hint="eastAsia" w:ascii="仿宋" w:hAnsi="仿宋" w:eastAsia="仿宋" w:cs="仿宋"/>
          <w:b/>
          <w:color w:val="auto"/>
          <w:sz w:val="30"/>
          <w:szCs w:val="30"/>
          <w:highlight w:val="none"/>
        </w:rPr>
      </w:pPr>
      <w:bookmarkStart w:id="621" w:name="_Toc28296"/>
      <w:r>
        <w:rPr>
          <w:rFonts w:hint="eastAsia" w:ascii="仿宋" w:hAnsi="仿宋" w:eastAsia="仿宋" w:cs="仿宋"/>
          <w:b/>
          <w:color w:val="auto"/>
          <w:sz w:val="30"/>
          <w:szCs w:val="30"/>
          <w:highlight w:val="none"/>
          <w:lang w:val="en-US" w:eastAsia="zh-CN"/>
        </w:rPr>
        <w:t>七</w:t>
      </w:r>
      <w:r>
        <w:rPr>
          <w:rFonts w:hint="eastAsia" w:ascii="仿宋" w:hAnsi="仿宋" w:eastAsia="仿宋" w:cs="仿宋"/>
          <w:b/>
          <w:color w:val="auto"/>
          <w:sz w:val="30"/>
          <w:szCs w:val="30"/>
          <w:highlight w:val="none"/>
        </w:rPr>
        <w:t>、项目管理机构</w:t>
      </w:r>
      <w:bookmarkEnd w:id="618"/>
      <w:bookmarkEnd w:id="619"/>
      <w:bookmarkEnd w:id="620"/>
      <w:bookmarkEnd w:id="621"/>
    </w:p>
    <w:p w14:paraId="73EC0C45">
      <w:pPr>
        <w:keepNext/>
        <w:keepLines/>
        <w:spacing w:line="560" w:lineRule="exact"/>
        <w:jc w:val="center"/>
        <w:outlineLvl w:val="3"/>
        <w:rPr>
          <w:rFonts w:hint="eastAsia" w:ascii="仿宋" w:hAnsi="仿宋" w:eastAsia="仿宋" w:cs="仿宋"/>
          <w:b/>
          <w:bCs/>
          <w:color w:val="auto"/>
          <w:kern w:val="0"/>
          <w:sz w:val="24"/>
          <w:szCs w:val="24"/>
          <w:highlight w:val="none"/>
        </w:rPr>
      </w:pPr>
      <w:bookmarkStart w:id="622" w:name="_Toc29273"/>
      <w:r>
        <w:rPr>
          <w:rFonts w:hint="eastAsia" w:ascii="仿宋" w:hAnsi="仿宋" w:eastAsia="仿宋" w:cs="仿宋"/>
          <w:b/>
          <w:bCs/>
          <w:color w:val="auto"/>
          <w:kern w:val="0"/>
          <w:sz w:val="24"/>
          <w:szCs w:val="24"/>
          <w:highlight w:val="none"/>
        </w:rPr>
        <w:t>（一）项目管理机构组成表</w:t>
      </w:r>
      <w:bookmarkEnd w:id="622"/>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667"/>
        <w:gridCol w:w="817"/>
        <w:gridCol w:w="1333"/>
        <w:gridCol w:w="1162"/>
        <w:gridCol w:w="2000"/>
        <w:gridCol w:w="1061"/>
        <w:gridCol w:w="982"/>
      </w:tblGrid>
      <w:tr w14:paraId="62DE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56" w:type="dxa"/>
            <w:vMerge w:val="restart"/>
            <w:noWrap w:val="0"/>
            <w:vAlign w:val="center"/>
          </w:tcPr>
          <w:p w14:paraId="437E5ED9">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667" w:type="dxa"/>
            <w:vMerge w:val="restart"/>
            <w:noWrap w:val="0"/>
            <w:vAlign w:val="center"/>
          </w:tcPr>
          <w:p w14:paraId="69D809FC">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817" w:type="dxa"/>
            <w:vMerge w:val="restart"/>
            <w:noWrap w:val="0"/>
            <w:vAlign w:val="center"/>
          </w:tcPr>
          <w:p w14:paraId="44E4504C">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5556" w:type="dxa"/>
            <w:gridSpan w:val="4"/>
            <w:noWrap w:val="0"/>
            <w:vAlign w:val="center"/>
          </w:tcPr>
          <w:p w14:paraId="71C1D379">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执业或职业资格证明</w:t>
            </w:r>
          </w:p>
        </w:tc>
        <w:tc>
          <w:tcPr>
            <w:tcW w:w="982" w:type="dxa"/>
            <w:vMerge w:val="restart"/>
            <w:noWrap w:val="0"/>
            <w:vAlign w:val="center"/>
          </w:tcPr>
          <w:p w14:paraId="2AEA6A11">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02BF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56" w:type="dxa"/>
            <w:vMerge w:val="continue"/>
            <w:noWrap w:val="0"/>
            <w:vAlign w:val="top"/>
          </w:tcPr>
          <w:p w14:paraId="42A16C68">
            <w:pPr>
              <w:spacing w:line="560" w:lineRule="exact"/>
              <w:rPr>
                <w:rFonts w:hint="eastAsia" w:ascii="仿宋" w:hAnsi="仿宋" w:eastAsia="仿宋" w:cs="仿宋"/>
                <w:color w:val="auto"/>
                <w:sz w:val="24"/>
                <w:szCs w:val="24"/>
                <w:highlight w:val="none"/>
              </w:rPr>
            </w:pPr>
          </w:p>
        </w:tc>
        <w:tc>
          <w:tcPr>
            <w:tcW w:w="667" w:type="dxa"/>
            <w:vMerge w:val="continue"/>
            <w:noWrap w:val="0"/>
            <w:vAlign w:val="top"/>
          </w:tcPr>
          <w:p w14:paraId="67225EAA">
            <w:pPr>
              <w:spacing w:line="560" w:lineRule="exact"/>
              <w:rPr>
                <w:rFonts w:hint="eastAsia" w:ascii="仿宋" w:hAnsi="仿宋" w:eastAsia="仿宋" w:cs="仿宋"/>
                <w:color w:val="auto"/>
                <w:sz w:val="24"/>
                <w:szCs w:val="24"/>
                <w:highlight w:val="none"/>
              </w:rPr>
            </w:pPr>
          </w:p>
        </w:tc>
        <w:tc>
          <w:tcPr>
            <w:tcW w:w="817" w:type="dxa"/>
            <w:vMerge w:val="continue"/>
            <w:noWrap w:val="0"/>
            <w:vAlign w:val="top"/>
          </w:tcPr>
          <w:p w14:paraId="2032AFA9">
            <w:pPr>
              <w:spacing w:line="560" w:lineRule="exact"/>
              <w:rPr>
                <w:rFonts w:hint="eastAsia" w:ascii="仿宋" w:hAnsi="仿宋" w:eastAsia="仿宋" w:cs="仿宋"/>
                <w:color w:val="auto"/>
                <w:sz w:val="24"/>
                <w:szCs w:val="24"/>
                <w:highlight w:val="none"/>
              </w:rPr>
            </w:pPr>
          </w:p>
        </w:tc>
        <w:tc>
          <w:tcPr>
            <w:tcW w:w="1333" w:type="dxa"/>
            <w:noWrap w:val="0"/>
            <w:vAlign w:val="center"/>
          </w:tcPr>
          <w:p w14:paraId="1B0F399A">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证书名称</w:t>
            </w:r>
          </w:p>
        </w:tc>
        <w:tc>
          <w:tcPr>
            <w:tcW w:w="1162" w:type="dxa"/>
            <w:noWrap w:val="0"/>
            <w:vAlign w:val="center"/>
          </w:tcPr>
          <w:p w14:paraId="63C5A61C">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级别</w:t>
            </w:r>
          </w:p>
        </w:tc>
        <w:tc>
          <w:tcPr>
            <w:tcW w:w="2000" w:type="dxa"/>
            <w:noWrap w:val="0"/>
            <w:vAlign w:val="center"/>
          </w:tcPr>
          <w:p w14:paraId="57FF98C4">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证号</w:t>
            </w:r>
          </w:p>
        </w:tc>
        <w:tc>
          <w:tcPr>
            <w:tcW w:w="1061" w:type="dxa"/>
            <w:noWrap w:val="0"/>
            <w:vAlign w:val="center"/>
          </w:tcPr>
          <w:p w14:paraId="4162FC04">
            <w:pPr>
              <w:spacing w:line="56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专业</w:t>
            </w:r>
          </w:p>
        </w:tc>
        <w:tc>
          <w:tcPr>
            <w:tcW w:w="982" w:type="dxa"/>
            <w:vMerge w:val="continue"/>
            <w:noWrap w:val="0"/>
            <w:vAlign w:val="top"/>
          </w:tcPr>
          <w:p w14:paraId="15E6CECC">
            <w:pPr>
              <w:spacing w:line="560" w:lineRule="exact"/>
              <w:rPr>
                <w:rFonts w:hint="eastAsia" w:ascii="仿宋" w:hAnsi="仿宋" w:eastAsia="仿宋" w:cs="仿宋"/>
                <w:color w:val="auto"/>
                <w:sz w:val="24"/>
                <w:szCs w:val="24"/>
                <w:highlight w:val="none"/>
              </w:rPr>
            </w:pPr>
          </w:p>
        </w:tc>
      </w:tr>
      <w:tr w14:paraId="4218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6" w:type="dxa"/>
            <w:noWrap w:val="0"/>
            <w:vAlign w:val="top"/>
          </w:tcPr>
          <w:p w14:paraId="54094B49">
            <w:pPr>
              <w:spacing w:line="560" w:lineRule="exact"/>
              <w:rPr>
                <w:rFonts w:hint="eastAsia" w:ascii="仿宋" w:hAnsi="仿宋" w:eastAsia="仿宋" w:cs="仿宋"/>
                <w:color w:val="auto"/>
                <w:sz w:val="24"/>
                <w:szCs w:val="24"/>
                <w:highlight w:val="none"/>
              </w:rPr>
            </w:pPr>
          </w:p>
        </w:tc>
        <w:tc>
          <w:tcPr>
            <w:tcW w:w="667" w:type="dxa"/>
            <w:noWrap w:val="0"/>
            <w:vAlign w:val="top"/>
          </w:tcPr>
          <w:p w14:paraId="79C4982B">
            <w:pPr>
              <w:spacing w:line="560" w:lineRule="exact"/>
              <w:rPr>
                <w:rFonts w:hint="eastAsia" w:ascii="仿宋" w:hAnsi="仿宋" w:eastAsia="仿宋" w:cs="仿宋"/>
                <w:color w:val="auto"/>
                <w:sz w:val="24"/>
                <w:szCs w:val="24"/>
                <w:highlight w:val="none"/>
              </w:rPr>
            </w:pPr>
          </w:p>
        </w:tc>
        <w:tc>
          <w:tcPr>
            <w:tcW w:w="817" w:type="dxa"/>
            <w:noWrap w:val="0"/>
            <w:vAlign w:val="top"/>
          </w:tcPr>
          <w:p w14:paraId="09F1C552">
            <w:pPr>
              <w:spacing w:line="560" w:lineRule="exact"/>
              <w:rPr>
                <w:rFonts w:hint="eastAsia" w:ascii="仿宋" w:hAnsi="仿宋" w:eastAsia="仿宋" w:cs="仿宋"/>
                <w:color w:val="auto"/>
                <w:sz w:val="24"/>
                <w:szCs w:val="24"/>
                <w:highlight w:val="none"/>
              </w:rPr>
            </w:pPr>
          </w:p>
        </w:tc>
        <w:tc>
          <w:tcPr>
            <w:tcW w:w="1333" w:type="dxa"/>
            <w:noWrap w:val="0"/>
            <w:vAlign w:val="top"/>
          </w:tcPr>
          <w:p w14:paraId="353FC61F">
            <w:pPr>
              <w:spacing w:line="560" w:lineRule="exact"/>
              <w:rPr>
                <w:rFonts w:hint="eastAsia" w:ascii="仿宋" w:hAnsi="仿宋" w:eastAsia="仿宋" w:cs="仿宋"/>
                <w:color w:val="auto"/>
                <w:sz w:val="24"/>
                <w:szCs w:val="24"/>
                <w:highlight w:val="none"/>
              </w:rPr>
            </w:pPr>
          </w:p>
        </w:tc>
        <w:tc>
          <w:tcPr>
            <w:tcW w:w="1162" w:type="dxa"/>
            <w:noWrap w:val="0"/>
            <w:vAlign w:val="top"/>
          </w:tcPr>
          <w:p w14:paraId="288082F9">
            <w:pPr>
              <w:spacing w:line="560" w:lineRule="exact"/>
              <w:rPr>
                <w:rFonts w:hint="eastAsia" w:ascii="仿宋" w:hAnsi="仿宋" w:eastAsia="仿宋" w:cs="仿宋"/>
                <w:color w:val="auto"/>
                <w:sz w:val="24"/>
                <w:szCs w:val="24"/>
                <w:highlight w:val="none"/>
              </w:rPr>
            </w:pPr>
          </w:p>
        </w:tc>
        <w:tc>
          <w:tcPr>
            <w:tcW w:w="2000" w:type="dxa"/>
            <w:noWrap w:val="0"/>
            <w:vAlign w:val="top"/>
          </w:tcPr>
          <w:p w14:paraId="7AE6FA0B">
            <w:pPr>
              <w:spacing w:line="560" w:lineRule="exact"/>
              <w:rPr>
                <w:rFonts w:hint="eastAsia" w:ascii="仿宋" w:hAnsi="仿宋" w:eastAsia="仿宋" w:cs="仿宋"/>
                <w:color w:val="auto"/>
                <w:sz w:val="24"/>
                <w:szCs w:val="24"/>
                <w:highlight w:val="none"/>
              </w:rPr>
            </w:pPr>
          </w:p>
        </w:tc>
        <w:tc>
          <w:tcPr>
            <w:tcW w:w="1061" w:type="dxa"/>
            <w:noWrap w:val="0"/>
            <w:vAlign w:val="top"/>
          </w:tcPr>
          <w:p w14:paraId="745313A6">
            <w:pPr>
              <w:spacing w:line="560" w:lineRule="exact"/>
              <w:jc w:val="center"/>
              <w:rPr>
                <w:rFonts w:hint="eastAsia" w:ascii="仿宋" w:hAnsi="仿宋" w:eastAsia="仿宋" w:cs="仿宋"/>
                <w:color w:val="auto"/>
                <w:sz w:val="24"/>
                <w:szCs w:val="24"/>
                <w:highlight w:val="none"/>
              </w:rPr>
            </w:pPr>
          </w:p>
        </w:tc>
        <w:tc>
          <w:tcPr>
            <w:tcW w:w="982" w:type="dxa"/>
            <w:noWrap w:val="0"/>
            <w:vAlign w:val="top"/>
          </w:tcPr>
          <w:p w14:paraId="3DDAFD46">
            <w:pPr>
              <w:spacing w:line="560" w:lineRule="exact"/>
              <w:rPr>
                <w:rFonts w:hint="eastAsia" w:ascii="仿宋" w:hAnsi="仿宋" w:eastAsia="仿宋" w:cs="仿宋"/>
                <w:color w:val="auto"/>
                <w:sz w:val="24"/>
                <w:szCs w:val="24"/>
                <w:highlight w:val="none"/>
              </w:rPr>
            </w:pPr>
          </w:p>
        </w:tc>
      </w:tr>
      <w:tr w14:paraId="4B76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6" w:type="dxa"/>
            <w:noWrap w:val="0"/>
            <w:vAlign w:val="top"/>
          </w:tcPr>
          <w:p w14:paraId="3E062EC3">
            <w:pPr>
              <w:spacing w:line="560" w:lineRule="exact"/>
              <w:rPr>
                <w:rFonts w:hint="eastAsia" w:ascii="仿宋" w:hAnsi="仿宋" w:eastAsia="仿宋" w:cs="仿宋"/>
                <w:color w:val="auto"/>
                <w:sz w:val="24"/>
                <w:szCs w:val="24"/>
                <w:highlight w:val="none"/>
              </w:rPr>
            </w:pPr>
          </w:p>
        </w:tc>
        <w:tc>
          <w:tcPr>
            <w:tcW w:w="667" w:type="dxa"/>
            <w:noWrap w:val="0"/>
            <w:vAlign w:val="top"/>
          </w:tcPr>
          <w:p w14:paraId="22974E33">
            <w:pPr>
              <w:spacing w:line="560" w:lineRule="exact"/>
              <w:rPr>
                <w:rFonts w:hint="eastAsia" w:ascii="仿宋" w:hAnsi="仿宋" w:eastAsia="仿宋" w:cs="仿宋"/>
                <w:color w:val="auto"/>
                <w:sz w:val="24"/>
                <w:szCs w:val="24"/>
                <w:highlight w:val="none"/>
              </w:rPr>
            </w:pPr>
          </w:p>
        </w:tc>
        <w:tc>
          <w:tcPr>
            <w:tcW w:w="817" w:type="dxa"/>
            <w:noWrap w:val="0"/>
            <w:vAlign w:val="top"/>
          </w:tcPr>
          <w:p w14:paraId="43008E73">
            <w:pPr>
              <w:spacing w:line="560" w:lineRule="exact"/>
              <w:rPr>
                <w:rFonts w:hint="eastAsia" w:ascii="仿宋" w:hAnsi="仿宋" w:eastAsia="仿宋" w:cs="仿宋"/>
                <w:color w:val="auto"/>
                <w:sz w:val="24"/>
                <w:szCs w:val="24"/>
                <w:highlight w:val="none"/>
              </w:rPr>
            </w:pPr>
          </w:p>
        </w:tc>
        <w:tc>
          <w:tcPr>
            <w:tcW w:w="1333" w:type="dxa"/>
            <w:noWrap w:val="0"/>
            <w:vAlign w:val="top"/>
          </w:tcPr>
          <w:p w14:paraId="5266770A">
            <w:pPr>
              <w:spacing w:line="560" w:lineRule="exact"/>
              <w:rPr>
                <w:rFonts w:hint="eastAsia" w:ascii="仿宋" w:hAnsi="仿宋" w:eastAsia="仿宋" w:cs="仿宋"/>
                <w:color w:val="auto"/>
                <w:sz w:val="24"/>
                <w:szCs w:val="24"/>
                <w:highlight w:val="none"/>
              </w:rPr>
            </w:pPr>
          </w:p>
        </w:tc>
        <w:tc>
          <w:tcPr>
            <w:tcW w:w="1162" w:type="dxa"/>
            <w:noWrap w:val="0"/>
            <w:vAlign w:val="top"/>
          </w:tcPr>
          <w:p w14:paraId="7D993CE3">
            <w:pPr>
              <w:spacing w:line="560" w:lineRule="exact"/>
              <w:rPr>
                <w:rFonts w:hint="eastAsia" w:ascii="仿宋" w:hAnsi="仿宋" w:eastAsia="仿宋" w:cs="仿宋"/>
                <w:color w:val="auto"/>
                <w:sz w:val="24"/>
                <w:szCs w:val="24"/>
                <w:highlight w:val="none"/>
              </w:rPr>
            </w:pPr>
          </w:p>
        </w:tc>
        <w:tc>
          <w:tcPr>
            <w:tcW w:w="2000" w:type="dxa"/>
            <w:noWrap w:val="0"/>
            <w:vAlign w:val="top"/>
          </w:tcPr>
          <w:p w14:paraId="297EB965">
            <w:pPr>
              <w:spacing w:line="560" w:lineRule="exact"/>
              <w:rPr>
                <w:rFonts w:hint="eastAsia" w:ascii="仿宋" w:hAnsi="仿宋" w:eastAsia="仿宋" w:cs="仿宋"/>
                <w:color w:val="auto"/>
                <w:sz w:val="24"/>
                <w:szCs w:val="24"/>
                <w:highlight w:val="none"/>
              </w:rPr>
            </w:pPr>
          </w:p>
        </w:tc>
        <w:tc>
          <w:tcPr>
            <w:tcW w:w="1061" w:type="dxa"/>
            <w:noWrap w:val="0"/>
            <w:vAlign w:val="top"/>
          </w:tcPr>
          <w:p w14:paraId="742EA7E9">
            <w:pPr>
              <w:spacing w:line="560" w:lineRule="exact"/>
              <w:rPr>
                <w:rFonts w:hint="eastAsia" w:ascii="仿宋" w:hAnsi="仿宋" w:eastAsia="仿宋" w:cs="仿宋"/>
                <w:color w:val="auto"/>
                <w:sz w:val="24"/>
                <w:szCs w:val="24"/>
                <w:highlight w:val="none"/>
              </w:rPr>
            </w:pPr>
          </w:p>
        </w:tc>
        <w:tc>
          <w:tcPr>
            <w:tcW w:w="982" w:type="dxa"/>
            <w:noWrap w:val="0"/>
            <w:vAlign w:val="top"/>
          </w:tcPr>
          <w:p w14:paraId="679BCD3E">
            <w:pPr>
              <w:spacing w:line="560" w:lineRule="exact"/>
              <w:rPr>
                <w:rFonts w:hint="eastAsia" w:ascii="仿宋" w:hAnsi="仿宋" w:eastAsia="仿宋" w:cs="仿宋"/>
                <w:color w:val="auto"/>
                <w:sz w:val="24"/>
                <w:szCs w:val="24"/>
                <w:highlight w:val="none"/>
              </w:rPr>
            </w:pPr>
          </w:p>
        </w:tc>
      </w:tr>
      <w:tr w14:paraId="0F06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6" w:type="dxa"/>
            <w:noWrap w:val="0"/>
            <w:vAlign w:val="top"/>
          </w:tcPr>
          <w:p w14:paraId="42AE4953">
            <w:pPr>
              <w:spacing w:line="560" w:lineRule="exact"/>
              <w:rPr>
                <w:rFonts w:hint="eastAsia" w:ascii="仿宋" w:hAnsi="仿宋" w:eastAsia="仿宋" w:cs="仿宋"/>
                <w:color w:val="auto"/>
                <w:sz w:val="24"/>
                <w:szCs w:val="24"/>
                <w:highlight w:val="none"/>
              </w:rPr>
            </w:pPr>
          </w:p>
        </w:tc>
        <w:tc>
          <w:tcPr>
            <w:tcW w:w="667" w:type="dxa"/>
            <w:noWrap w:val="0"/>
            <w:vAlign w:val="top"/>
          </w:tcPr>
          <w:p w14:paraId="5B149744">
            <w:pPr>
              <w:spacing w:line="560" w:lineRule="exact"/>
              <w:rPr>
                <w:rFonts w:hint="eastAsia" w:ascii="仿宋" w:hAnsi="仿宋" w:eastAsia="仿宋" w:cs="仿宋"/>
                <w:color w:val="auto"/>
                <w:sz w:val="24"/>
                <w:szCs w:val="24"/>
                <w:highlight w:val="none"/>
              </w:rPr>
            </w:pPr>
          </w:p>
        </w:tc>
        <w:tc>
          <w:tcPr>
            <w:tcW w:w="817" w:type="dxa"/>
            <w:noWrap w:val="0"/>
            <w:vAlign w:val="top"/>
          </w:tcPr>
          <w:p w14:paraId="46F6B7E2">
            <w:pPr>
              <w:spacing w:line="560" w:lineRule="exact"/>
              <w:rPr>
                <w:rFonts w:hint="eastAsia" w:ascii="仿宋" w:hAnsi="仿宋" w:eastAsia="仿宋" w:cs="仿宋"/>
                <w:color w:val="auto"/>
                <w:sz w:val="24"/>
                <w:szCs w:val="24"/>
                <w:highlight w:val="none"/>
              </w:rPr>
            </w:pPr>
          </w:p>
        </w:tc>
        <w:tc>
          <w:tcPr>
            <w:tcW w:w="1333" w:type="dxa"/>
            <w:noWrap w:val="0"/>
            <w:vAlign w:val="top"/>
          </w:tcPr>
          <w:p w14:paraId="6E67AA73">
            <w:pPr>
              <w:spacing w:line="560" w:lineRule="exact"/>
              <w:rPr>
                <w:rFonts w:hint="eastAsia" w:ascii="仿宋" w:hAnsi="仿宋" w:eastAsia="仿宋" w:cs="仿宋"/>
                <w:color w:val="auto"/>
                <w:sz w:val="24"/>
                <w:szCs w:val="24"/>
                <w:highlight w:val="none"/>
              </w:rPr>
            </w:pPr>
          </w:p>
        </w:tc>
        <w:tc>
          <w:tcPr>
            <w:tcW w:w="1162" w:type="dxa"/>
            <w:noWrap w:val="0"/>
            <w:vAlign w:val="top"/>
          </w:tcPr>
          <w:p w14:paraId="0380DBC6">
            <w:pPr>
              <w:spacing w:line="560" w:lineRule="exact"/>
              <w:rPr>
                <w:rFonts w:hint="eastAsia" w:ascii="仿宋" w:hAnsi="仿宋" w:eastAsia="仿宋" w:cs="仿宋"/>
                <w:color w:val="auto"/>
                <w:sz w:val="24"/>
                <w:szCs w:val="24"/>
                <w:highlight w:val="none"/>
              </w:rPr>
            </w:pPr>
          </w:p>
        </w:tc>
        <w:tc>
          <w:tcPr>
            <w:tcW w:w="2000" w:type="dxa"/>
            <w:noWrap w:val="0"/>
            <w:vAlign w:val="top"/>
          </w:tcPr>
          <w:p w14:paraId="4C9AB0E7">
            <w:pPr>
              <w:spacing w:line="560" w:lineRule="exact"/>
              <w:rPr>
                <w:rFonts w:hint="eastAsia" w:ascii="仿宋" w:hAnsi="仿宋" w:eastAsia="仿宋" w:cs="仿宋"/>
                <w:color w:val="auto"/>
                <w:sz w:val="24"/>
                <w:szCs w:val="24"/>
                <w:highlight w:val="none"/>
              </w:rPr>
            </w:pPr>
          </w:p>
        </w:tc>
        <w:tc>
          <w:tcPr>
            <w:tcW w:w="1061" w:type="dxa"/>
            <w:noWrap w:val="0"/>
            <w:vAlign w:val="top"/>
          </w:tcPr>
          <w:p w14:paraId="1AAF752D">
            <w:pPr>
              <w:spacing w:line="560" w:lineRule="exact"/>
              <w:rPr>
                <w:rFonts w:hint="eastAsia" w:ascii="仿宋" w:hAnsi="仿宋" w:eastAsia="仿宋" w:cs="仿宋"/>
                <w:color w:val="auto"/>
                <w:sz w:val="24"/>
                <w:szCs w:val="24"/>
                <w:highlight w:val="none"/>
              </w:rPr>
            </w:pPr>
          </w:p>
        </w:tc>
        <w:tc>
          <w:tcPr>
            <w:tcW w:w="982" w:type="dxa"/>
            <w:noWrap w:val="0"/>
            <w:vAlign w:val="top"/>
          </w:tcPr>
          <w:p w14:paraId="35E3F688">
            <w:pPr>
              <w:spacing w:line="560" w:lineRule="exact"/>
              <w:rPr>
                <w:rFonts w:hint="eastAsia" w:ascii="仿宋" w:hAnsi="仿宋" w:eastAsia="仿宋" w:cs="仿宋"/>
                <w:color w:val="auto"/>
                <w:sz w:val="24"/>
                <w:szCs w:val="24"/>
                <w:highlight w:val="none"/>
              </w:rPr>
            </w:pPr>
          </w:p>
        </w:tc>
      </w:tr>
      <w:tr w14:paraId="51FC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6" w:type="dxa"/>
            <w:noWrap w:val="0"/>
            <w:vAlign w:val="top"/>
          </w:tcPr>
          <w:p w14:paraId="29E9CEAB">
            <w:pPr>
              <w:spacing w:line="560" w:lineRule="exact"/>
              <w:rPr>
                <w:rFonts w:hint="eastAsia" w:ascii="仿宋" w:hAnsi="仿宋" w:eastAsia="仿宋" w:cs="仿宋"/>
                <w:color w:val="auto"/>
                <w:sz w:val="24"/>
                <w:szCs w:val="24"/>
                <w:highlight w:val="none"/>
              </w:rPr>
            </w:pPr>
          </w:p>
        </w:tc>
        <w:tc>
          <w:tcPr>
            <w:tcW w:w="667" w:type="dxa"/>
            <w:noWrap w:val="0"/>
            <w:vAlign w:val="top"/>
          </w:tcPr>
          <w:p w14:paraId="69F43872">
            <w:pPr>
              <w:spacing w:line="560" w:lineRule="exact"/>
              <w:rPr>
                <w:rFonts w:hint="eastAsia" w:ascii="仿宋" w:hAnsi="仿宋" w:eastAsia="仿宋" w:cs="仿宋"/>
                <w:color w:val="auto"/>
                <w:sz w:val="24"/>
                <w:szCs w:val="24"/>
                <w:highlight w:val="none"/>
              </w:rPr>
            </w:pPr>
          </w:p>
        </w:tc>
        <w:tc>
          <w:tcPr>
            <w:tcW w:w="817" w:type="dxa"/>
            <w:noWrap w:val="0"/>
            <w:vAlign w:val="top"/>
          </w:tcPr>
          <w:p w14:paraId="152CE9F3">
            <w:pPr>
              <w:spacing w:line="560" w:lineRule="exact"/>
              <w:rPr>
                <w:rFonts w:hint="eastAsia" w:ascii="仿宋" w:hAnsi="仿宋" w:eastAsia="仿宋" w:cs="仿宋"/>
                <w:color w:val="auto"/>
                <w:sz w:val="24"/>
                <w:szCs w:val="24"/>
                <w:highlight w:val="none"/>
              </w:rPr>
            </w:pPr>
          </w:p>
        </w:tc>
        <w:tc>
          <w:tcPr>
            <w:tcW w:w="1333" w:type="dxa"/>
            <w:noWrap w:val="0"/>
            <w:vAlign w:val="top"/>
          </w:tcPr>
          <w:p w14:paraId="22B631E4">
            <w:pPr>
              <w:spacing w:line="560" w:lineRule="exact"/>
              <w:rPr>
                <w:rFonts w:hint="eastAsia" w:ascii="仿宋" w:hAnsi="仿宋" w:eastAsia="仿宋" w:cs="仿宋"/>
                <w:color w:val="auto"/>
                <w:sz w:val="24"/>
                <w:szCs w:val="24"/>
                <w:highlight w:val="none"/>
              </w:rPr>
            </w:pPr>
          </w:p>
        </w:tc>
        <w:tc>
          <w:tcPr>
            <w:tcW w:w="1162" w:type="dxa"/>
            <w:noWrap w:val="0"/>
            <w:vAlign w:val="top"/>
          </w:tcPr>
          <w:p w14:paraId="3A3A3A6E">
            <w:pPr>
              <w:spacing w:line="560" w:lineRule="exact"/>
              <w:rPr>
                <w:rFonts w:hint="eastAsia" w:ascii="仿宋" w:hAnsi="仿宋" w:eastAsia="仿宋" w:cs="仿宋"/>
                <w:color w:val="auto"/>
                <w:sz w:val="24"/>
                <w:szCs w:val="24"/>
                <w:highlight w:val="none"/>
              </w:rPr>
            </w:pPr>
          </w:p>
        </w:tc>
        <w:tc>
          <w:tcPr>
            <w:tcW w:w="2000" w:type="dxa"/>
            <w:noWrap w:val="0"/>
            <w:vAlign w:val="top"/>
          </w:tcPr>
          <w:p w14:paraId="1E4A397E">
            <w:pPr>
              <w:spacing w:line="560" w:lineRule="exact"/>
              <w:rPr>
                <w:rFonts w:hint="eastAsia" w:ascii="仿宋" w:hAnsi="仿宋" w:eastAsia="仿宋" w:cs="仿宋"/>
                <w:color w:val="auto"/>
                <w:sz w:val="24"/>
                <w:szCs w:val="24"/>
                <w:highlight w:val="none"/>
              </w:rPr>
            </w:pPr>
          </w:p>
        </w:tc>
        <w:tc>
          <w:tcPr>
            <w:tcW w:w="1061" w:type="dxa"/>
            <w:noWrap w:val="0"/>
            <w:vAlign w:val="top"/>
          </w:tcPr>
          <w:p w14:paraId="0E4F34C1">
            <w:pPr>
              <w:spacing w:line="560" w:lineRule="exact"/>
              <w:rPr>
                <w:rFonts w:hint="eastAsia" w:ascii="仿宋" w:hAnsi="仿宋" w:eastAsia="仿宋" w:cs="仿宋"/>
                <w:color w:val="auto"/>
                <w:sz w:val="24"/>
                <w:szCs w:val="24"/>
                <w:highlight w:val="none"/>
              </w:rPr>
            </w:pPr>
          </w:p>
        </w:tc>
        <w:tc>
          <w:tcPr>
            <w:tcW w:w="982" w:type="dxa"/>
            <w:noWrap w:val="0"/>
            <w:vAlign w:val="top"/>
          </w:tcPr>
          <w:p w14:paraId="71447AFA">
            <w:pPr>
              <w:spacing w:line="560" w:lineRule="exact"/>
              <w:rPr>
                <w:rFonts w:hint="eastAsia" w:ascii="仿宋" w:hAnsi="仿宋" w:eastAsia="仿宋" w:cs="仿宋"/>
                <w:color w:val="auto"/>
                <w:sz w:val="24"/>
                <w:szCs w:val="24"/>
                <w:highlight w:val="none"/>
              </w:rPr>
            </w:pPr>
          </w:p>
        </w:tc>
      </w:tr>
      <w:tr w14:paraId="3886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6" w:type="dxa"/>
            <w:noWrap w:val="0"/>
            <w:vAlign w:val="top"/>
          </w:tcPr>
          <w:p w14:paraId="740CCCC7">
            <w:pPr>
              <w:spacing w:line="560" w:lineRule="exact"/>
              <w:rPr>
                <w:rFonts w:hint="eastAsia" w:ascii="仿宋" w:hAnsi="仿宋" w:eastAsia="仿宋" w:cs="仿宋"/>
                <w:color w:val="auto"/>
                <w:sz w:val="24"/>
                <w:szCs w:val="24"/>
                <w:highlight w:val="none"/>
              </w:rPr>
            </w:pPr>
          </w:p>
        </w:tc>
        <w:tc>
          <w:tcPr>
            <w:tcW w:w="667" w:type="dxa"/>
            <w:noWrap w:val="0"/>
            <w:vAlign w:val="top"/>
          </w:tcPr>
          <w:p w14:paraId="44442451">
            <w:pPr>
              <w:spacing w:line="560" w:lineRule="exact"/>
              <w:rPr>
                <w:rFonts w:hint="eastAsia" w:ascii="仿宋" w:hAnsi="仿宋" w:eastAsia="仿宋" w:cs="仿宋"/>
                <w:color w:val="auto"/>
                <w:sz w:val="24"/>
                <w:szCs w:val="24"/>
                <w:highlight w:val="none"/>
              </w:rPr>
            </w:pPr>
          </w:p>
        </w:tc>
        <w:tc>
          <w:tcPr>
            <w:tcW w:w="817" w:type="dxa"/>
            <w:noWrap w:val="0"/>
            <w:vAlign w:val="top"/>
          </w:tcPr>
          <w:p w14:paraId="61732914">
            <w:pPr>
              <w:spacing w:line="560" w:lineRule="exact"/>
              <w:rPr>
                <w:rFonts w:hint="eastAsia" w:ascii="仿宋" w:hAnsi="仿宋" w:eastAsia="仿宋" w:cs="仿宋"/>
                <w:color w:val="auto"/>
                <w:sz w:val="24"/>
                <w:szCs w:val="24"/>
                <w:highlight w:val="none"/>
              </w:rPr>
            </w:pPr>
          </w:p>
        </w:tc>
        <w:tc>
          <w:tcPr>
            <w:tcW w:w="1333" w:type="dxa"/>
            <w:noWrap w:val="0"/>
            <w:vAlign w:val="top"/>
          </w:tcPr>
          <w:p w14:paraId="2F9B09CA">
            <w:pPr>
              <w:spacing w:line="560" w:lineRule="exact"/>
              <w:rPr>
                <w:rFonts w:hint="eastAsia" w:ascii="仿宋" w:hAnsi="仿宋" w:eastAsia="仿宋" w:cs="仿宋"/>
                <w:color w:val="auto"/>
                <w:sz w:val="24"/>
                <w:szCs w:val="24"/>
                <w:highlight w:val="none"/>
              </w:rPr>
            </w:pPr>
          </w:p>
        </w:tc>
        <w:tc>
          <w:tcPr>
            <w:tcW w:w="1162" w:type="dxa"/>
            <w:noWrap w:val="0"/>
            <w:vAlign w:val="top"/>
          </w:tcPr>
          <w:p w14:paraId="04507196">
            <w:pPr>
              <w:spacing w:line="560" w:lineRule="exact"/>
              <w:rPr>
                <w:rFonts w:hint="eastAsia" w:ascii="仿宋" w:hAnsi="仿宋" w:eastAsia="仿宋" w:cs="仿宋"/>
                <w:color w:val="auto"/>
                <w:sz w:val="24"/>
                <w:szCs w:val="24"/>
                <w:highlight w:val="none"/>
              </w:rPr>
            </w:pPr>
          </w:p>
        </w:tc>
        <w:tc>
          <w:tcPr>
            <w:tcW w:w="2000" w:type="dxa"/>
            <w:noWrap w:val="0"/>
            <w:vAlign w:val="top"/>
          </w:tcPr>
          <w:p w14:paraId="2661B115">
            <w:pPr>
              <w:spacing w:line="560" w:lineRule="exact"/>
              <w:rPr>
                <w:rFonts w:hint="eastAsia" w:ascii="仿宋" w:hAnsi="仿宋" w:eastAsia="仿宋" w:cs="仿宋"/>
                <w:color w:val="auto"/>
                <w:sz w:val="24"/>
                <w:szCs w:val="24"/>
                <w:highlight w:val="none"/>
              </w:rPr>
            </w:pPr>
          </w:p>
        </w:tc>
        <w:tc>
          <w:tcPr>
            <w:tcW w:w="1061" w:type="dxa"/>
            <w:noWrap w:val="0"/>
            <w:vAlign w:val="top"/>
          </w:tcPr>
          <w:p w14:paraId="40E21BA8">
            <w:pPr>
              <w:spacing w:line="560" w:lineRule="exact"/>
              <w:rPr>
                <w:rFonts w:hint="eastAsia" w:ascii="仿宋" w:hAnsi="仿宋" w:eastAsia="仿宋" w:cs="仿宋"/>
                <w:color w:val="auto"/>
                <w:sz w:val="24"/>
                <w:szCs w:val="24"/>
                <w:highlight w:val="none"/>
              </w:rPr>
            </w:pPr>
          </w:p>
        </w:tc>
        <w:tc>
          <w:tcPr>
            <w:tcW w:w="982" w:type="dxa"/>
            <w:noWrap w:val="0"/>
            <w:vAlign w:val="top"/>
          </w:tcPr>
          <w:p w14:paraId="7DBC8685">
            <w:pPr>
              <w:spacing w:line="560" w:lineRule="exact"/>
              <w:rPr>
                <w:rFonts w:hint="eastAsia" w:ascii="仿宋" w:hAnsi="仿宋" w:eastAsia="仿宋" w:cs="仿宋"/>
                <w:color w:val="auto"/>
                <w:sz w:val="24"/>
                <w:szCs w:val="24"/>
                <w:highlight w:val="none"/>
              </w:rPr>
            </w:pPr>
          </w:p>
        </w:tc>
      </w:tr>
      <w:tr w14:paraId="463A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6" w:type="dxa"/>
            <w:noWrap w:val="0"/>
            <w:vAlign w:val="top"/>
          </w:tcPr>
          <w:p w14:paraId="55744AB8">
            <w:pPr>
              <w:spacing w:line="560" w:lineRule="exact"/>
              <w:rPr>
                <w:rFonts w:hint="eastAsia" w:ascii="仿宋" w:hAnsi="仿宋" w:eastAsia="仿宋" w:cs="仿宋"/>
                <w:color w:val="auto"/>
                <w:sz w:val="24"/>
                <w:szCs w:val="24"/>
                <w:highlight w:val="none"/>
              </w:rPr>
            </w:pPr>
          </w:p>
        </w:tc>
        <w:tc>
          <w:tcPr>
            <w:tcW w:w="667" w:type="dxa"/>
            <w:noWrap w:val="0"/>
            <w:vAlign w:val="top"/>
          </w:tcPr>
          <w:p w14:paraId="400D02E8">
            <w:pPr>
              <w:spacing w:line="560" w:lineRule="exact"/>
              <w:rPr>
                <w:rFonts w:hint="eastAsia" w:ascii="仿宋" w:hAnsi="仿宋" w:eastAsia="仿宋" w:cs="仿宋"/>
                <w:color w:val="auto"/>
                <w:sz w:val="24"/>
                <w:szCs w:val="24"/>
                <w:highlight w:val="none"/>
              </w:rPr>
            </w:pPr>
          </w:p>
        </w:tc>
        <w:tc>
          <w:tcPr>
            <w:tcW w:w="817" w:type="dxa"/>
            <w:noWrap w:val="0"/>
            <w:vAlign w:val="top"/>
          </w:tcPr>
          <w:p w14:paraId="08512EBF">
            <w:pPr>
              <w:spacing w:line="560" w:lineRule="exact"/>
              <w:rPr>
                <w:rFonts w:hint="eastAsia" w:ascii="仿宋" w:hAnsi="仿宋" w:eastAsia="仿宋" w:cs="仿宋"/>
                <w:color w:val="auto"/>
                <w:sz w:val="24"/>
                <w:szCs w:val="24"/>
                <w:highlight w:val="none"/>
              </w:rPr>
            </w:pPr>
          </w:p>
        </w:tc>
        <w:tc>
          <w:tcPr>
            <w:tcW w:w="1333" w:type="dxa"/>
            <w:noWrap w:val="0"/>
            <w:vAlign w:val="top"/>
          </w:tcPr>
          <w:p w14:paraId="1F9C8453">
            <w:pPr>
              <w:spacing w:line="560" w:lineRule="exact"/>
              <w:rPr>
                <w:rFonts w:hint="eastAsia" w:ascii="仿宋" w:hAnsi="仿宋" w:eastAsia="仿宋" w:cs="仿宋"/>
                <w:color w:val="auto"/>
                <w:sz w:val="24"/>
                <w:szCs w:val="24"/>
                <w:highlight w:val="none"/>
              </w:rPr>
            </w:pPr>
          </w:p>
        </w:tc>
        <w:tc>
          <w:tcPr>
            <w:tcW w:w="1162" w:type="dxa"/>
            <w:noWrap w:val="0"/>
            <w:vAlign w:val="top"/>
          </w:tcPr>
          <w:p w14:paraId="1FB9EF25">
            <w:pPr>
              <w:spacing w:line="560" w:lineRule="exact"/>
              <w:rPr>
                <w:rFonts w:hint="eastAsia" w:ascii="仿宋" w:hAnsi="仿宋" w:eastAsia="仿宋" w:cs="仿宋"/>
                <w:color w:val="auto"/>
                <w:sz w:val="24"/>
                <w:szCs w:val="24"/>
                <w:highlight w:val="none"/>
              </w:rPr>
            </w:pPr>
          </w:p>
        </w:tc>
        <w:tc>
          <w:tcPr>
            <w:tcW w:w="2000" w:type="dxa"/>
            <w:noWrap w:val="0"/>
            <w:vAlign w:val="top"/>
          </w:tcPr>
          <w:p w14:paraId="4D5A7C96">
            <w:pPr>
              <w:spacing w:line="560" w:lineRule="exact"/>
              <w:rPr>
                <w:rFonts w:hint="eastAsia" w:ascii="仿宋" w:hAnsi="仿宋" w:eastAsia="仿宋" w:cs="仿宋"/>
                <w:color w:val="auto"/>
                <w:sz w:val="24"/>
                <w:szCs w:val="24"/>
                <w:highlight w:val="none"/>
              </w:rPr>
            </w:pPr>
          </w:p>
        </w:tc>
        <w:tc>
          <w:tcPr>
            <w:tcW w:w="1061" w:type="dxa"/>
            <w:noWrap w:val="0"/>
            <w:vAlign w:val="top"/>
          </w:tcPr>
          <w:p w14:paraId="081CDC95">
            <w:pPr>
              <w:spacing w:line="560" w:lineRule="exact"/>
              <w:rPr>
                <w:rFonts w:hint="eastAsia" w:ascii="仿宋" w:hAnsi="仿宋" w:eastAsia="仿宋" w:cs="仿宋"/>
                <w:color w:val="auto"/>
                <w:sz w:val="24"/>
                <w:szCs w:val="24"/>
                <w:highlight w:val="none"/>
              </w:rPr>
            </w:pPr>
          </w:p>
        </w:tc>
        <w:tc>
          <w:tcPr>
            <w:tcW w:w="982" w:type="dxa"/>
            <w:noWrap w:val="0"/>
            <w:vAlign w:val="top"/>
          </w:tcPr>
          <w:p w14:paraId="0D1956B4">
            <w:pPr>
              <w:spacing w:line="560" w:lineRule="exact"/>
              <w:rPr>
                <w:rFonts w:hint="eastAsia" w:ascii="仿宋" w:hAnsi="仿宋" w:eastAsia="仿宋" w:cs="仿宋"/>
                <w:color w:val="auto"/>
                <w:sz w:val="24"/>
                <w:szCs w:val="24"/>
                <w:highlight w:val="none"/>
              </w:rPr>
            </w:pPr>
          </w:p>
        </w:tc>
      </w:tr>
      <w:tr w14:paraId="4945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6" w:type="dxa"/>
            <w:noWrap w:val="0"/>
            <w:vAlign w:val="top"/>
          </w:tcPr>
          <w:p w14:paraId="0AD1B79F">
            <w:pPr>
              <w:spacing w:line="560" w:lineRule="exact"/>
              <w:rPr>
                <w:rFonts w:hint="eastAsia" w:ascii="仿宋" w:hAnsi="仿宋" w:eastAsia="仿宋" w:cs="仿宋"/>
                <w:color w:val="auto"/>
                <w:sz w:val="24"/>
                <w:szCs w:val="24"/>
                <w:highlight w:val="none"/>
              </w:rPr>
            </w:pPr>
          </w:p>
        </w:tc>
        <w:tc>
          <w:tcPr>
            <w:tcW w:w="667" w:type="dxa"/>
            <w:noWrap w:val="0"/>
            <w:vAlign w:val="top"/>
          </w:tcPr>
          <w:p w14:paraId="1B1954D4">
            <w:pPr>
              <w:spacing w:line="560" w:lineRule="exact"/>
              <w:rPr>
                <w:rFonts w:hint="eastAsia" w:ascii="仿宋" w:hAnsi="仿宋" w:eastAsia="仿宋" w:cs="仿宋"/>
                <w:color w:val="auto"/>
                <w:sz w:val="24"/>
                <w:szCs w:val="24"/>
                <w:highlight w:val="none"/>
              </w:rPr>
            </w:pPr>
          </w:p>
        </w:tc>
        <w:tc>
          <w:tcPr>
            <w:tcW w:w="817" w:type="dxa"/>
            <w:noWrap w:val="0"/>
            <w:vAlign w:val="top"/>
          </w:tcPr>
          <w:p w14:paraId="4B1F95F6">
            <w:pPr>
              <w:spacing w:line="560" w:lineRule="exact"/>
              <w:rPr>
                <w:rFonts w:hint="eastAsia" w:ascii="仿宋" w:hAnsi="仿宋" w:eastAsia="仿宋" w:cs="仿宋"/>
                <w:color w:val="auto"/>
                <w:sz w:val="24"/>
                <w:szCs w:val="24"/>
                <w:highlight w:val="none"/>
              </w:rPr>
            </w:pPr>
          </w:p>
        </w:tc>
        <w:tc>
          <w:tcPr>
            <w:tcW w:w="1333" w:type="dxa"/>
            <w:noWrap w:val="0"/>
            <w:vAlign w:val="top"/>
          </w:tcPr>
          <w:p w14:paraId="6C593035">
            <w:pPr>
              <w:spacing w:line="560" w:lineRule="exact"/>
              <w:rPr>
                <w:rFonts w:hint="eastAsia" w:ascii="仿宋" w:hAnsi="仿宋" w:eastAsia="仿宋" w:cs="仿宋"/>
                <w:color w:val="auto"/>
                <w:sz w:val="24"/>
                <w:szCs w:val="24"/>
                <w:highlight w:val="none"/>
              </w:rPr>
            </w:pPr>
          </w:p>
        </w:tc>
        <w:tc>
          <w:tcPr>
            <w:tcW w:w="1162" w:type="dxa"/>
            <w:noWrap w:val="0"/>
            <w:vAlign w:val="top"/>
          </w:tcPr>
          <w:p w14:paraId="2F9CA688">
            <w:pPr>
              <w:spacing w:line="560" w:lineRule="exact"/>
              <w:rPr>
                <w:rFonts w:hint="eastAsia" w:ascii="仿宋" w:hAnsi="仿宋" w:eastAsia="仿宋" w:cs="仿宋"/>
                <w:color w:val="auto"/>
                <w:sz w:val="24"/>
                <w:szCs w:val="24"/>
                <w:highlight w:val="none"/>
              </w:rPr>
            </w:pPr>
          </w:p>
        </w:tc>
        <w:tc>
          <w:tcPr>
            <w:tcW w:w="2000" w:type="dxa"/>
            <w:noWrap w:val="0"/>
            <w:vAlign w:val="top"/>
          </w:tcPr>
          <w:p w14:paraId="54B75C8D">
            <w:pPr>
              <w:spacing w:line="560" w:lineRule="exact"/>
              <w:rPr>
                <w:rFonts w:hint="eastAsia" w:ascii="仿宋" w:hAnsi="仿宋" w:eastAsia="仿宋" w:cs="仿宋"/>
                <w:color w:val="auto"/>
                <w:sz w:val="24"/>
                <w:szCs w:val="24"/>
                <w:highlight w:val="none"/>
              </w:rPr>
            </w:pPr>
          </w:p>
        </w:tc>
        <w:tc>
          <w:tcPr>
            <w:tcW w:w="1061" w:type="dxa"/>
            <w:noWrap w:val="0"/>
            <w:vAlign w:val="top"/>
          </w:tcPr>
          <w:p w14:paraId="7CBBB370">
            <w:pPr>
              <w:spacing w:line="560" w:lineRule="exact"/>
              <w:rPr>
                <w:rFonts w:hint="eastAsia" w:ascii="仿宋" w:hAnsi="仿宋" w:eastAsia="仿宋" w:cs="仿宋"/>
                <w:color w:val="auto"/>
                <w:sz w:val="24"/>
                <w:szCs w:val="24"/>
                <w:highlight w:val="none"/>
              </w:rPr>
            </w:pPr>
          </w:p>
        </w:tc>
        <w:tc>
          <w:tcPr>
            <w:tcW w:w="982" w:type="dxa"/>
            <w:noWrap w:val="0"/>
            <w:vAlign w:val="top"/>
          </w:tcPr>
          <w:p w14:paraId="073E7493">
            <w:pPr>
              <w:spacing w:line="560" w:lineRule="exact"/>
              <w:rPr>
                <w:rFonts w:hint="eastAsia" w:ascii="仿宋" w:hAnsi="仿宋" w:eastAsia="仿宋" w:cs="仿宋"/>
                <w:color w:val="auto"/>
                <w:sz w:val="24"/>
                <w:szCs w:val="24"/>
                <w:highlight w:val="none"/>
              </w:rPr>
            </w:pPr>
          </w:p>
        </w:tc>
      </w:tr>
      <w:tr w14:paraId="622A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6" w:type="dxa"/>
            <w:noWrap w:val="0"/>
            <w:vAlign w:val="top"/>
          </w:tcPr>
          <w:p w14:paraId="182B1641">
            <w:pPr>
              <w:spacing w:line="560" w:lineRule="exact"/>
              <w:rPr>
                <w:rFonts w:hint="eastAsia" w:ascii="仿宋" w:hAnsi="仿宋" w:eastAsia="仿宋" w:cs="仿宋"/>
                <w:color w:val="auto"/>
                <w:sz w:val="24"/>
                <w:szCs w:val="24"/>
                <w:highlight w:val="none"/>
              </w:rPr>
            </w:pPr>
          </w:p>
        </w:tc>
        <w:tc>
          <w:tcPr>
            <w:tcW w:w="667" w:type="dxa"/>
            <w:noWrap w:val="0"/>
            <w:vAlign w:val="top"/>
          </w:tcPr>
          <w:p w14:paraId="3CC2C5B9">
            <w:pPr>
              <w:spacing w:line="560" w:lineRule="exact"/>
              <w:rPr>
                <w:rFonts w:hint="eastAsia" w:ascii="仿宋" w:hAnsi="仿宋" w:eastAsia="仿宋" w:cs="仿宋"/>
                <w:color w:val="auto"/>
                <w:sz w:val="24"/>
                <w:szCs w:val="24"/>
                <w:highlight w:val="none"/>
              </w:rPr>
            </w:pPr>
          </w:p>
        </w:tc>
        <w:tc>
          <w:tcPr>
            <w:tcW w:w="817" w:type="dxa"/>
            <w:noWrap w:val="0"/>
            <w:vAlign w:val="top"/>
          </w:tcPr>
          <w:p w14:paraId="4FE1FE38">
            <w:pPr>
              <w:spacing w:line="560" w:lineRule="exact"/>
              <w:rPr>
                <w:rFonts w:hint="eastAsia" w:ascii="仿宋" w:hAnsi="仿宋" w:eastAsia="仿宋" w:cs="仿宋"/>
                <w:color w:val="auto"/>
                <w:sz w:val="24"/>
                <w:szCs w:val="24"/>
                <w:highlight w:val="none"/>
              </w:rPr>
            </w:pPr>
          </w:p>
        </w:tc>
        <w:tc>
          <w:tcPr>
            <w:tcW w:w="1333" w:type="dxa"/>
            <w:noWrap w:val="0"/>
            <w:vAlign w:val="top"/>
          </w:tcPr>
          <w:p w14:paraId="3C98B369">
            <w:pPr>
              <w:spacing w:line="560" w:lineRule="exact"/>
              <w:rPr>
                <w:rFonts w:hint="eastAsia" w:ascii="仿宋" w:hAnsi="仿宋" w:eastAsia="仿宋" w:cs="仿宋"/>
                <w:color w:val="auto"/>
                <w:sz w:val="24"/>
                <w:szCs w:val="24"/>
                <w:highlight w:val="none"/>
              </w:rPr>
            </w:pPr>
          </w:p>
        </w:tc>
        <w:tc>
          <w:tcPr>
            <w:tcW w:w="1162" w:type="dxa"/>
            <w:noWrap w:val="0"/>
            <w:vAlign w:val="top"/>
          </w:tcPr>
          <w:p w14:paraId="50BB5DF7">
            <w:pPr>
              <w:spacing w:line="560" w:lineRule="exact"/>
              <w:rPr>
                <w:rFonts w:hint="eastAsia" w:ascii="仿宋" w:hAnsi="仿宋" w:eastAsia="仿宋" w:cs="仿宋"/>
                <w:color w:val="auto"/>
                <w:sz w:val="24"/>
                <w:szCs w:val="24"/>
                <w:highlight w:val="none"/>
              </w:rPr>
            </w:pPr>
          </w:p>
        </w:tc>
        <w:tc>
          <w:tcPr>
            <w:tcW w:w="2000" w:type="dxa"/>
            <w:noWrap w:val="0"/>
            <w:vAlign w:val="top"/>
          </w:tcPr>
          <w:p w14:paraId="2DDAD16D">
            <w:pPr>
              <w:spacing w:line="560" w:lineRule="exact"/>
              <w:rPr>
                <w:rFonts w:hint="eastAsia" w:ascii="仿宋" w:hAnsi="仿宋" w:eastAsia="仿宋" w:cs="仿宋"/>
                <w:color w:val="auto"/>
                <w:sz w:val="24"/>
                <w:szCs w:val="24"/>
                <w:highlight w:val="none"/>
              </w:rPr>
            </w:pPr>
          </w:p>
        </w:tc>
        <w:tc>
          <w:tcPr>
            <w:tcW w:w="1061" w:type="dxa"/>
            <w:noWrap w:val="0"/>
            <w:vAlign w:val="top"/>
          </w:tcPr>
          <w:p w14:paraId="61348330">
            <w:pPr>
              <w:spacing w:line="560" w:lineRule="exact"/>
              <w:rPr>
                <w:rFonts w:hint="eastAsia" w:ascii="仿宋" w:hAnsi="仿宋" w:eastAsia="仿宋" w:cs="仿宋"/>
                <w:color w:val="auto"/>
                <w:sz w:val="24"/>
                <w:szCs w:val="24"/>
                <w:highlight w:val="none"/>
              </w:rPr>
            </w:pPr>
          </w:p>
        </w:tc>
        <w:tc>
          <w:tcPr>
            <w:tcW w:w="982" w:type="dxa"/>
            <w:noWrap w:val="0"/>
            <w:vAlign w:val="top"/>
          </w:tcPr>
          <w:p w14:paraId="11FD36D2">
            <w:pPr>
              <w:spacing w:line="560" w:lineRule="exact"/>
              <w:rPr>
                <w:rFonts w:hint="eastAsia" w:ascii="仿宋" w:hAnsi="仿宋" w:eastAsia="仿宋" w:cs="仿宋"/>
                <w:color w:val="auto"/>
                <w:sz w:val="24"/>
                <w:szCs w:val="24"/>
                <w:highlight w:val="none"/>
              </w:rPr>
            </w:pPr>
          </w:p>
        </w:tc>
      </w:tr>
      <w:tr w14:paraId="5FB4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6" w:type="dxa"/>
            <w:noWrap w:val="0"/>
            <w:vAlign w:val="top"/>
          </w:tcPr>
          <w:p w14:paraId="0B098836">
            <w:pPr>
              <w:spacing w:line="560" w:lineRule="exact"/>
              <w:rPr>
                <w:rFonts w:hint="eastAsia" w:ascii="仿宋" w:hAnsi="仿宋" w:eastAsia="仿宋" w:cs="仿宋"/>
                <w:color w:val="auto"/>
                <w:sz w:val="24"/>
                <w:szCs w:val="24"/>
                <w:highlight w:val="none"/>
              </w:rPr>
            </w:pPr>
          </w:p>
        </w:tc>
        <w:tc>
          <w:tcPr>
            <w:tcW w:w="667" w:type="dxa"/>
            <w:noWrap w:val="0"/>
            <w:vAlign w:val="top"/>
          </w:tcPr>
          <w:p w14:paraId="003C55C6">
            <w:pPr>
              <w:spacing w:line="560" w:lineRule="exact"/>
              <w:rPr>
                <w:rFonts w:hint="eastAsia" w:ascii="仿宋" w:hAnsi="仿宋" w:eastAsia="仿宋" w:cs="仿宋"/>
                <w:color w:val="auto"/>
                <w:sz w:val="24"/>
                <w:szCs w:val="24"/>
                <w:highlight w:val="none"/>
              </w:rPr>
            </w:pPr>
          </w:p>
        </w:tc>
        <w:tc>
          <w:tcPr>
            <w:tcW w:w="817" w:type="dxa"/>
            <w:noWrap w:val="0"/>
            <w:vAlign w:val="top"/>
          </w:tcPr>
          <w:p w14:paraId="1CB5FADB">
            <w:pPr>
              <w:spacing w:line="560" w:lineRule="exact"/>
              <w:rPr>
                <w:rFonts w:hint="eastAsia" w:ascii="仿宋" w:hAnsi="仿宋" w:eastAsia="仿宋" w:cs="仿宋"/>
                <w:color w:val="auto"/>
                <w:sz w:val="24"/>
                <w:szCs w:val="24"/>
                <w:highlight w:val="none"/>
              </w:rPr>
            </w:pPr>
          </w:p>
        </w:tc>
        <w:tc>
          <w:tcPr>
            <w:tcW w:w="1333" w:type="dxa"/>
            <w:noWrap w:val="0"/>
            <w:vAlign w:val="top"/>
          </w:tcPr>
          <w:p w14:paraId="2213C9A3">
            <w:pPr>
              <w:spacing w:line="560" w:lineRule="exact"/>
              <w:rPr>
                <w:rFonts w:hint="eastAsia" w:ascii="仿宋" w:hAnsi="仿宋" w:eastAsia="仿宋" w:cs="仿宋"/>
                <w:color w:val="auto"/>
                <w:sz w:val="24"/>
                <w:szCs w:val="24"/>
                <w:highlight w:val="none"/>
              </w:rPr>
            </w:pPr>
          </w:p>
        </w:tc>
        <w:tc>
          <w:tcPr>
            <w:tcW w:w="1162" w:type="dxa"/>
            <w:noWrap w:val="0"/>
            <w:vAlign w:val="top"/>
          </w:tcPr>
          <w:p w14:paraId="54DBFEF1">
            <w:pPr>
              <w:spacing w:line="560" w:lineRule="exact"/>
              <w:rPr>
                <w:rFonts w:hint="eastAsia" w:ascii="仿宋" w:hAnsi="仿宋" w:eastAsia="仿宋" w:cs="仿宋"/>
                <w:color w:val="auto"/>
                <w:sz w:val="24"/>
                <w:szCs w:val="24"/>
                <w:highlight w:val="none"/>
              </w:rPr>
            </w:pPr>
          </w:p>
        </w:tc>
        <w:tc>
          <w:tcPr>
            <w:tcW w:w="2000" w:type="dxa"/>
            <w:noWrap w:val="0"/>
            <w:vAlign w:val="top"/>
          </w:tcPr>
          <w:p w14:paraId="2EDA5A05">
            <w:pPr>
              <w:spacing w:line="560" w:lineRule="exact"/>
              <w:rPr>
                <w:rFonts w:hint="eastAsia" w:ascii="仿宋" w:hAnsi="仿宋" w:eastAsia="仿宋" w:cs="仿宋"/>
                <w:color w:val="auto"/>
                <w:sz w:val="24"/>
                <w:szCs w:val="24"/>
                <w:highlight w:val="none"/>
              </w:rPr>
            </w:pPr>
          </w:p>
        </w:tc>
        <w:tc>
          <w:tcPr>
            <w:tcW w:w="1061" w:type="dxa"/>
            <w:noWrap w:val="0"/>
            <w:vAlign w:val="top"/>
          </w:tcPr>
          <w:p w14:paraId="2B34D158">
            <w:pPr>
              <w:spacing w:line="560" w:lineRule="exact"/>
              <w:rPr>
                <w:rFonts w:hint="eastAsia" w:ascii="仿宋" w:hAnsi="仿宋" w:eastAsia="仿宋" w:cs="仿宋"/>
                <w:color w:val="auto"/>
                <w:sz w:val="24"/>
                <w:szCs w:val="24"/>
                <w:highlight w:val="none"/>
              </w:rPr>
            </w:pPr>
          </w:p>
        </w:tc>
        <w:tc>
          <w:tcPr>
            <w:tcW w:w="982" w:type="dxa"/>
            <w:noWrap w:val="0"/>
            <w:vAlign w:val="top"/>
          </w:tcPr>
          <w:p w14:paraId="4A28429E">
            <w:pPr>
              <w:spacing w:line="560" w:lineRule="exact"/>
              <w:rPr>
                <w:rFonts w:hint="eastAsia" w:ascii="仿宋" w:hAnsi="仿宋" w:eastAsia="仿宋" w:cs="仿宋"/>
                <w:color w:val="auto"/>
                <w:sz w:val="24"/>
                <w:szCs w:val="24"/>
                <w:highlight w:val="none"/>
              </w:rPr>
            </w:pPr>
          </w:p>
        </w:tc>
      </w:tr>
      <w:tr w14:paraId="6AC6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6" w:type="dxa"/>
            <w:noWrap w:val="0"/>
            <w:vAlign w:val="top"/>
          </w:tcPr>
          <w:p w14:paraId="707A614D">
            <w:pPr>
              <w:spacing w:line="560" w:lineRule="exact"/>
              <w:rPr>
                <w:rFonts w:hint="eastAsia" w:ascii="仿宋" w:hAnsi="仿宋" w:eastAsia="仿宋" w:cs="仿宋"/>
                <w:color w:val="auto"/>
                <w:sz w:val="24"/>
                <w:szCs w:val="24"/>
                <w:highlight w:val="none"/>
              </w:rPr>
            </w:pPr>
          </w:p>
        </w:tc>
        <w:tc>
          <w:tcPr>
            <w:tcW w:w="667" w:type="dxa"/>
            <w:noWrap w:val="0"/>
            <w:vAlign w:val="top"/>
          </w:tcPr>
          <w:p w14:paraId="1CD4C8EC">
            <w:pPr>
              <w:spacing w:line="560" w:lineRule="exact"/>
              <w:rPr>
                <w:rFonts w:hint="eastAsia" w:ascii="仿宋" w:hAnsi="仿宋" w:eastAsia="仿宋" w:cs="仿宋"/>
                <w:color w:val="auto"/>
                <w:sz w:val="24"/>
                <w:szCs w:val="24"/>
                <w:highlight w:val="none"/>
              </w:rPr>
            </w:pPr>
          </w:p>
        </w:tc>
        <w:tc>
          <w:tcPr>
            <w:tcW w:w="817" w:type="dxa"/>
            <w:noWrap w:val="0"/>
            <w:vAlign w:val="top"/>
          </w:tcPr>
          <w:p w14:paraId="3B7D7378">
            <w:pPr>
              <w:spacing w:line="560" w:lineRule="exact"/>
              <w:rPr>
                <w:rFonts w:hint="eastAsia" w:ascii="仿宋" w:hAnsi="仿宋" w:eastAsia="仿宋" w:cs="仿宋"/>
                <w:color w:val="auto"/>
                <w:sz w:val="24"/>
                <w:szCs w:val="24"/>
                <w:highlight w:val="none"/>
              </w:rPr>
            </w:pPr>
          </w:p>
        </w:tc>
        <w:tc>
          <w:tcPr>
            <w:tcW w:w="1333" w:type="dxa"/>
            <w:noWrap w:val="0"/>
            <w:vAlign w:val="top"/>
          </w:tcPr>
          <w:p w14:paraId="5AE9858B">
            <w:pPr>
              <w:spacing w:line="560" w:lineRule="exact"/>
              <w:rPr>
                <w:rFonts w:hint="eastAsia" w:ascii="仿宋" w:hAnsi="仿宋" w:eastAsia="仿宋" w:cs="仿宋"/>
                <w:color w:val="auto"/>
                <w:sz w:val="24"/>
                <w:szCs w:val="24"/>
                <w:highlight w:val="none"/>
              </w:rPr>
            </w:pPr>
          </w:p>
        </w:tc>
        <w:tc>
          <w:tcPr>
            <w:tcW w:w="1162" w:type="dxa"/>
            <w:noWrap w:val="0"/>
            <w:vAlign w:val="top"/>
          </w:tcPr>
          <w:p w14:paraId="09751456">
            <w:pPr>
              <w:spacing w:line="560" w:lineRule="exact"/>
              <w:rPr>
                <w:rFonts w:hint="eastAsia" w:ascii="仿宋" w:hAnsi="仿宋" w:eastAsia="仿宋" w:cs="仿宋"/>
                <w:color w:val="auto"/>
                <w:sz w:val="24"/>
                <w:szCs w:val="24"/>
                <w:highlight w:val="none"/>
              </w:rPr>
            </w:pPr>
          </w:p>
        </w:tc>
        <w:tc>
          <w:tcPr>
            <w:tcW w:w="2000" w:type="dxa"/>
            <w:noWrap w:val="0"/>
            <w:vAlign w:val="top"/>
          </w:tcPr>
          <w:p w14:paraId="27CF6275">
            <w:pPr>
              <w:spacing w:line="560" w:lineRule="exact"/>
              <w:rPr>
                <w:rFonts w:hint="eastAsia" w:ascii="仿宋" w:hAnsi="仿宋" w:eastAsia="仿宋" w:cs="仿宋"/>
                <w:color w:val="auto"/>
                <w:sz w:val="24"/>
                <w:szCs w:val="24"/>
                <w:highlight w:val="none"/>
              </w:rPr>
            </w:pPr>
          </w:p>
        </w:tc>
        <w:tc>
          <w:tcPr>
            <w:tcW w:w="1061" w:type="dxa"/>
            <w:noWrap w:val="0"/>
            <w:vAlign w:val="top"/>
          </w:tcPr>
          <w:p w14:paraId="30E6B5E8">
            <w:pPr>
              <w:spacing w:line="560" w:lineRule="exact"/>
              <w:rPr>
                <w:rFonts w:hint="eastAsia" w:ascii="仿宋" w:hAnsi="仿宋" w:eastAsia="仿宋" w:cs="仿宋"/>
                <w:color w:val="auto"/>
                <w:sz w:val="24"/>
                <w:szCs w:val="24"/>
                <w:highlight w:val="none"/>
              </w:rPr>
            </w:pPr>
          </w:p>
        </w:tc>
        <w:tc>
          <w:tcPr>
            <w:tcW w:w="982" w:type="dxa"/>
            <w:noWrap w:val="0"/>
            <w:vAlign w:val="top"/>
          </w:tcPr>
          <w:p w14:paraId="58CF0D1A">
            <w:pPr>
              <w:spacing w:line="560" w:lineRule="exact"/>
              <w:rPr>
                <w:rFonts w:hint="eastAsia" w:ascii="仿宋" w:hAnsi="仿宋" w:eastAsia="仿宋" w:cs="仿宋"/>
                <w:color w:val="auto"/>
                <w:sz w:val="24"/>
                <w:szCs w:val="24"/>
                <w:highlight w:val="none"/>
              </w:rPr>
            </w:pPr>
          </w:p>
        </w:tc>
      </w:tr>
      <w:tr w14:paraId="795C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6" w:type="dxa"/>
            <w:noWrap w:val="0"/>
            <w:vAlign w:val="top"/>
          </w:tcPr>
          <w:p w14:paraId="580EA0BF">
            <w:pPr>
              <w:spacing w:line="560" w:lineRule="exact"/>
              <w:rPr>
                <w:rFonts w:hint="eastAsia" w:ascii="仿宋" w:hAnsi="仿宋" w:eastAsia="仿宋" w:cs="仿宋"/>
                <w:color w:val="auto"/>
                <w:sz w:val="24"/>
                <w:szCs w:val="24"/>
                <w:highlight w:val="none"/>
              </w:rPr>
            </w:pPr>
          </w:p>
        </w:tc>
        <w:tc>
          <w:tcPr>
            <w:tcW w:w="667" w:type="dxa"/>
            <w:noWrap w:val="0"/>
            <w:vAlign w:val="top"/>
          </w:tcPr>
          <w:p w14:paraId="6933B4E8">
            <w:pPr>
              <w:spacing w:line="560" w:lineRule="exact"/>
              <w:rPr>
                <w:rFonts w:hint="eastAsia" w:ascii="仿宋" w:hAnsi="仿宋" w:eastAsia="仿宋" w:cs="仿宋"/>
                <w:color w:val="auto"/>
                <w:sz w:val="24"/>
                <w:szCs w:val="24"/>
                <w:highlight w:val="none"/>
              </w:rPr>
            </w:pPr>
          </w:p>
        </w:tc>
        <w:tc>
          <w:tcPr>
            <w:tcW w:w="817" w:type="dxa"/>
            <w:noWrap w:val="0"/>
            <w:vAlign w:val="top"/>
          </w:tcPr>
          <w:p w14:paraId="0E1C09C3">
            <w:pPr>
              <w:spacing w:line="560" w:lineRule="exact"/>
              <w:rPr>
                <w:rFonts w:hint="eastAsia" w:ascii="仿宋" w:hAnsi="仿宋" w:eastAsia="仿宋" w:cs="仿宋"/>
                <w:color w:val="auto"/>
                <w:sz w:val="24"/>
                <w:szCs w:val="24"/>
                <w:highlight w:val="none"/>
              </w:rPr>
            </w:pPr>
          </w:p>
        </w:tc>
        <w:tc>
          <w:tcPr>
            <w:tcW w:w="1333" w:type="dxa"/>
            <w:noWrap w:val="0"/>
            <w:vAlign w:val="top"/>
          </w:tcPr>
          <w:p w14:paraId="235BC812">
            <w:pPr>
              <w:spacing w:line="560" w:lineRule="exact"/>
              <w:rPr>
                <w:rFonts w:hint="eastAsia" w:ascii="仿宋" w:hAnsi="仿宋" w:eastAsia="仿宋" w:cs="仿宋"/>
                <w:color w:val="auto"/>
                <w:sz w:val="24"/>
                <w:szCs w:val="24"/>
                <w:highlight w:val="none"/>
              </w:rPr>
            </w:pPr>
          </w:p>
        </w:tc>
        <w:tc>
          <w:tcPr>
            <w:tcW w:w="1162" w:type="dxa"/>
            <w:noWrap w:val="0"/>
            <w:vAlign w:val="top"/>
          </w:tcPr>
          <w:p w14:paraId="73317A9F">
            <w:pPr>
              <w:spacing w:line="560" w:lineRule="exact"/>
              <w:rPr>
                <w:rFonts w:hint="eastAsia" w:ascii="仿宋" w:hAnsi="仿宋" w:eastAsia="仿宋" w:cs="仿宋"/>
                <w:color w:val="auto"/>
                <w:sz w:val="24"/>
                <w:szCs w:val="24"/>
                <w:highlight w:val="none"/>
              </w:rPr>
            </w:pPr>
          </w:p>
        </w:tc>
        <w:tc>
          <w:tcPr>
            <w:tcW w:w="2000" w:type="dxa"/>
            <w:noWrap w:val="0"/>
            <w:vAlign w:val="top"/>
          </w:tcPr>
          <w:p w14:paraId="350EDA9A">
            <w:pPr>
              <w:spacing w:line="560" w:lineRule="exact"/>
              <w:rPr>
                <w:rFonts w:hint="eastAsia" w:ascii="仿宋" w:hAnsi="仿宋" w:eastAsia="仿宋" w:cs="仿宋"/>
                <w:color w:val="auto"/>
                <w:sz w:val="24"/>
                <w:szCs w:val="24"/>
                <w:highlight w:val="none"/>
              </w:rPr>
            </w:pPr>
          </w:p>
        </w:tc>
        <w:tc>
          <w:tcPr>
            <w:tcW w:w="1061" w:type="dxa"/>
            <w:noWrap w:val="0"/>
            <w:vAlign w:val="top"/>
          </w:tcPr>
          <w:p w14:paraId="44690DF1">
            <w:pPr>
              <w:spacing w:line="560" w:lineRule="exact"/>
              <w:rPr>
                <w:rFonts w:hint="eastAsia" w:ascii="仿宋" w:hAnsi="仿宋" w:eastAsia="仿宋" w:cs="仿宋"/>
                <w:color w:val="auto"/>
                <w:sz w:val="24"/>
                <w:szCs w:val="24"/>
                <w:highlight w:val="none"/>
              </w:rPr>
            </w:pPr>
          </w:p>
        </w:tc>
        <w:tc>
          <w:tcPr>
            <w:tcW w:w="982" w:type="dxa"/>
            <w:noWrap w:val="0"/>
            <w:vAlign w:val="top"/>
          </w:tcPr>
          <w:p w14:paraId="2AEDF2CE">
            <w:pPr>
              <w:spacing w:line="560" w:lineRule="exact"/>
              <w:rPr>
                <w:rFonts w:hint="eastAsia" w:ascii="仿宋" w:hAnsi="仿宋" w:eastAsia="仿宋" w:cs="仿宋"/>
                <w:color w:val="auto"/>
                <w:sz w:val="24"/>
                <w:szCs w:val="24"/>
                <w:highlight w:val="none"/>
              </w:rPr>
            </w:pPr>
          </w:p>
        </w:tc>
      </w:tr>
      <w:tr w14:paraId="7546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6" w:type="dxa"/>
            <w:noWrap w:val="0"/>
            <w:vAlign w:val="top"/>
          </w:tcPr>
          <w:p w14:paraId="3EECB722">
            <w:pPr>
              <w:spacing w:line="560" w:lineRule="exact"/>
              <w:rPr>
                <w:rFonts w:hint="eastAsia" w:ascii="仿宋" w:hAnsi="仿宋" w:eastAsia="仿宋" w:cs="仿宋"/>
                <w:color w:val="auto"/>
                <w:sz w:val="24"/>
                <w:szCs w:val="24"/>
                <w:highlight w:val="none"/>
              </w:rPr>
            </w:pPr>
          </w:p>
        </w:tc>
        <w:tc>
          <w:tcPr>
            <w:tcW w:w="667" w:type="dxa"/>
            <w:noWrap w:val="0"/>
            <w:vAlign w:val="top"/>
          </w:tcPr>
          <w:p w14:paraId="6189CBBE">
            <w:pPr>
              <w:spacing w:line="560" w:lineRule="exact"/>
              <w:rPr>
                <w:rFonts w:hint="eastAsia" w:ascii="仿宋" w:hAnsi="仿宋" w:eastAsia="仿宋" w:cs="仿宋"/>
                <w:color w:val="auto"/>
                <w:sz w:val="24"/>
                <w:szCs w:val="24"/>
                <w:highlight w:val="none"/>
              </w:rPr>
            </w:pPr>
          </w:p>
        </w:tc>
        <w:tc>
          <w:tcPr>
            <w:tcW w:w="817" w:type="dxa"/>
            <w:noWrap w:val="0"/>
            <w:vAlign w:val="top"/>
          </w:tcPr>
          <w:p w14:paraId="7F9F9075">
            <w:pPr>
              <w:spacing w:line="560" w:lineRule="exact"/>
              <w:rPr>
                <w:rFonts w:hint="eastAsia" w:ascii="仿宋" w:hAnsi="仿宋" w:eastAsia="仿宋" w:cs="仿宋"/>
                <w:color w:val="auto"/>
                <w:sz w:val="24"/>
                <w:szCs w:val="24"/>
                <w:highlight w:val="none"/>
              </w:rPr>
            </w:pPr>
          </w:p>
        </w:tc>
        <w:tc>
          <w:tcPr>
            <w:tcW w:w="1333" w:type="dxa"/>
            <w:noWrap w:val="0"/>
            <w:vAlign w:val="top"/>
          </w:tcPr>
          <w:p w14:paraId="6666FA2B">
            <w:pPr>
              <w:spacing w:line="560" w:lineRule="exact"/>
              <w:rPr>
                <w:rFonts w:hint="eastAsia" w:ascii="仿宋" w:hAnsi="仿宋" w:eastAsia="仿宋" w:cs="仿宋"/>
                <w:color w:val="auto"/>
                <w:sz w:val="24"/>
                <w:szCs w:val="24"/>
                <w:highlight w:val="none"/>
              </w:rPr>
            </w:pPr>
          </w:p>
        </w:tc>
        <w:tc>
          <w:tcPr>
            <w:tcW w:w="1162" w:type="dxa"/>
            <w:noWrap w:val="0"/>
            <w:vAlign w:val="top"/>
          </w:tcPr>
          <w:p w14:paraId="446C6FE3">
            <w:pPr>
              <w:spacing w:line="560" w:lineRule="exact"/>
              <w:rPr>
                <w:rFonts w:hint="eastAsia" w:ascii="仿宋" w:hAnsi="仿宋" w:eastAsia="仿宋" w:cs="仿宋"/>
                <w:color w:val="auto"/>
                <w:sz w:val="24"/>
                <w:szCs w:val="24"/>
                <w:highlight w:val="none"/>
              </w:rPr>
            </w:pPr>
          </w:p>
        </w:tc>
        <w:tc>
          <w:tcPr>
            <w:tcW w:w="2000" w:type="dxa"/>
            <w:noWrap w:val="0"/>
            <w:vAlign w:val="top"/>
          </w:tcPr>
          <w:p w14:paraId="2C1B7DC0">
            <w:pPr>
              <w:spacing w:line="560" w:lineRule="exact"/>
              <w:rPr>
                <w:rFonts w:hint="eastAsia" w:ascii="仿宋" w:hAnsi="仿宋" w:eastAsia="仿宋" w:cs="仿宋"/>
                <w:color w:val="auto"/>
                <w:sz w:val="24"/>
                <w:szCs w:val="24"/>
                <w:highlight w:val="none"/>
              </w:rPr>
            </w:pPr>
          </w:p>
        </w:tc>
        <w:tc>
          <w:tcPr>
            <w:tcW w:w="1061" w:type="dxa"/>
            <w:noWrap w:val="0"/>
            <w:vAlign w:val="top"/>
          </w:tcPr>
          <w:p w14:paraId="7C822A68">
            <w:pPr>
              <w:spacing w:line="560" w:lineRule="exact"/>
              <w:rPr>
                <w:rFonts w:hint="eastAsia" w:ascii="仿宋" w:hAnsi="仿宋" w:eastAsia="仿宋" w:cs="仿宋"/>
                <w:color w:val="auto"/>
                <w:sz w:val="24"/>
                <w:szCs w:val="24"/>
                <w:highlight w:val="none"/>
              </w:rPr>
            </w:pPr>
          </w:p>
        </w:tc>
        <w:tc>
          <w:tcPr>
            <w:tcW w:w="982" w:type="dxa"/>
            <w:noWrap w:val="0"/>
            <w:vAlign w:val="top"/>
          </w:tcPr>
          <w:p w14:paraId="720D8512">
            <w:pPr>
              <w:spacing w:line="560" w:lineRule="exact"/>
              <w:rPr>
                <w:rFonts w:hint="eastAsia" w:ascii="仿宋" w:hAnsi="仿宋" w:eastAsia="仿宋" w:cs="仿宋"/>
                <w:color w:val="auto"/>
                <w:sz w:val="24"/>
                <w:szCs w:val="24"/>
                <w:highlight w:val="none"/>
              </w:rPr>
            </w:pPr>
          </w:p>
        </w:tc>
      </w:tr>
      <w:tr w14:paraId="2B50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6" w:type="dxa"/>
            <w:noWrap w:val="0"/>
            <w:vAlign w:val="top"/>
          </w:tcPr>
          <w:p w14:paraId="5331C662">
            <w:pPr>
              <w:spacing w:line="560" w:lineRule="exact"/>
              <w:rPr>
                <w:rFonts w:hint="eastAsia" w:ascii="仿宋" w:hAnsi="仿宋" w:eastAsia="仿宋" w:cs="仿宋"/>
                <w:color w:val="auto"/>
                <w:sz w:val="24"/>
                <w:szCs w:val="24"/>
                <w:highlight w:val="none"/>
              </w:rPr>
            </w:pPr>
          </w:p>
        </w:tc>
        <w:tc>
          <w:tcPr>
            <w:tcW w:w="667" w:type="dxa"/>
            <w:noWrap w:val="0"/>
            <w:vAlign w:val="top"/>
          </w:tcPr>
          <w:p w14:paraId="7A1BDBDE">
            <w:pPr>
              <w:spacing w:line="560" w:lineRule="exact"/>
              <w:rPr>
                <w:rFonts w:hint="eastAsia" w:ascii="仿宋" w:hAnsi="仿宋" w:eastAsia="仿宋" w:cs="仿宋"/>
                <w:color w:val="auto"/>
                <w:sz w:val="24"/>
                <w:szCs w:val="24"/>
                <w:highlight w:val="none"/>
              </w:rPr>
            </w:pPr>
          </w:p>
        </w:tc>
        <w:tc>
          <w:tcPr>
            <w:tcW w:w="817" w:type="dxa"/>
            <w:noWrap w:val="0"/>
            <w:vAlign w:val="top"/>
          </w:tcPr>
          <w:p w14:paraId="15689268">
            <w:pPr>
              <w:spacing w:line="560" w:lineRule="exact"/>
              <w:rPr>
                <w:rFonts w:hint="eastAsia" w:ascii="仿宋" w:hAnsi="仿宋" w:eastAsia="仿宋" w:cs="仿宋"/>
                <w:color w:val="auto"/>
                <w:sz w:val="24"/>
                <w:szCs w:val="24"/>
                <w:highlight w:val="none"/>
              </w:rPr>
            </w:pPr>
          </w:p>
        </w:tc>
        <w:tc>
          <w:tcPr>
            <w:tcW w:w="1333" w:type="dxa"/>
            <w:noWrap w:val="0"/>
            <w:vAlign w:val="top"/>
          </w:tcPr>
          <w:p w14:paraId="6709B66F">
            <w:pPr>
              <w:spacing w:line="560" w:lineRule="exact"/>
              <w:rPr>
                <w:rFonts w:hint="eastAsia" w:ascii="仿宋" w:hAnsi="仿宋" w:eastAsia="仿宋" w:cs="仿宋"/>
                <w:color w:val="auto"/>
                <w:sz w:val="24"/>
                <w:szCs w:val="24"/>
                <w:highlight w:val="none"/>
              </w:rPr>
            </w:pPr>
          </w:p>
        </w:tc>
        <w:tc>
          <w:tcPr>
            <w:tcW w:w="1162" w:type="dxa"/>
            <w:noWrap w:val="0"/>
            <w:vAlign w:val="top"/>
          </w:tcPr>
          <w:p w14:paraId="69711172">
            <w:pPr>
              <w:spacing w:line="560" w:lineRule="exact"/>
              <w:rPr>
                <w:rFonts w:hint="eastAsia" w:ascii="仿宋" w:hAnsi="仿宋" w:eastAsia="仿宋" w:cs="仿宋"/>
                <w:color w:val="auto"/>
                <w:sz w:val="24"/>
                <w:szCs w:val="24"/>
                <w:highlight w:val="none"/>
              </w:rPr>
            </w:pPr>
          </w:p>
        </w:tc>
        <w:tc>
          <w:tcPr>
            <w:tcW w:w="2000" w:type="dxa"/>
            <w:noWrap w:val="0"/>
            <w:vAlign w:val="top"/>
          </w:tcPr>
          <w:p w14:paraId="5988FF07">
            <w:pPr>
              <w:spacing w:line="560" w:lineRule="exact"/>
              <w:rPr>
                <w:rFonts w:hint="eastAsia" w:ascii="仿宋" w:hAnsi="仿宋" w:eastAsia="仿宋" w:cs="仿宋"/>
                <w:color w:val="auto"/>
                <w:sz w:val="24"/>
                <w:szCs w:val="24"/>
                <w:highlight w:val="none"/>
              </w:rPr>
            </w:pPr>
          </w:p>
        </w:tc>
        <w:tc>
          <w:tcPr>
            <w:tcW w:w="1061" w:type="dxa"/>
            <w:noWrap w:val="0"/>
            <w:vAlign w:val="top"/>
          </w:tcPr>
          <w:p w14:paraId="2DE573F5">
            <w:pPr>
              <w:spacing w:line="560" w:lineRule="exact"/>
              <w:rPr>
                <w:rFonts w:hint="eastAsia" w:ascii="仿宋" w:hAnsi="仿宋" w:eastAsia="仿宋" w:cs="仿宋"/>
                <w:color w:val="auto"/>
                <w:sz w:val="24"/>
                <w:szCs w:val="24"/>
                <w:highlight w:val="none"/>
              </w:rPr>
            </w:pPr>
          </w:p>
        </w:tc>
        <w:tc>
          <w:tcPr>
            <w:tcW w:w="982" w:type="dxa"/>
            <w:noWrap w:val="0"/>
            <w:vAlign w:val="top"/>
          </w:tcPr>
          <w:p w14:paraId="676461AB">
            <w:pPr>
              <w:spacing w:line="560" w:lineRule="exact"/>
              <w:rPr>
                <w:rFonts w:hint="eastAsia" w:ascii="仿宋" w:hAnsi="仿宋" w:eastAsia="仿宋" w:cs="仿宋"/>
                <w:color w:val="auto"/>
                <w:sz w:val="24"/>
                <w:szCs w:val="24"/>
                <w:highlight w:val="none"/>
              </w:rPr>
            </w:pPr>
          </w:p>
        </w:tc>
      </w:tr>
      <w:tr w14:paraId="51EC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6" w:type="dxa"/>
            <w:noWrap w:val="0"/>
            <w:vAlign w:val="top"/>
          </w:tcPr>
          <w:p w14:paraId="2921A60F">
            <w:pPr>
              <w:spacing w:line="560" w:lineRule="exact"/>
              <w:rPr>
                <w:rFonts w:hint="eastAsia" w:ascii="仿宋" w:hAnsi="仿宋" w:eastAsia="仿宋" w:cs="仿宋"/>
                <w:color w:val="auto"/>
                <w:sz w:val="24"/>
                <w:szCs w:val="24"/>
                <w:highlight w:val="none"/>
              </w:rPr>
            </w:pPr>
          </w:p>
        </w:tc>
        <w:tc>
          <w:tcPr>
            <w:tcW w:w="667" w:type="dxa"/>
            <w:noWrap w:val="0"/>
            <w:vAlign w:val="top"/>
          </w:tcPr>
          <w:p w14:paraId="0B6219B7">
            <w:pPr>
              <w:spacing w:line="560" w:lineRule="exact"/>
              <w:rPr>
                <w:rFonts w:hint="eastAsia" w:ascii="仿宋" w:hAnsi="仿宋" w:eastAsia="仿宋" w:cs="仿宋"/>
                <w:color w:val="auto"/>
                <w:sz w:val="24"/>
                <w:szCs w:val="24"/>
                <w:highlight w:val="none"/>
              </w:rPr>
            </w:pPr>
          </w:p>
        </w:tc>
        <w:tc>
          <w:tcPr>
            <w:tcW w:w="817" w:type="dxa"/>
            <w:noWrap w:val="0"/>
            <w:vAlign w:val="top"/>
          </w:tcPr>
          <w:p w14:paraId="49CD5A40">
            <w:pPr>
              <w:spacing w:line="560" w:lineRule="exact"/>
              <w:rPr>
                <w:rFonts w:hint="eastAsia" w:ascii="仿宋" w:hAnsi="仿宋" w:eastAsia="仿宋" w:cs="仿宋"/>
                <w:color w:val="auto"/>
                <w:sz w:val="24"/>
                <w:szCs w:val="24"/>
                <w:highlight w:val="none"/>
              </w:rPr>
            </w:pPr>
          </w:p>
        </w:tc>
        <w:tc>
          <w:tcPr>
            <w:tcW w:w="1333" w:type="dxa"/>
            <w:noWrap w:val="0"/>
            <w:vAlign w:val="top"/>
          </w:tcPr>
          <w:p w14:paraId="3296EE7C">
            <w:pPr>
              <w:spacing w:line="560" w:lineRule="exact"/>
              <w:rPr>
                <w:rFonts w:hint="eastAsia" w:ascii="仿宋" w:hAnsi="仿宋" w:eastAsia="仿宋" w:cs="仿宋"/>
                <w:color w:val="auto"/>
                <w:sz w:val="24"/>
                <w:szCs w:val="24"/>
                <w:highlight w:val="none"/>
              </w:rPr>
            </w:pPr>
          </w:p>
        </w:tc>
        <w:tc>
          <w:tcPr>
            <w:tcW w:w="1162" w:type="dxa"/>
            <w:noWrap w:val="0"/>
            <w:vAlign w:val="top"/>
          </w:tcPr>
          <w:p w14:paraId="31F9CD16">
            <w:pPr>
              <w:spacing w:line="560" w:lineRule="exact"/>
              <w:rPr>
                <w:rFonts w:hint="eastAsia" w:ascii="仿宋" w:hAnsi="仿宋" w:eastAsia="仿宋" w:cs="仿宋"/>
                <w:color w:val="auto"/>
                <w:sz w:val="24"/>
                <w:szCs w:val="24"/>
                <w:highlight w:val="none"/>
              </w:rPr>
            </w:pPr>
          </w:p>
        </w:tc>
        <w:tc>
          <w:tcPr>
            <w:tcW w:w="2000" w:type="dxa"/>
            <w:noWrap w:val="0"/>
            <w:vAlign w:val="top"/>
          </w:tcPr>
          <w:p w14:paraId="41B6F6EE">
            <w:pPr>
              <w:spacing w:line="560" w:lineRule="exact"/>
              <w:rPr>
                <w:rFonts w:hint="eastAsia" w:ascii="仿宋" w:hAnsi="仿宋" w:eastAsia="仿宋" w:cs="仿宋"/>
                <w:color w:val="auto"/>
                <w:sz w:val="24"/>
                <w:szCs w:val="24"/>
                <w:highlight w:val="none"/>
              </w:rPr>
            </w:pPr>
          </w:p>
        </w:tc>
        <w:tc>
          <w:tcPr>
            <w:tcW w:w="1061" w:type="dxa"/>
            <w:noWrap w:val="0"/>
            <w:vAlign w:val="top"/>
          </w:tcPr>
          <w:p w14:paraId="6E664D0A">
            <w:pPr>
              <w:spacing w:line="560" w:lineRule="exact"/>
              <w:rPr>
                <w:rFonts w:hint="eastAsia" w:ascii="仿宋" w:hAnsi="仿宋" w:eastAsia="仿宋" w:cs="仿宋"/>
                <w:color w:val="auto"/>
                <w:sz w:val="24"/>
                <w:szCs w:val="24"/>
                <w:highlight w:val="none"/>
              </w:rPr>
            </w:pPr>
          </w:p>
        </w:tc>
        <w:tc>
          <w:tcPr>
            <w:tcW w:w="982" w:type="dxa"/>
            <w:noWrap w:val="0"/>
            <w:vAlign w:val="top"/>
          </w:tcPr>
          <w:p w14:paraId="6DCBE1B5">
            <w:pPr>
              <w:spacing w:line="560" w:lineRule="exact"/>
              <w:rPr>
                <w:rFonts w:hint="eastAsia" w:ascii="仿宋" w:hAnsi="仿宋" w:eastAsia="仿宋" w:cs="仿宋"/>
                <w:color w:val="auto"/>
                <w:sz w:val="24"/>
                <w:szCs w:val="24"/>
                <w:highlight w:val="none"/>
              </w:rPr>
            </w:pPr>
          </w:p>
        </w:tc>
      </w:tr>
    </w:tbl>
    <w:p w14:paraId="0E904479">
      <w:pPr>
        <w:spacing w:line="5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注：后附管理机构人员证书资料等。</w:t>
      </w:r>
    </w:p>
    <w:p w14:paraId="4370BDDD">
      <w:pPr>
        <w:spacing w:line="560" w:lineRule="exact"/>
        <w:rPr>
          <w:rFonts w:hint="eastAsia" w:ascii="仿宋" w:hAnsi="仿宋" w:eastAsia="仿宋" w:cs="仿宋"/>
          <w:color w:val="auto"/>
          <w:sz w:val="24"/>
          <w:szCs w:val="24"/>
          <w:highlight w:val="none"/>
        </w:rPr>
      </w:pPr>
    </w:p>
    <w:p w14:paraId="26B716C6">
      <w:pPr>
        <w:rPr>
          <w:rFonts w:hint="eastAsia" w:ascii="仿宋" w:hAnsi="仿宋" w:eastAsia="仿宋" w:cs="仿宋"/>
          <w:color w:val="auto"/>
          <w:sz w:val="24"/>
          <w:szCs w:val="24"/>
          <w:highlight w:val="none"/>
        </w:rPr>
      </w:pPr>
    </w:p>
    <w:p w14:paraId="632DAA2E">
      <w:pPr>
        <w:spacing w:after="120" w:line="360" w:lineRule="exact"/>
        <w:ind w:firstLine="420"/>
        <w:rPr>
          <w:rFonts w:hint="eastAsia" w:ascii="仿宋" w:hAnsi="仿宋" w:eastAsia="仿宋" w:cs="仿宋"/>
          <w:color w:val="auto"/>
          <w:kern w:val="0"/>
          <w:sz w:val="24"/>
          <w:szCs w:val="24"/>
          <w:highlight w:val="none"/>
        </w:rPr>
      </w:pPr>
    </w:p>
    <w:p w14:paraId="4F21E259">
      <w:pPr>
        <w:spacing w:after="120" w:line="360" w:lineRule="exact"/>
        <w:ind w:firstLine="420"/>
        <w:rPr>
          <w:rFonts w:hint="eastAsia" w:ascii="仿宋" w:hAnsi="仿宋" w:eastAsia="仿宋" w:cs="仿宋"/>
          <w:color w:val="auto"/>
          <w:kern w:val="0"/>
          <w:sz w:val="24"/>
          <w:szCs w:val="24"/>
          <w:highlight w:val="none"/>
        </w:rPr>
      </w:pPr>
    </w:p>
    <w:p w14:paraId="44C9F793">
      <w:pPr>
        <w:spacing w:after="120" w:line="360" w:lineRule="exact"/>
        <w:ind w:firstLine="420"/>
        <w:rPr>
          <w:rFonts w:hint="eastAsia" w:ascii="仿宋" w:hAnsi="仿宋" w:eastAsia="仿宋" w:cs="仿宋"/>
          <w:color w:val="auto"/>
          <w:kern w:val="0"/>
          <w:sz w:val="24"/>
          <w:szCs w:val="24"/>
          <w:highlight w:val="none"/>
        </w:rPr>
      </w:pPr>
    </w:p>
    <w:p w14:paraId="18A9E3BA">
      <w:pPr>
        <w:spacing w:after="120" w:line="360" w:lineRule="exact"/>
        <w:ind w:firstLine="420"/>
        <w:rPr>
          <w:rFonts w:hint="eastAsia" w:ascii="仿宋" w:hAnsi="仿宋" w:eastAsia="仿宋" w:cs="仿宋"/>
          <w:color w:val="auto"/>
          <w:kern w:val="0"/>
          <w:sz w:val="24"/>
          <w:szCs w:val="24"/>
          <w:highlight w:val="none"/>
        </w:rPr>
      </w:pPr>
    </w:p>
    <w:p w14:paraId="6689BEDF">
      <w:pPr>
        <w:keepNext/>
        <w:keepLines/>
        <w:numPr>
          <w:ilvl w:val="0"/>
          <w:numId w:val="5"/>
        </w:numPr>
        <w:spacing w:line="560" w:lineRule="exact"/>
        <w:jc w:val="center"/>
        <w:outlineLvl w:val="3"/>
        <w:rPr>
          <w:rFonts w:hint="eastAsia" w:ascii="仿宋" w:hAnsi="仿宋" w:eastAsia="仿宋" w:cs="仿宋"/>
          <w:b/>
          <w:bCs/>
          <w:color w:val="auto"/>
          <w:kern w:val="0"/>
          <w:sz w:val="24"/>
          <w:szCs w:val="24"/>
          <w:highlight w:val="none"/>
        </w:rPr>
      </w:pPr>
      <w:bookmarkStart w:id="623" w:name="_Toc7602"/>
      <w:r>
        <w:rPr>
          <w:rFonts w:hint="eastAsia" w:ascii="仿宋" w:hAnsi="仿宋" w:eastAsia="仿宋" w:cs="仿宋"/>
          <w:b/>
          <w:bCs/>
          <w:color w:val="auto"/>
          <w:kern w:val="0"/>
          <w:sz w:val="24"/>
          <w:szCs w:val="24"/>
          <w:highlight w:val="none"/>
        </w:rPr>
        <w:t>主要人员简历表</w:t>
      </w:r>
      <w:bookmarkEnd w:id="623"/>
    </w:p>
    <w:p w14:paraId="12347C0E">
      <w:pPr>
        <w:keepNext/>
        <w:keepLines/>
        <w:numPr>
          <w:ilvl w:val="0"/>
          <w:numId w:val="0"/>
        </w:numPr>
        <w:spacing w:line="560" w:lineRule="exact"/>
        <w:jc w:val="both"/>
        <w:outlineLvl w:val="3"/>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附1：项目经理简历表</w:t>
      </w:r>
    </w:p>
    <w:p w14:paraId="72E32ADA">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项目经理应附建造师身份证、</w:t>
      </w:r>
      <w:r>
        <w:rPr>
          <w:rFonts w:hint="eastAsia" w:ascii="仿宋" w:hAnsi="仿宋" w:eastAsia="仿宋" w:cs="仿宋"/>
          <w:color w:val="auto"/>
          <w:sz w:val="24"/>
          <w:szCs w:val="24"/>
          <w:highlight w:val="none"/>
          <w:lang w:val="en-US" w:eastAsia="zh-CN"/>
        </w:rPr>
        <w:t>学历证、</w:t>
      </w:r>
      <w:r>
        <w:rPr>
          <w:rFonts w:hint="eastAsia" w:ascii="仿宋" w:hAnsi="仿宋" w:eastAsia="仿宋" w:cs="仿宋"/>
          <w:color w:val="auto"/>
          <w:sz w:val="24"/>
          <w:szCs w:val="24"/>
          <w:highlight w:val="none"/>
        </w:rPr>
        <w:t>注册证书、安全生产考核合格证书、</w:t>
      </w:r>
      <w:r>
        <w:rPr>
          <w:rFonts w:hint="eastAsia" w:ascii="仿宋" w:hAnsi="仿宋" w:eastAsia="仿宋" w:cs="仿宋"/>
          <w:color w:val="auto"/>
          <w:sz w:val="24"/>
          <w:szCs w:val="24"/>
          <w:highlight w:val="none"/>
          <w:lang w:val="en-US" w:eastAsia="zh-CN"/>
        </w:rPr>
        <w:t>社保证明、</w:t>
      </w:r>
      <w:r>
        <w:rPr>
          <w:rFonts w:hint="eastAsia" w:ascii="仿宋" w:hAnsi="仿宋" w:eastAsia="仿宋" w:cs="仿宋"/>
          <w:color w:val="auto"/>
          <w:sz w:val="24"/>
          <w:szCs w:val="24"/>
          <w:highlight w:val="none"/>
        </w:rPr>
        <w:t>无在建工程承诺书</w:t>
      </w:r>
      <w:bookmarkStart w:id="624" w:name="_Hlk37358930"/>
      <w:r>
        <w:rPr>
          <w:rFonts w:hint="eastAsia" w:ascii="仿宋" w:hAnsi="仿宋" w:eastAsia="仿宋" w:cs="仿宋"/>
          <w:color w:val="auto"/>
          <w:sz w:val="24"/>
          <w:szCs w:val="24"/>
          <w:highlight w:val="none"/>
        </w:rPr>
        <w:t>，管理过的项目业绩须附</w:t>
      </w:r>
      <w:bookmarkEnd w:id="624"/>
      <w:r>
        <w:rPr>
          <w:rFonts w:hint="eastAsia" w:ascii="仿宋" w:hAnsi="仿宋" w:eastAsia="仿宋" w:cs="仿宋"/>
          <w:color w:val="auto"/>
          <w:sz w:val="24"/>
          <w:szCs w:val="24"/>
          <w:highlight w:val="none"/>
        </w:rPr>
        <w:t>合同协议书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若有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等证明材料。</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332"/>
        <w:gridCol w:w="1545"/>
        <w:gridCol w:w="1067"/>
        <w:gridCol w:w="862"/>
        <w:gridCol w:w="514"/>
        <w:gridCol w:w="1216"/>
        <w:gridCol w:w="700"/>
        <w:gridCol w:w="1706"/>
      </w:tblGrid>
      <w:tr w14:paraId="4836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67" w:type="dxa"/>
            <w:gridSpan w:val="2"/>
            <w:noWrap w:val="0"/>
            <w:vAlign w:val="center"/>
          </w:tcPr>
          <w:p w14:paraId="129C2040">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545" w:type="dxa"/>
            <w:noWrap w:val="0"/>
            <w:vAlign w:val="top"/>
          </w:tcPr>
          <w:p w14:paraId="5CA89C58">
            <w:pPr>
              <w:spacing w:line="560" w:lineRule="exact"/>
              <w:rPr>
                <w:rFonts w:hint="eastAsia" w:ascii="仿宋" w:hAnsi="仿宋" w:eastAsia="仿宋" w:cs="仿宋"/>
                <w:color w:val="auto"/>
                <w:sz w:val="24"/>
                <w:szCs w:val="24"/>
                <w:highlight w:val="none"/>
              </w:rPr>
            </w:pPr>
          </w:p>
        </w:tc>
        <w:tc>
          <w:tcPr>
            <w:tcW w:w="1067" w:type="dxa"/>
            <w:noWrap w:val="0"/>
            <w:vAlign w:val="center"/>
          </w:tcPr>
          <w:p w14:paraId="54BFF987">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1376" w:type="dxa"/>
            <w:gridSpan w:val="2"/>
            <w:noWrap w:val="0"/>
            <w:vAlign w:val="top"/>
          </w:tcPr>
          <w:p w14:paraId="425BF6DD">
            <w:pPr>
              <w:spacing w:line="560" w:lineRule="exact"/>
              <w:rPr>
                <w:rFonts w:hint="eastAsia" w:ascii="仿宋" w:hAnsi="仿宋" w:eastAsia="仿宋" w:cs="仿宋"/>
                <w:color w:val="auto"/>
                <w:sz w:val="24"/>
                <w:szCs w:val="24"/>
                <w:highlight w:val="none"/>
              </w:rPr>
            </w:pPr>
          </w:p>
        </w:tc>
        <w:tc>
          <w:tcPr>
            <w:tcW w:w="1916" w:type="dxa"/>
            <w:gridSpan w:val="2"/>
            <w:noWrap w:val="0"/>
            <w:vAlign w:val="center"/>
          </w:tcPr>
          <w:p w14:paraId="74B21B8B">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706" w:type="dxa"/>
            <w:noWrap w:val="0"/>
            <w:vAlign w:val="top"/>
          </w:tcPr>
          <w:p w14:paraId="7FF6AC06">
            <w:pPr>
              <w:spacing w:line="560" w:lineRule="exact"/>
              <w:rPr>
                <w:rFonts w:hint="eastAsia" w:ascii="仿宋" w:hAnsi="仿宋" w:eastAsia="仿宋" w:cs="仿宋"/>
                <w:color w:val="auto"/>
                <w:sz w:val="24"/>
                <w:szCs w:val="24"/>
                <w:highlight w:val="none"/>
              </w:rPr>
            </w:pPr>
          </w:p>
        </w:tc>
      </w:tr>
      <w:tr w14:paraId="3189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67" w:type="dxa"/>
            <w:gridSpan w:val="2"/>
            <w:noWrap w:val="0"/>
            <w:vAlign w:val="center"/>
          </w:tcPr>
          <w:p w14:paraId="42F5A38E">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1545" w:type="dxa"/>
            <w:noWrap w:val="0"/>
            <w:vAlign w:val="top"/>
          </w:tcPr>
          <w:p w14:paraId="58888C84">
            <w:pPr>
              <w:spacing w:line="560" w:lineRule="exact"/>
              <w:rPr>
                <w:rFonts w:hint="eastAsia" w:ascii="仿宋" w:hAnsi="仿宋" w:eastAsia="仿宋" w:cs="仿宋"/>
                <w:color w:val="auto"/>
                <w:sz w:val="24"/>
                <w:szCs w:val="24"/>
                <w:highlight w:val="none"/>
              </w:rPr>
            </w:pPr>
          </w:p>
        </w:tc>
        <w:tc>
          <w:tcPr>
            <w:tcW w:w="1067" w:type="dxa"/>
            <w:noWrap w:val="0"/>
            <w:vAlign w:val="center"/>
          </w:tcPr>
          <w:p w14:paraId="11965405">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376" w:type="dxa"/>
            <w:gridSpan w:val="2"/>
            <w:noWrap w:val="0"/>
            <w:vAlign w:val="top"/>
          </w:tcPr>
          <w:p w14:paraId="1E1CDF79">
            <w:pPr>
              <w:spacing w:line="560" w:lineRule="exact"/>
              <w:rPr>
                <w:rFonts w:hint="eastAsia" w:ascii="仿宋" w:hAnsi="仿宋" w:eastAsia="仿宋" w:cs="仿宋"/>
                <w:color w:val="auto"/>
                <w:sz w:val="24"/>
                <w:szCs w:val="24"/>
                <w:highlight w:val="none"/>
              </w:rPr>
            </w:pPr>
          </w:p>
        </w:tc>
        <w:tc>
          <w:tcPr>
            <w:tcW w:w="1916" w:type="dxa"/>
            <w:gridSpan w:val="2"/>
            <w:noWrap w:val="0"/>
            <w:vAlign w:val="center"/>
          </w:tcPr>
          <w:p w14:paraId="0E9C8162">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拟在本合同任职</w:t>
            </w:r>
          </w:p>
        </w:tc>
        <w:tc>
          <w:tcPr>
            <w:tcW w:w="1706" w:type="dxa"/>
            <w:noWrap w:val="0"/>
            <w:vAlign w:val="top"/>
          </w:tcPr>
          <w:p w14:paraId="3F7B6201">
            <w:pPr>
              <w:spacing w:line="560" w:lineRule="exact"/>
              <w:rPr>
                <w:rFonts w:hint="eastAsia" w:ascii="仿宋" w:hAnsi="仿宋" w:eastAsia="仿宋" w:cs="仿宋"/>
                <w:color w:val="auto"/>
                <w:sz w:val="24"/>
                <w:szCs w:val="24"/>
                <w:highlight w:val="none"/>
              </w:rPr>
            </w:pPr>
          </w:p>
        </w:tc>
      </w:tr>
      <w:tr w14:paraId="14B6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67" w:type="dxa"/>
            <w:gridSpan w:val="2"/>
            <w:noWrap w:val="0"/>
            <w:vAlign w:val="center"/>
          </w:tcPr>
          <w:p w14:paraId="1AA30DDE">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毕业学校</w:t>
            </w:r>
          </w:p>
        </w:tc>
        <w:tc>
          <w:tcPr>
            <w:tcW w:w="7610" w:type="dxa"/>
            <w:gridSpan w:val="7"/>
            <w:noWrap w:val="0"/>
            <w:vAlign w:val="top"/>
          </w:tcPr>
          <w:p w14:paraId="67170374">
            <w:pPr>
              <w:spacing w:line="56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年毕业于                 学校         专业</w:t>
            </w:r>
          </w:p>
        </w:tc>
      </w:tr>
      <w:tr w14:paraId="23ED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67" w:type="dxa"/>
            <w:gridSpan w:val="2"/>
            <w:noWrap w:val="0"/>
            <w:vAlign w:val="center"/>
          </w:tcPr>
          <w:p w14:paraId="509D8B0E">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eastAsia="zh-CN"/>
              </w:rPr>
              <w:t>注册建造师执业资格等级</w:t>
            </w:r>
          </w:p>
        </w:tc>
        <w:tc>
          <w:tcPr>
            <w:tcW w:w="7610" w:type="dxa"/>
            <w:gridSpan w:val="7"/>
            <w:noWrap w:val="0"/>
            <w:vAlign w:val="center"/>
          </w:tcPr>
          <w:p w14:paraId="118698ED">
            <w:pPr>
              <w:spacing w:line="56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证书等级：                 证书编号：</w:t>
            </w:r>
          </w:p>
        </w:tc>
      </w:tr>
      <w:tr w14:paraId="71B3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67" w:type="dxa"/>
            <w:gridSpan w:val="2"/>
            <w:noWrap w:val="0"/>
            <w:vAlign w:val="center"/>
          </w:tcPr>
          <w:p w14:paraId="7DC36C5F">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eastAsia="zh-CN"/>
              </w:rPr>
              <w:t>安全生产考核合格证书</w:t>
            </w:r>
          </w:p>
        </w:tc>
        <w:tc>
          <w:tcPr>
            <w:tcW w:w="7610" w:type="dxa"/>
            <w:gridSpan w:val="7"/>
            <w:noWrap w:val="0"/>
            <w:vAlign w:val="center"/>
          </w:tcPr>
          <w:p w14:paraId="0EA79E15">
            <w:pPr>
              <w:spacing w:line="5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证书编号：</w:t>
            </w:r>
          </w:p>
        </w:tc>
      </w:tr>
      <w:tr w14:paraId="5D56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177" w:type="dxa"/>
            <w:gridSpan w:val="9"/>
            <w:noWrap w:val="0"/>
            <w:vAlign w:val="top"/>
          </w:tcPr>
          <w:p w14:paraId="050674C3">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主要工作经历</w:t>
            </w:r>
          </w:p>
        </w:tc>
      </w:tr>
      <w:tr w14:paraId="03D6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35" w:type="dxa"/>
            <w:noWrap w:val="0"/>
            <w:vAlign w:val="center"/>
          </w:tcPr>
          <w:p w14:paraId="5873FFA7">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p>
        </w:tc>
        <w:tc>
          <w:tcPr>
            <w:tcW w:w="3806" w:type="dxa"/>
            <w:gridSpan w:val="4"/>
            <w:noWrap w:val="0"/>
            <w:vAlign w:val="center"/>
          </w:tcPr>
          <w:p w14:paraId="26B0F951">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参加过的类似项目</w:t>
            </w:r>
          </w:p>
        </w:tc>
        <w:tc>
          <w:tcPr>
            <w:tcW w:w="1730" w:type="dxa"/>
            <w:gridSpan w:val="2"/>
            <w:noWrap w:val="0"/>
            <w:vAlign w:val="center"/>
          </w:tcPr>
          <w:p w14:paraId="007164DA">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担任职务</w:t>
            </w:r>
          </w:p>
        </w:tc>
        <w:tc>
          <w:tcPr>
            <w:tcW w:w="2406" w:type="dxa"/>
            <w:gridSpan w:val="2"/>
            <w:noWrap w:val="0"/>
            <w:vAlign w:val="center"/>
          </w:tcPr>
          <w:p w14:paraId="6759E890">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发包人及联系电话</w:t>
            </w:r>
          </w:p>
        </w:tc>
      </w:tr>
      <w:tr w14:paraId="0105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35" w:type="dxa"/>
            <w:noWrap w:val="0"/>
            <w:vAlign w:val="top"/>
          </w:tcPr>
          <w:p w14:paraId="1C145697">
            <w:pPr>
              <w:spacing w:line="560" w:lineRule="exact"/>
              <w:rPr>
                <w:rFonts w:hint="eastAsia" w:ascii="仿宋" w:hAnsi="仿宋" w:eastAsia="仿宋" w:cs="仿宋"/>
                <w:color w:val="auto"/>
                <w:sz w:val="24"/>
                <w:szCs w:val="24"/>
                <w:highlight w:val="none"/>
              </w:rPr>
            </w:pPr>
          </w:p>
        </w:tc>
        <w:tc>
          <w:tcPr>
            <w:tcW w:w="3806" w:type="dxa"/>
            <w:gridSpan w:val="4"/>
            <w:noWrap w:val="0"/>
            <w:vAlign w:val="top"/>
          </w:tcPr>
          <w:p w14:paraId="032F195F">
            <w:pPr>
              <w:spacing w:line="560" w:lineRule="exact"/>
              <w:rPr>
                <w:rFonts w:hint="eastAsia" w:ascii="仿宋" w:hAnsi="仿宋" w:eastAsia="仿宋" w:cs="仿宋"/>
                <w:color w:val="auto"/>
                <w:sz w:val="24"/>
                <w:szCs w:val="24"/>
                <w:highlight w:val="none"/>
              </w:rPr>
            </w:pPr>
          </w:p>
        </w:tc>
        <w:tc>
          <w:tcPr>
            <w:tcW w:w="1730" w:type="dxa"/>
            <w:gridSpan w:val="2"/>
            <w:noWrap w:val="0"/>
            <w:vAlign w:val="top"/>
          </w:tcPr>
          <w:p w14:paraId="79ADD15A">
            <w:pPr>
              <w:spacing w:line="560" w:lineRule="exact"/>
              <w:rPr>
                <w:rFonts w:hint="eastAsia" w:ascii="仿宋" w:hAnsi="仿宋" w:eastAsia="仿宋" w:cs="仿宋"/>
                <w:color w:val="auto"/>
                <w:sz w:val="24"/>
                <w:szCs w:val="24"/>
                <w:highlight w:val="none"/>
              </w:rPr>
            </w:pPr>
          </w:p>
        </w:tc>
        <w:tc>
          <w:tcPr>
            <w:tcW w:w="2406" w:type="dxa"/>
            <w:gridSpan w:val="2"/>
            <w:noWrap w:val="0"/>
            <w:vAlign w:val="top"/>
          </w:tcPr>
          <w:p w14:paraId="49DFFBFA">
            <w:pPr>
              <w:spacing w:line="560" w:lineRule="exact"/>
              <w:rPr>
                <w:rFonts w:hint="eastAsia" w:ascii="仿宋" w:hAnsi="仿宋" w:eastAsia="仿宋" w:cs="仿宋"/>
                <w:color w:val="auto"/>
                <w:sz w:val="24"/>
                <w:szCs w:val="24"/>
                <w:highlight w:val="none"/>
              </w:rPr>
            </w:pPr>
          </w:p>
        </w:tc>
      </w:tr>
      <w:tr w14:paraId="65C1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5" w:type="dxa"/>
            <w:noWrap w:val="0"/>
            <w:vAlign w:val="top"/>
          </w:tcPr>
          <w:p w14:paraId="6861C1E5">
            <w:pPr>
              <w:spacing w:line="560" w:lineRule="exact"/>
              <w:rPr>
                <w:rFonts w:hint="eastAsia" w:ascii="仿宋" w:hAnsi="仿宋" w:eastAsia="仿宋" w:cs="仿宋"/>
                <w:color w:val="auto"/>
                <w:sz w:val="24"/>
                <w:szCs w:val="24"/>
                <w:highlight w:val="none"/>
              </w:rPr>
            </w:pPr>
          </w:p>
        </w:tc>
        <w:tc>
          <w:tcPr>
            <w:tcW w:w="3806" w:type="dxa"/>
            <w:gridSpan w:val="4"/>
            <w:noWrap w:val="0"/>
            <w:vAlign w:val="top"/>
          </w:tcPr>
          <w:p w14:paraId="1B64CF4B">
            <w:pPr>
              <w:spacing w:line="560" w:lineRule="exact"/>
              <w:rPr>
                <w:rFonts w:hint="eastAsia" w:ascii="仿宋" w:hAnsi="仿宋" w:eastAsia="仿宋" w:cs="仿宋"/>
                <w:color w:val="auto"/>
                <w:sz w:val="24"/>
                <w:szCs w:val="24"/>
                <w:highlight w:val="none"/>
              </w:rPr>
            </w:pPr>
          </w:p>
        </w:tc>
        <w:tc>
          <w:tcPr>
            <w:tcW w:w="1730" w:type="dxa"/>
            <w:gridSpan w:val="2"/>
            <w:noWrap w:val="0"/>
            <w:vAlign w:val="top"/>
          </w:tcPr>
          <w:p w14:paraId="7B40C7D9">
            <w:pPr>
              <w:spacing w:line="560" w:lineRule="exact"/>
              <w:rPr>
                <w:rFonts w:hint="eastAsia" w:ascii="仿宋" w:hAnsi="仿宋" w:eastAsia="仿宋" w:cs="仿宋"/>
                <w:color w:val="auto"/>
                <w:sz w:val="24"/>
                <w:szCs w:val="24"/>
                <w:highlight w:val="none"/>
              </w:rPr>
            </w:pPr>
          </w:p>
        </w:tc>
        <w:tc>
          <w:tcPr>
            <w:tcW w:w="2406" w:type="dxa"/>
            <w:gridSpan w:val="2"/>
            <w:noWrap w:val="0"/>
            <w:vAlign w:val="top"/>
          </w:tcPr>
          <w:p w14:paraId="28AA8758">
            <w:pPr>
              <w:spacing w:line="560" w:lineRule="exact"/>
              <w:rPr>
                <w:rFonts w:hint="eastAsia" w:ascii="仿宋" w:hAnsi="仿宋" w:eastAsia="仿宋" w:cs="仿宋"/>
                <w:color w:val="auto"/>
                <w:sz w:val="24"/>
                <w:szCs w:val="24"/>
                <w:highlight w:val="none"/>
              </w:rPr>
            </w:pPr>
          </w:p>
        </w:tc>
      </w:tr>
      <w:tr w14:paraId="1FBE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5" w:type="dxa"/>
            <w:noWrap w:val="0"/>
            <w:vAlign w:val="top"/>
          </w:tcPr>
          <w:p w14:paraId="7732DA6E">
            <w:pPr>
              <w:spacing w:line="560" w:lineRule="exact"/>
              <w:rPr>
                <w:rFonts w:hint="eastAsia" w:ascii="仿宋" w:hAnsi="仿宋" w:eastAsia="仿宋" w:cs="仿宋"/>
                <w:color w:val="auto"/>
                <w:sz w:val="24"/>
                <w:szCs w:val="24"/>
                <w:highlight w:val="none"/>
              </w:rPr>
            </w:pPr>
          </w:p>
        </w:tc>
        <w:tc>
          <w:tcPr>
            <w:tcW w:w="3806" w:type="dxa"/>
            <w:gridSpan w:val="4"/>
            <w:noWrap w:val="0"/>
            <w:vAlign w:val="top"/>
          </w:tcPr>
          <w:p w14:paraId="2E4E3BCA">
            <w:pPr>
              <w:spacing w:line="560" w:lineRule="exact"/>
              <w:rPr>
                <w:rFonts w:hint="eastAsia" w:ascii="仿宋" w:hAnsi="仿宋" w:eastAsia="仿宋" w:cs="仿宋"/>
                <w:color w:val="auto"/>
                <w:sz w:val="24"/>
                <w:szCs w:val="24"/>
                <w:highlight w:val="none"/>
              </w:rPr>
            </w:pPr>
          </w:p>
        </w:tc>
        <w:tc>
          <w:tcPr>
            <w:tcW w:w="1730" w:type="dxa"/>
            <w:gridSpan w:val="2"/>
            <w:noWrap w:val="0"/>
            <w:vAlign w:val="top"/>
          </w:tcPr>
          <w:p w14:paraId="5C305FB2">
            <w:pPr>
              <w:spacing w:line="560" w:lineRule="exact"/>
              <w:rPr>
                <w:rFonts w:hint="eastAsia" w:ascii="仿宋" w:hAnsi="仿宋" w:eastAsia="仿宋" w:cs="仿宋"/>
                <w:color w:val="auto"/>
                <w:sz w:val="24"/>
                <w:szCs w:val="24"/>
                <w:highlight w:val="none"/>
              </w:rPr>
            </w:pPr>
          </w:p>
        </w:tc>
        <w:tc>
          <w:tcPr>
            <w:tcW w:w="2406" w:type="dxa"/>
            <w:gridSpan w:val="2"/>
            <w:noWrap w:val="0"/>
            <w:vAlign w:val="top"/>
          </w:tcPr>
          <w:p w14:paraId="0C525246">
            <w:pPr>
              <w:spacing w:line="560" w:lineRule="exact"/>
              <w:rPr>
                <w:rFonts w:hint="eastAsia" w:ascii="仿宋" w:hAnsi="仿宋" w:eastAsia="仿宋" w:cs="仿宋"/>
                <w:color w:val="auto"/>
                <w:sz w:val="24"/>
                <w:szCs w:val="24"/>
                <w:highlight w:val="none"/>
              </w:rPr>
            </w:pPr>
          </w:p>
        </w:tc>
      </w:tr>
      <w:tr w14:paraId="0427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35" w:type="dxa"/>
            <w:noWrap w:val="0"/>
            <w:vAlign w:val="top"/>
          </w:tcPr>
          <w:p w14:paraId="07D313B3">
            <w:pPr>
              <w:spacing w:line="560" w:lineRule="exact"/>
              <w:rPr>
                <w:rFonts w:hint="eastAsia" w:ascii="仿宋" w:hAnsi="仿宋" w:eastAsia="仿宋" w:cs="仿宋"/>
                <w:color w:val="auto"/>
                <w:sz w:val="24"/>
                <w:szCs w:val="24"/>
                <w:highlight w:val="none"/>
              </w:rPr>
            </w:pPr>
          </w:p>
        </w:tc>
        <w:tc>
          <w:tcPr>
            <w:tcW w:w="3806" w:type="dxa"/>
            <w:gridSpan w:val="4"/>
            <w:noWrap w:val="0"/>
            <w:vAlign w:val="top"/>
          </w:tcPr>
          <w:p w14:paraId="6A95C957">
            <w:pPr>
              <w:spacing w:line="560" w:lineRule="exact"/>
              <w:rPr>
                <w:rFonts w:hint="eastAsia" w:ascii="仿宋" w:hAnsi="仿宋" w:eastAsia="仿宋" w:cs="仿宋"/>
                <w:color w:val="auto"/>
                <w:sz w:val="24"/>
                <w:szCs w:val="24"/>
                <w:highlight w:val="none"/>
              </w:rPr>
            </w:pPr>
          </w:p>
        </w:tc>
        <w:tc>
          <w:tcPr>
            <w:tcW w:w="1730" w:type="dxa"/>
            <w:gridSpan w:val="2"/>
            <w:noWrap w:val="0"/>
            <w:vAlign w:val="top"/>
          </w:tcPr>
          <w:p w14:paraId="04221297">
            <w:pPr>
              <w:spacing w:line="560" w:lineRule="exact"/>
              <w:rPr>
                <w:rFonts w:hint="eastAsia" w:ascii="仿宋" w:hAnsi="仿宋" w:eastAsia="仿宋" w:cs="仿宋"/>
                <w:color w:val="auto"/>
                <w:sz w:val="24"/>
                <w:szCs w:val="24"/>
                <w:highlight w:val="none"/>
              </w:rPr>
            </w:pPr>
          </w:p>
        </w:tc>
        <w:tc>
          <w:tcPr>
            <w:tcW w:w="2406" w:type="dxa"/>
            <w:gridSpan w:val="2"/>
            <w:noWrap w:val="0"/>
            <w:vAlign w:val="top"/>
          </w:tcPr>
          <w:p w14:paraId="4DF94FF2">
            <w:pPr>
              <w:spacing w:line="560" w:lineRule="exact"/>
              <w:rPr>
                <w:rFonts w:hint="eastAsia" w:ascii="仿宋" w:hAnsi="仿宋" w:eastAsia="仿宋" w:cs="仿宋"/>
                <w:color w:val="auto"/>
                <w:sz w:val="24"/>
                <w:szCs w:val="24"/>
                <w:highlight w:val="none"/>
              </w:rPr>
            </w:pPr>
          </w:p>
        </w:tc>
      </w:tr>
      <w:tr w14:paraId="484D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35" w:type="dxa"/>
            <w:noWrap w:val="0"/>
            <w:vAlign w:val="top"/>
          </w:tcPr>
          <w:p w14:paraId="61F3B4AF">
            <w:pPr>
              <w:spacing w:line="560" w:lineRule="exact"/>
              <w:rPr>
                <w:rFonts w:hint="eastAsia" w:ascii="仿宋" w:hAnsi="仿宋" w:eastAsia="仿宋" w:cs="仿宋"/>
                <w:color w:val="auto"/>
                <w:sz w:val="24"/>
                <w:szCs w:val="24"/>
                <w:highlight w:val="none"/>
              </w:rPr>
            </w:pPr>
          </w:p>
        </w:tc>
        <w:tc>
          <w:tcPr>
            <w:tcW w:w="3806" w:type="dxa"/>
            <w:gridSpan w:val="4"/>
            <w:noWrap w:val="0"/>
            <w:vAlign w:val="top"/>
          </w:tcPr>
          <w:p w14:paraId="645A7D09">
            <w:pPr>
              <w:spacing w:line="560" w:lineRule="exact"/>
              <w:rPr>
                <w:rFonts w:hint="eastAsia" w:ascii="仿宋" w:hAnsi="仿宋" w:eastAsia="仿宋" w:cs="仿宋"/>
                <w:color w:val="auto"/>
                <w:sz w:val="24"/>
                <w:szCs w:val="24"/>
                <w:highlight w:val="none"/>
              </w:rPr>
            </w:pPr>
          </w:p>
        </w:tc>
        <w:tc>
          <w:tcPr>
            <w:tcW w:w="1730" w:type="dxa"/>
            <w:gridSpan w:val="2"/>
            <w:noWrap w:val="0"/>
            <w:vAlign w:val="top"/>
          </w:tcPr>
          <w:p w14:paraId="3D0739B9">
            <w:pPr>
              <w:spacing w:line="560" w:lineRule="exact"/>
              <w:rPr>
                <w:rFonts w:hint="eastAsia" w:ascii="仿宋" w:hAnsi="仿宋" w:eastAsia="仿宋" w:cs="仿宋"/>
                <w:color w:val="auto"/>
                <w:sz w:val="24"/>
                <w:szCs w:val="24"/>
                <w:highlight w:val="none"/>
              </w:rPr>
            </w:pPr>
          </w:p>
        </w:tc>
        <w:tc>
          <w:tcPr>
            <w:tcW w:w="2406" w:type="dxa"/>
            <w:gridSpan w:val="2"/>
            <w:noWrap w:val="0"/>
            <w:vAlign w:val="top"/>
          </w:tcPr>
          <w:p w14:paraId="7E2B2862">
            <w:pPr>
              <w:spacing w:line="560" w:lineRule="exact"/>
              <w:rPr>
                <w:rFonts w:hint="eastAsia" w:ascii="仿宋" w:hAnsi="仿宋" w:eastAsia="仿宋" w:cs="仿宋"/>
                <w:color w:val="auto"/>
                <w:sz w:val="24"/>
                <w:szCs w:val="24"/>
                <w:highlight w:val="none"/>
              </w:rPr>
            </w:pPr>
          </w:p>
        </w:tc>
      </w:tr>
    </w:tbl>
    <w:p w14:paraId="4866B372">
      <w:pPr>
        <w:rPr>
          <w:rFonts w:hint="eastAsia" w:ascii="仿宋" w:hAnsi="仿宋" w:eastAsia="仿宋" w:cs="仿宋"/>
          <w:color w:val="auto"/>
          <w:sz w:val="24"/>
          <w:szCs w:val="24"/>
          <w:highlight w:val="none"/>
        </w:rPr>
      </w:pPr>
    </w:p>
    <w:p w14:paraId="017C6FDC">
      <w:pPr>
        <w:rPr>
          <w:rFonts w:hint="eastAsia" w:ascii="仿宋" w:hAnsi="仿宋" w:eastAsia="仿宋" w:cs="仿宋"/>
          <w:color w:val="auto"/>
          <w:sz w:val="24"/>
          <w:szCs w:val="24"/>
          <w:highlight w:val="none"/>
        </w:rPr>
      </w:pPr>
    </w:p>
    <w:p w14:paraId="125C902F">
      <w:pPr>
        <w:rPr>
          <w:rFonts w:hint="eastAsia" w:ascii="仿宋" w:hAnsi="仿宋" w:eastAsia="仿宋" w:cs="仿宋"/>
          <w:color w:val="auto"/>
          <w:sz w:val="24"/>
          <w:szCs w:val="24"/>
          <w:highlight w:val="none"/>
        </w:rPr>
      </w:pPr>
    </w:p>
    <w:p w14:paraId="64D98AFC">
      <w:pPr>
        <w:rPr>
          <w:rFonts w:hint="eastAsia" w:ascii="仿宋" w:hAnsi="仿宋" w:eastAsia="仿宋" w:cs="仿宋"/>
          <w:color w:val="auto"/>
          <w:sz w:val="24"/>
          <w:szCs w:val="24"/>
          <w:highlight w:val="none"/>
        </w:rPr>
        <w:sectPr>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p>
    <w:p w14:paraId="3E2C8D6F">
      <w:pPr>
        <w:keepNext/>
        <w:keepLines/>
        <w:numPr>
          <w:ilvl w:val="0"/>
          <w:numId w:val="0"/>
        </w:numPr>
        <w:spacing w:line="560" w:lineRule="exact"/>
        <w:jc w:val="both"/>
        <w:outlineLvl w:val="3"/>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附件2：</w:t>
      </w:r>
    </w:p>
    <w:p w14:paraId="47DC7A18">
      <w:pPr>
        <w:keepNext/>
        <w:keepLines/>
        <w:numPr>
          <w:ilvl w:val="0"/>
          <w:numId w:val="0"/>
        </w:numPr>
        <w:spacing w:line="560" w:lineRule="exact"/>
        <w:jc w:val="center"/>
        <w:outlineLvl w:val="3"/>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项目经理无在建承诺书</w:t>
      </w:r>
    </w:p>
    <w:p w14:paraId="282BD2A1">
      <w:pPr>
        <w:keepNext/>
        <w:keepLines/>
        <w:numPr>
          <w:ilvl w:val="0"/>
          <w:numId w:val="0"/>
        </w:numPr>
        <w:spacing w:line="560" w:lineRule="exact"/>
        <w:jc w:val="both"/>
        <w:outlineLvl w:val="3"/>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u w:val="single"/>
          <w:lang w:val="en-US" w:eastAsia="zh-CN"/>
        </w:rPr>
        <w:t xml:space="preserve">（采购人名称）   </w:t>
      </w:r>
      <w:r>
        <w:rPr>
          <w:rFonts w:hint="eastAsia" w:ascii="仿宋" w:hAnsi="仿宋" w:eastAsia="仿宋" w:cs="仿宋"/>
          <w:b w:val="0"/>
          <w:bCs w:val="0"/>
          <w:color w:val="auto"/>
          <w:kern w:val="0"/>
          <w:sz w:val="24"/>
          <w:szCs w:val="24"/>
          <w:highlight w:val="none"/>
          <w:lang w:val="en-US" w:eastAsia="zh-CN"/>
        </w:rPr>
        <w:t>：</w:t>
      </w:r>
    </w:p>
    <w:p w14:paraId="6BA1CE20">
      <w:pPr>
        <w:keepNext/>
        <w:keepLines/>
        <w:numPr>
          <w:ilvl w:val="0"/>
          <w:numId w:val="0"/>
        </w:numPr>
        <w:spacing w:line="560" w:lineRule="exact"/>
        <w:ind w:firstLine="480" w:firstLineChars="200"/>
        <w:jc w:val="both"/>
        <w:outlineLvl w:val="3"/>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我方在此声明，我方拟派往</w:t>
      </w:r>
      <w:r>
        <w:rPr>
          <w:rFonts w:hint="eastAsia" w:ascii="仿宋" w:hAnsi="仿宋" w:eastAsia="仿宋" w:cs="仿宋"/>
          <w:b w:val="0"/>
          <w:bCs w:val="0"/>
          <w:color w:val="auto"/>
          <w:kern w:val="0"/>
          <w:sz w:val="24"/>
          <w:szCs w:val="24"/>
          <w:highlight w:val="none"/>
          <w:u w:val="single"/>
          <w:lang w:val="en-US" w:eastAsia="zh-CN"/>
        </w:rPr>
        <w:t xml:space="preserve"> （项目名称）  </w:t>
      </w:r>
      <w:r>
        <w:rPr>
          <w:rFonts w:hint="eastAsia" w:ascii="仿宋" w:hAnsi="仿宋" w:eastAsia="仿宋" w:cs="仿宋"/>
          <w:b w:val="0"/>
          <w:bCs w:val="0"/>
          <w:color w:val="auto"/>
          <w:kern w:val="0"/>
          <w:sz w:val="24"/>
          <w:szCs w:val="24"/>
          <w:highlight w:val="none"/>
          <w:lang w:val="en-US" w:eastAsia="zh-CN"/>
        </w:rPr>
        <w:t>（以下简称“本工程”）的项目经理</w:t>
      </w:r>
      <w:r>
        <w:rPr>
          <w:rFonts w:hint="eastAsia" w:ascii="仿宋" w:hAnsi="仿宋" w:eastAsia="仿宋" w:cs="仿宋"/>
          <w:b w:val="0"/>
          <w:bCs w:val="0"/>
          <w:color w:val="auto"/>
          <w:kern w:val="0"/>
          <w:sz w:val="24"/>
          <w:szCs w:val="24"/>
          <w:highlight w:val="none"/>
          <w:u w:val="single"/>
          <w:lang w:val="en-US" w:eastAsia="zh-CN"/>
        </w:rPr>
        <w:t>（项目经理姓名）</w:t>
      </w:r>
      <w:r>
        <w:rPr>
          <w:rFonts w:hint="eastAsia" w:ascii="仿宋" w:hAnsi="仿宋" w:eastAsia="仿宋" w:cs="仿宋"/>
          <w:b w:val="0"/>
          <w:bCs w:val="0"/>
          <w:color w:val="auto"/>
          <w:kern w:val="0"/>
          <w:sz w:val="24"/>
          <w:szCs w:val="24"/>
          <w:highlight w:val="none"/>
          <w:lang w:val="en-US" w:eastAsia="zh-CN"/>
        </w:rPr>
        <w:t>现阶段没有担任任何在施建设工程项目的项目经理。我方保证上述信息的真实和准确，并愿意承担因我方就此弄虚作假所引起的一切法律后果。</w:t>
      </w:r>
    </w:p>
    <w:p w14:paraId="2B20E570">
      <w:pPr>
        <w:keepNext/>
        <w:keepLines/>
        <w:numPr>
          <w:ilvl w:val="0"/>
          <w:numId w:val="0"/>
        </w:numPr>
        <w:spacing w:line="560" w:lineRule="exact"/>
        <w:ind w:firstLine="480" w:firstLineChars="200"/>
        <w:jc w:val="both"/>
        <w:outlineLvl w:val="3"/>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特此承诺！</w:t>
      </w:r>
    </w:p>
    <w:p w14:paraId="73459EB4">
      <w:pPr>
        <w:keepNext/>
        <w:keepLines/>
        <w:numPr>
          <w:ilvl w:val="0"/>
          <w:numId w:val="0"/>
        </w:numPr>
        <w:spacing w:line="560" w:lineRule="exact"/>
        <w:jc w:val="both"/>
        <w:outlineLvl w:val="3"/>
        <w:rPr>
          <w:rFonts w:hint="eastAsia" w:ascii="仿宋" w:hAnsi="仿宋" w:eastAsia="仿宋" w:cs="仿宋"/>
          <w:b w:val="0"/>
          <w:bCs w:val="0"/>
          <w:color w:val="auto"/>
          <w:kern w:val="0"/>
          <w:sz w:val="24"/>
          <w:szCs w:val="24"/>
          <w:highlight w:val="none"/>
          <w:lang w:val="en-US" w:eastAsia="zh-CN"/>
        </w:rPr>
      </w:pPr>
    </w:p>
    <w:p w14:paraId="1642A288">
      <w:pPr>
        <w:keepNext/>
        <w:keepLines/>
        <w:numPr>
          <w:ilvl w:val="0"/>
          <w:numId w:val="0"/>
        </w:numPr>
        <w:spacing w:line="560" w:lineRule="exact"/>
        <w:jc w:val="both"/>
        <w:outlineLvl w:val="3"/>
        <w:rPr>
          <w:rFonts w:hint="eastAsia" w:ascii="仿宋" w:hAnsi="仿宋" w:eastAsia="仿宋" w:cs="仿宋"/>
          <w:b w:val="0"/>
          <w:bCs w:val="0"/>
          <w:color w:val="auto"/>
          <w:kern w:val="0"/>
          <w:sz w:val="24"/>
          <w:szCs w:val="24"/>
          <w:highlight w:val="none"/>
          <w:lang w:val="en-US" w:eastAsia="zh-CN"/>
        </w:rPr>
      </w:pPr>
    </w:p>
    <w:p w14:paraId="474DF87C">
      <w:pPr>
        <w:keepNext/>
        <w:keepLines/>
        <w:numPr>
          <w:ilvl w:val="0"/>
          <w:numId w:val="0"/>
        </w:numPr>
        <w:spacing w:line="560" w:lineRule="exact"/>
        <w:jc w:val="both"/>
        <w:outlineLvl w:val="3"/>
        <w:rPr>
          <w:rFonts w:hint="eastAsia" w:ascii="仿宋" w:hAnsi="仿宋" w:eastAsia="仿宋" w:cs="仿宋"/>
          <w:b w:val="0"/>
          <w:bCs w:val="0"/>
          <w:color w:val="auto"/>
          <w:kern w:val="0"/>
          <w:sz w:val="24"/>
          <w:szCs w:val="24"/>
          <w:highlight w:val="none"/>
          <w:lang w:val="en-US" w:eastAsia="zh-CN"/>
        </w:rPr>
      </w:pPr>
    </w:p>
    <w:p w14:paraId="76415E28">
      <w:pPr>
        <w:wordWrap w:val="0"/>
        <w:spacing w:line="45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（电子签章）</w:t>
      </w:r>
    </w:p>
    <w:p w14:paraId="7BADD0A1">
      <w:pPr>
        <w:wordWrap w:val="0"/>
        <w:spacing w:line="450" w:lineRule="atLeast"/>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sz w:val="24"/>
          <w:szCs w:val="24"/>
          <w:highlight w:val="none"/>
        </w:rPr>
        <w:t>）</w:t>
      </w:r>
    </w:p>
    <w:p w14:paraId="5C8EF732">
      <w:pPr>
        <w:wordWrap w:val="0"/>
        <w:spacing w:line="45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C175D61">
      <w:pP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br w:type="page"/>
      </w:r>
    </w:p>
    <w:p w14:paraId="282D6226">
      <w:pPr>
        <w:keepNext/>
        <w:keepLines/>
        <w:numPr>
          <w:ilvl w:val="0"/>
          <w:numId w:val="0"/>
        </w:numPr>
        <w:spacing w:line="560" w:lineRule="exact"/>
        <w:jc w:val="both"/>
        <w:outlineLvl w:val="3"/>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附</w:t>
      </w:r>
      <w:r>
        <w:rPr>
          <w:rFonts w:hint="eastAsia" w:ascii="仿宋" w:hAnsi="仿宋" w:eastAsia="仿宋" w:cs="仿宋"/>
          <w:b w:val="0"/>
          <w:bCs w:val="0"/>
          <w:color w:val="auto"/>
          <w:kern w:val="0"/>
          <w:sz w:val="24"/>
          <w:szCs w:val="24"/>
          <w:highlight w:val="none"/>
          <w:lang w:val="en-US" w:eastAsia="zh-CN"/>
        </w:rPr>
        <w:t>3</w:t>
      </w:r>
      <w:r>
        <w:rPr>
          <w:rFonts w:hint="eastAsia" w:ascii="仿宋" w:hAnsi="仿宋" w:eastAsia="仿宋" w:cs="仿宋"/>
          <w:b w:val="0"/>
          <w:bCs w:val="0"/>
          <w:color w:val="auto"/>
          <w:kern w:val="0"/>
          <w:sz w:val="24"/>
          <w:szCs w:val="24"/>
          <w:highlight w:val="none"/>
        </w:rPr>
        <w:t>：</w:t>
      </w:r>
      <w:r>
        <w:rPr>
          <w:rFonts w:hint="eastAsia" w:ascii="仿宋" w:hAnsi="仿宋" w:eastAsia="仿宋" w:cs="仿宋"/>
          <w:b w:val="0"/>
          <w:bCs w:val="0"/>
          <w:color w:val="auto"/>
          <w:kern w:val="0"/>
          <w:sz w:val="24"/>
          <w:szCs w:val="24"/>
          <w:highlight w:val="none"/>
          <w:lang w:val="en-US" w:eastAsia="zh-CN"/>
        </w:rPr>
        <w:t>其他</w:t>
      </w:r>
      <w:r>
        <w:rPr>
          <w:rFonts w:hint="eastAsia" w:ascii="仿宋" w:hAnsi="仿宋" w:eastAsia="仿宋" w:cs="仿宋"/>
          <w:b w:val="0"/>
          <w:bCs w:val="0"/>
          <w:color w:val="auto"/>
          <w:kern w:val="0"/>
          <w:sz w:val="24"/>
          <w:szCs w:val="24"/>
          <w:highlight w:val="none"/>
        </w:rPr>
        <w:t>主要人员简历表</w:t>
      </w:r>
    </w:p>
    <w:p w14:paraId="47D6E1AF">
      <w:pPr>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其他主要人员指施工员、质量员、专职安全员、材料员、预算员等岗位人员。</w:t>
      </w:r>
    </w:p>
    <w:p w14:paraId="626AB4B9">
      <w:pPr>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应附</w:t>
      </w:r>
      <w:r>
        <w:rPr>
          <w:rFonts w:hint="eastAsia" w:ascii="仿宋" w:hAnsi="仿宋" w:eastAsia="仿宋" w:cs="仿宋"/>
          <w:color w:val="auto"/>
          <w:sz w:val="24"/>
          <w:szCs w:val="24"/>
          <w:highlight w:val="none"/>
          <w:lang w:val="en-US" w:eastAsia="zh-CN"/>
        </w:rPr>
        <w:t>身份证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学历证、从业资格证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劳动合同、社保证明</w:t>
      </w:r>
      <w:r>
        <w:rPr>
          <w:rFonts w:hint="eastAsia" w:ascii="仿宋" w:hAnsi="仿宋" w:eastAsia="仿宋" w:cs="仿宋"/>
          <w:color w:val="auto"/>
          <w:sz w:val="24"/>
          <w:szCs w:val="24"/>
          <w:highlight w:val="none"/>
        </w:rPr>
        <w:t>等证明材料</w:t>
      </w:r>
      <w:r>
        <w:rPr>
          <w:rFonts w:hint="eastAsia" w:ascii="仿宋" w:hAnsi="仿宋" w:eastAsia="仿宋" w:cs="仿宋"/>
          <w:color w:val="auto"/>
          <w:sz w:val="24"/>
          <w:szCs w:val="24"/>
          <w:highlight w:val="none"/>
          <w:lang w:val="en-US" w:eastAsia="zh-CN"/>
        </w:rPr>
        <w:t>。</w:t>
      </w:r>
    </w:p>
    <w:tbl>
      <w:tblPr>
        <w:tblStyle w:val="27"/>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7"/>
        <w:gridCol w:w="2274"/>
        <w:gridCol w:w="546"/>
        <w:gridCol w:w="1187"/>
        <w:gridCol w:w="501"/>
        <w:gridCol w:w="2239"/>
      </w:tblGrid>
      <w:tr w14:paraId="3335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92" w:type="dxa"/>
            <w:gridSpan w:val="2"/>
            <w:noWrap w:val="0"/>
            <w:vAlign w:val="center"/>
          </w:tcPr>
          <w:p w14:paraId="1F701018">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岗位名称</w:t>
            </w:r>
          </w:p>
        </w:tc>
        <w:tc>
          <w:tcPr>
            <w:tcW w:w="6747" w:type="dxa"/>
            <w:gridSpan w:val="5"/>
            <w:noWrap w:val="0"/>
            <w:vAlign w:val="center"/>
          </w:tcPr>
          <w:p w14:paraId="4512EDE6">
            <w:pPr>
              <w:spacing w:line="560" w:lineRule="exact"/>
              <w:ind w:firstLine="480" w:firstLineChars="200"/>
              <w:jc w:val="center"/>
              <w:rPr>
                <w:rFonts w:hint="eastAsia" w:ascii="仿宋" w:hAnsi="仿宋" w:eastAsia="仿宋" w:cs="仿宋"/>
                <w:color w:val="auto"/>
                <w:sz w:val="24"/>
                <w:szCs w:val="24"/>
                <w:highlight w:val="none"/>
                <w:lang w:val="en-US" w:eastAsia="zh-CN"/>
              </w:rPr>
            </w:pPr>
          </w:p>
        </w:tc>
      </w:tr>
      <w:tr w14:paraId="0C83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92" w:type="dxa"/>
            <w:gridSpan w:val="2"/>
            <w:noWrap w:val="0"/>
            <w:vAlign w:val="center"/>
          </w:tcPr>
          <w:p w14:paraId="135F1D5B">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姓名</w:t>
            </w:r>
          </w:p>
        </w:tc>
        <w:tc>
          <w:tcPr>
            <w:tcW w:w="2820" w:type="dxa"/>
            <w:gridSpan w:val="2"/>
            <w:noWrap w:val="0"/>
            <w:vAlign w:val="center"/>
          </w:tcPr>
          <w:p w14:paraId="5B80B3B3">
            <w:pPr>
              <w:spacing w:line="560" w:lineRule="exact"/>
              <w:ind w:firstLine="480" w:firstLineChars="200"/>
              <w:jc w:val="center"/>
              <w:rPr>
                <w:rFonts w:hint="eastAsia" w:ascii="仿宋" w:hAnsi="仿宋" w:eastAsia="仿宋" w:cs="仿宋"/>
                <w:color w:val="auto"/>
                <w:sz w:val="24"/>
                <w:szCs w:val="24"/>
                <w:highlight w:val="none"/>
                <w:lang w:val="en-US" w:eastAsia="zh-CN"/>
              </w:rPr>
            </w:pPr>
          </w:p>
        </w:tc>
        <w:tc>
          <w:tcPr>
            <w:tcW w:w="1187" w:type="dxa"/>
            <w:noWrap w:val="0"/>
            <w:vAlign w:val="center"/>
          </w:tcPr>
          <w:p w14:paraId="1FC51D4A">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年龄</w:t>
            </w:r>
          </w:p>
        </w:tc>
        <w:tc>
          <w:tcPr>
            <w:tcW w:w="2740" w:type="dxa"/>
            <w:gridSpan w:val="2"/>
            <w:noWrap w:val="0"/>
            <w:vAlign w:val="center"/>
          </w:tcPr>
          <w:p w14:paraId="3CE2C13F">
            <w:pPr>
              <w:spacing w:line="560" w:lineRule="exact"/>
              <w:ind w:firstLine="480" w:firstLineChars="200"/>
              <w:jc w:val="center"/>
              <w:rPr>
                <w:rFonts w:hint="eastAsia" w:ascii="仿宋" w:hAnsi="仿宋" w:eastAsia="仿宋" w:cs="仿宋"/>
                <w:color w:val="auto"/>
                <w:sz w:val="24"/>
                <w:szCs w:val="24"/>
                <w:highlight w:val="none"/>
                <w:lang w:val="en-US" w:eastAsia="zh-CN"/>
              </w:rPr>
            </w:pPr>
          </w:p>
        </w:tc>
      </w:tr>
      <w:tr w14:paraId="4896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92" w:type="dxa"/>
            <w:gridSpan w:val="2"/>
            <w:noWrap w:val="0"/>
            <w:vAlign w:val="center"/>
          </w:tcPr>
          <w:p w14:paraId="7D4412F9">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性别</w:t>
            </w:r>
          </w:p>
        </w:tc>
        <w:tc>
          <w:tcPr>
            <w:tcW w:w="2820" w:type="dxa"/>
            <w:gridSpan w:val="2"/>
            <w:noWrap w:val="0"/>
            <w:vAlign w:val="center"/>
          </w:tcPr>
          <w:p w14:paraId="0879D60D">
            <w:pPr>
              <w:spacing w:line="560" w:lineRule="exact"/>
              <w:ind w:firstLine="480" w:firstLineChars="200"/>
              <w:jc w:val="center"/>
              <w:rPr>
                <w:rFonts w:hint="eastAsia" w:ascii="仿宋" w:hAnsi="仿宋" w:eastAsia="仿宋" w:cs="仿宋"/>
                <w:color w:val="auto"/>
                <w:sz w:val="24"/>
                <w:szCs w:val="24"/>
                <w:highlight w:val="none"/>
                <w:lang w:val="en-US" w:eastAsia="zh-CN"/>
              </w:rPr>
            </w:pPr>
          </w:p>
        </w:tc>
        <w:tc>
          <w:tcPr>
            <w:tcW w:w="1187" w:type="dxa"/>
            <w:noWrap w:val="0"/>
            <w:vAlign w:val="center"/>
          </w:tcPr>
          <w:p w14:paraId="78CB61BF">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毕业学校</w:t>
            </w:r>
          </w:p>
        </w:tc>
        <w:tc>
          <w:tcPr>
            <w:tcW w:w="2740" w:type="dxa"/>
            <w:gridSpan w:val="2"/>
            <w:noWrap w:val="0"/>
            <w:vAlign w:val="center"/>
          </w:tcPr>
          <w:p w14:paraId="60CFE6D0">
            <w:pPr>
              <w:spacing w:line="560" w:lineRule="exact"/>
              <w:ind w:firstLine="480" w:firstLineChars="200"/>
              <w:jc w:val="center"/>
              <w:rPr>
                <w:rFonts w:hint="eastAsia" w:ascii="仿宋" w:hAnsi="仿宋" w:eastAsia="仿宋" w:cs="仿宋"/>
                <w:color w:val="auto"/>
                <w:sz w:val="24"/>
                <w:szCs w:val="24"/>
                <w:highlight w:val="none"/>
                <w:lang w:val="en-US" w:eastAsia="zh-CN"/>
              </w:rPr>
            </w:pPr>
          </w:p>
        </w:tc>
      </w:tr>
      <w:tr w14:paraId="55B3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92" w:type="dxa"/>
            <w:gridSpan w:val="2"/>
            <w:noWrap w:val="0"/>
            <w:vAlign w:val="center"/>
          </w:tcPr>
          <w:p w14:paraId="6ED7FE35">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学历和专业</w:t>
            </w:r>
          </w:p>
        </w:tc>
        <w:tc>
          <w:tcPr>
            <w:tcW w:w="2820" w:type="dxa"/>
            <w:gridSpan w:val="2"/>
            <w:noWrap w:val="0"/>
            <w:vAlign w:val="center"/>
          </w:tcPr>
          <w:p w14:paraId="43F2FA5D">
            <w:pPr>
              <w:spacing w:line="560" w:lineRule="exact"/>
              <w:ind w:firstLine="480" w:firstLineChars="200"/>
              <w:jc w:val="center"/>
              <w:rPr>
                <w:rFonts w:hint="eastAsia" w:ascii="仿宋" w:hAnsi="仿宋" w:eastAsia="仿宋" w:cs="仿宋"/>
                <w:color w:val="auto"/>
                <w:sz w:val="24"/>
                <w:szCs w:val="24"/>
                <w:highlight w:val="none"/>
                <w:lang w:val="en-US" w:eastAsia="zh-CN"/>
              </w:rPr>
            </w:pPr>
          </w:p>
        </w:tc>
        <w:tc>
          <w:tcPr>
            <w:tcW w:w="1187" w:type="dxa"/>
            <w:noWrap w:val="0"/>
            <w:vAlign w:val="center"/>
          </w:tcPr>
          <w:p w14:paraId="7D039397">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毕业时间</w:t>
            </w:r>
          </w:p>
        </w:tc>
        <w:tc>
          <w:tcPr>
            <w:tcW w:w="2740" w:type="dxa"/>
            <w:gridSpan w:val="2"/>
            <w:noWrap w:val="0"/>
            <w:vAlign w:val="center"/>
          </w:tcPr>
          <w:p w14:paraId="53EE233B">
            <w:pPr>
              <w:spacing w:line="560" w:lineRule="exact"/>
              <w:ind w:firstLine="480" w:firstLineChars="200"/>
              <w:jc w:val="center"/>
              <w:rPr>
                <w:rFonts w:hint="eastAsia" w:ascii="仿宋" w:hAnsi="仿宋" w:eastAsia="仿宋" w:cs="仿宋"/>
                <w:color w:val="auto"/>
                <w:sz w:val="24"/>
                <w:szCs w:val="24"/>
                <w:highlight w:val="none"/>
                <w:lang w:val="en-US" w:eastAsia="zh-CN"/>
              </w:rPr>
            </w:pPr>
          </w:p>
        </w:tc>
      </w:tr>
      <w:tr w14:paraId="12AE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92" w:type="dxa"/>
            <w:gridSpan w:val="2"/>
            <w:noWrap w:val="0"/>
            <w:vAlign w:val="center"/>
          </w:tcPr>
          <w:p w14:paraId="5263DC41">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拥有的执业资格</w:t>
            </w:r>
          </w:p>
        </w:tc>
        <w:tc>
          <w:tcPr>
            <w:tcW w:w="2820" w:type="dxa"/>
            <w:gridSpan w:val="2"/>
            <w:noWrap w:val="0"/>
            <w:vAlign w:val="center"/>
          </w:tcPr>
          <w:p w14:paraId="18007E7B">
            <w:pPr>
              <w:spacing w:line="560" w:lineRule="exact"/>
              <w:ind w:firstLine="480" w:firstLineChars="200"/>
              <w:jc w:val="center"/>
              <w:rPr>
                <w:rFonts w:hint="eastAsia" w:ascii="仿宋" w:hAnsi="仿宋" w:eastAsia="仿宋" w:cs="仿宋"/>
                <w:color w:val="auto"/>
                <w:sz w:val="24"/>
                <w:szCs w:val="24"/>
                <w:highlight w:val="none"/>
                <w:lang w:val="en-US" w:eastAsia="zh-CN"/>
              </w:rPr>
            </w:pPr>
          </w:p>
        </w:tc>
        <w:tc>
          <w:tcPr>
            <w:tcW w:w="1187" w:type="dxa"/>
            <w:noWrap w:val="0"/>
            <w:vAlign w:val="center"/>
          </w:tcPr>
          <w:p w14:paraId="521F2F07">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专业职称</w:t>
            </w:r>
          </w:p>
        </w:tc>
        <w:tc>
          <w:tcPr>
            <w:tcW w:w="2740" w:type="dxa"/>
            <w:gridSpan w:val="2"/>
            <w:noWrap w:val="0"/>
            <w:vAlign w:val="center"/>
          </w:tcPr>
          <w:p w14:paraId="70C4087B">
            <w:pPr>
              <w:spacing w:line="560" w:lineRule="exact"/>
              <w:ind w:firstLine="480" w:firstLineChars="200"/>
              <w:jc w:val="center"/>
              <w:rPr>
                <w:rFonts w:hint="eastAsia" w:ascii="仿宋" w:hAnsi="仿宋" w:eastAsia="仿宋" w:cs="仿宋"/>
                <w:color w:val="auto"/>
                <w:sz w:val="24"/>
                <w:szCs w:val="24"/>
                <w:highlight w:val="none"/>
                <w:lang w:val="en-US" w:eastAsia="zh-CN"/>
              </w:rPr>
            </w:pPr>
          </w:p>
        </w:tc>
      </w:tr>
      <w:tr w14:paraId="0357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192" w:type="dxa"/>
            <w:gridSpan w:val="2"/>
            <w:noWrap w:val="0"/>
            <w:vAlign w:val="center"/>
          </w:tcPr>
          <w:p w14:paraId="18DCAD26">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执业资格证书编号</w:t>
            </w:r>
          </w:p>
        </w:tc>
        <w:tc>
          <w:tcPr>
            <w:tcW w:w="2820" w:type="dxa"/>
            <w:gridSpan w:val="2"/>
            <w:noWrap w:val="0"/>
            <w:vAlign w:val="center"/>
          </w:tcPr>
          <w:p w14:paraId="79FE0B7F">
            <w:pPr>
              <w:spacing w:line="560" w:lineRule="exact"/>
              <w:ind w:firstLine="480" w:firstLineChars="200"/>
              <w:jc w:val="center"/>
              <w:rPr>
                <w:rFonts w:hint="eastAsia" w:ascii="仿宋" w:hAnsi="仿宋" w:eastAsia="仿宋" w:cs="仿宋"/>
                <w:color w:val="auto"/>
                <w:sz w:val="24"/>
                <w:szCs w:val="24"/>
                <w:highlight w:val="none"/>
                <w:lang w:val="en-US" w:eastAsia="zh-CN"/>
              </w:rPr>
            </w:pPr>
          </w:p>
        </w:tc>
        <w:tc>
          <w:tcPr>
            <w:tcW w:w="1187" w:type="dxa"/>
            <w:noWrap w:val="0"/>
            <w:vAlign w:val="center"/>
          </w:tcPr>
          <w:p w14:paraId="27E00EDD">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工作年限</w:t>
            </w:r>
          </w:p>
        </w:tc>
        <w:tc>
          <w:tcPr>
            <w:tcW w:w="2740" w:type="dxa"/>
            <w:gridSpan w:val="2"/>
            <w:noWrap w:val="0"/>
            <w:vAlign w:val="center"/>
          </w:tcPr>
          <w:p w14:paraId="69144FF1">
            <w:pPr>
              <w:spacing w:line="560" w:lineRule="exact"/>
              <w:ind w:firstLine="480" w:firstLineChars="200"/>
              <w:jc w:val="center"/>
              <w:rPr>
                <w:rFonts w:hint="eastAsia" w:ascii="仿宋" w:hAnsi="仿宋" w:eastAsia="仿宋" w:cs="仿宋"/>
                <w:color w:val="auto"/>
                <w:sz w:val="24"/>
                <w:szCs w:val="24"/>
                <w:highlight w:val="none"/>
                <w:lang w:val="en-US" w:eastAsia="zh-CN"/>
              </w:rPr>
            </w:pPr>
          </w:p>
        </w:tc>
      </w:tr>
      <w:tr w14:paraId="6D22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939" w:type="dxa"/>
            <w:gridSpan w:val="7"/>
            <w:noWrap w:val="0"/>
            <w:vAlign w:val="center"/>
          </w:tcPr>
          <w:p w14:paraId="7D35A8D1">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主要工作业绩及担任的主要工作</w:t>
            </w:r>
          </w:p>
        </w:tc>
      </w:tr>
      <w:tr w14:paraId="3D6F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125" w:type="dxa"/>
            <w:noWrap w:val="0"/>
            <w:vAlign w:val="center"/>
          </w:tcPr>
          <w:p w14:paraId="5C59FA6A">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时间</w:t>
            </w:r>
          </w:p>
        </w:tc>
        <w:tc>
          <w:tcPr>
            <w:tcW w:w="2341" w:type="dxa"/>
            <w:gridSpan w:val="2"/>
            <w:noWrap w:val="0"/>
            <w:vAlign w:val="center"/>
          </w:tcPr>
          <w:p w14:paraId="35A9F98C">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参加过的类似项目名称</w:t>
            </w:r>
          </w:p>
        </w:tc>
        <w:tc>
          <w:tcPr>
            <w:tcW w:w="2234" w:type="dxa"/>
            <w:gridSpan w:val="3"/>
            <w:noWrap w:val="0"/>
            <w:vAlign w:val="center"/>
          </w:tcPr>
          <w:p w14:paraId="47111F6A">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工程概况说明</w:t>
            </w:r>
          </w:p>
        </w:tc>
        <w:tc>
          <w:tcPr>
            <w:tcW w:w="2239" w:type="dxa"/>
            <w:noWrap w:val="0"/>
            <w:vAlign w:val="center"/>
          </w:tcPr>
          <w:p w14:paraId="47C3618C">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发包人及联系电话</w:t>
            </w:r>
          </w:p>
        </w:tc>
      </w:tr>
      <w:tr w14:paraId="52A6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25" w:type="dxa"/>
            <w:noWrap w:val="0"/>
            <w:vAlign w:val="center"/>
          </w:tcPr>
          <w:p w14:paraId="1974C1E5">
            <w:pPr>
              <w:spacing w:line="560" w:lineRule="exact"/>
              <w:ind w:firstLine="480" w:firstLineChars="200"/>
              <w:rPr>
                <w:rFonts w:hint="eastAsia" w:ascii="仿宋" w:hAnsi="仿宋" w:eastAsia="仿宋" w:cs="仿宋"/>
                <w:color w:val="auto"/>
                <w:sz w:val="24"/>
                <w:szCs w:val="24"/>
                <w:highlight w:val="none"/>
                <w:lang w:val="en-US" w:eastAsia="zh-CN"/>
              </w:rPr>
            </w:pPr>
          </w:p>
        </w:tc>
        <w:tc>
          <w:tcPr>
            <w:tcW w:w="2341" w:type="dxa"/>
            <w:gridSpan w:val="2"/>
            <w:noWrap w:val="0"/>
            <w:vAlign w:val="center"/>
          </w:tcPr>
          <w:p w14:paraId="6C338FB3">
            <w:pPr>
              <w:spacing w:line="560" w:lineRule="exact"/>
              <w:ind w:firstLine="480" w:firstLineChars="200"/>
              <w:rPr>
                <w:rFonts w:hint="eastAsia" w:ascii="仿宋" w:hAnsi="仿宋" w:eastAsia="仿宋" w:cs="仿宋"/>
                <w:color w:val="auto"/>
                <w:sz w:val="24"/>
                <w:szCs w:val="24"/>
                <w:highlight w:val="none"/>
                <w:lang w:val="en-US" w:eastAsia="zh-CN"/>
              </w:rPr>
            </w:pPr>
          </w:p>
        </w:tc>
        <w:tc>
          <w:tcPr>
            <w:tcW w:w="2234" w:type="dxa"/>
            <w:gridSpan w:val="3"/>
            <w:noWrap w:val="0"/>
            <w:vAlign w:val="center"/>
          </w:tcPr>
          <w:p w14:paraId="43BF7571">
            <w:pPr>
              <w:spacing w:line="560" w:lineRule="exact"/>
              <w:ind w:firstLine="480" w:firstLineChars="200"/>
              <w:rPr>
                <w:rFonts w:hint="eastAsia" w:ascii="仿宋" w:hAnsi="仿宋" w:eastAsia="仿宋" w:cs="仿宋"/>
                <w:color w:val="auto"/>
                <w:sz w:val="24"/>
                <w:szCs w:val="24"/>
                <w:highlight w:val="none"/>
                <w:lang w:val="en-US" w:eastAsia="zh-CN"/>
              </w:rPr>
            </w:pPr>
          </w:p>
        </w:tc>
        <w:tc>
          <w:tcPr>
            <w:tcW w:w="2239" w:type="dxa"/>
            <w:noWrap w:val="0"/>
            <w:vAlign w:val="center"/>
          </w:tcPr>
          <w:p w14:paraId="16EBF64E">
            <w:pPr>
              <w:spacing w:line="560" w:lineRule="exact"/>
              <w:ind w:firstLine="480" w:firstLineChars="200"/>
              <w:rPr>
                <w:rFonts w:hint="eastAsia" w:ascii="仿宋" w:hAnsi="仿宋" w:eastAsia="仿宋" w:cs="仿宋"/>
                <w:color w:val="auto"/>
                <w:sz w:val="24"/>
                <w:szCs w:val="24"/>
                <w:highlight w:val="none"/>
                <w:lang w:val="en-US" w:eastAsia="zh-CN"/>
              </w:rPr>
            </w:pPr>
          </w:p>
        </w:tc>
      </w:tr>
      <w:tr w14:paraId="633C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25" w:type="dxa"/>
            <w:noWrap w:val="0"/>
            <w:vAlign w:val="center"/>
          </w:tcPr>
          <w:p w14:paraId="066A85E5">
            <w:pPr>
              <w:spacing w:line="560" w:lineRule="exact"/>
              <w:ind w:firstLine="480" w:firstLineChars="200"/>
              <w:rPr>
                <w:rFonts w:hint="eastAsia" w:ascii="仿宋" w:hAnsi="仿宋" w:eastAsia="仿宋" w:cs="仿宋"/>
                <w:color w:val="auto"/>
                <w:sz w:val="24"/>
                <w:szCs w:val="24"/>
                <w:highlight w:val="none"/>
                <w:lang w:val="en-US" w:eastAsia="zh-CN"/>
              </w:rPr>
            </w:pPr>
          </w:p>
        </w:tc>
        <w:tc>
          <w:tcPr>
            <w:tcW w:w="2341" w:type="dxa"/>
            <w:gridSpan w:val="2"/>
            <w:noWrap w:val="0"/>
            <w:vAlign w:val="center"/>
          </w:tcPr>
          <w:p w14:paraId="32F4C40C">
            <w:pPr>
              <w:spacing w:line="560" w:lineRule="exact"/>
              <w:ind w:firstLine="480" w:firstLineChars="200"/>
              <w:rPr>
                <w:rFonts w:hint="eastAsia" w:ascii="仿宋" w:hAnsi="仿宋" w:eastAsia="仿宋" w:cs="仿宋"/>
                <w:color w:val="auto"/>
                <w:sz w:val="24"/>
                <w:szCs w:val="24"/>
                <w:highlight w:val="none"/>
                <w:lang w:val="en-US" w:eastAsia="zh-CN"/>
              </w:rPr>
            </w:pPr>
          </w:p>
        </w:tc>
        <w:tc>
          <w:tcPr>
            <w:tcW w:w="2234" w:type="dxa"/>
            <w:gridSpan w:val="3"/>
            <w:noWrap w:val="0"/>
            <w:vAlign w:val="center"/>
          </w:tcPr>
          <w:p w14:paraId="0D2DC2AB">
            <w:pPr>
              <w:spacing w:line="560" w:lineRule="exact"/>
              <w:ind w:firstLine="480" w:firstLineChars="200"/>
              <w:rPr>
                <w:rFonts w:hint="eastAsia" w:ascii="仿宋" w:hAnsi="仿宋" w:eastAsia="仿宋" w:cs="仿宋"/>
                <w:color w:val="auto"/>
                <w:sz w:val="24"/>
                <w:szCs w:val="24"/>
                <w:highlight w:val="none"/>
                <w:lang w:val="en-US" w:eastAsia="zh-CN"/>
              </w:rPr>
            </w:pPr>
          </w:p>
        </w:tc>
        <w:tc>
          <w:tcPr>
            <w:tcW w:w="2239" w:type="dxa"/>
            <w:noWrap w:val="0"/>
            <w:vAlign w:val="center"/>
          </w:tcPr>
          <w:p w14:paraId="2DD3CFA6">
            <w:pPr>
              <w:spacing w:line="560" w:lineRule="exact"/>
              <w:ind w:firstLine="480" w:firstLineChars="200"/>
              <w:rPr>
                <w:rFonts w:hint="eastAsia" w:ascii="仿宋" w:hAnsi="仿宋" w:eastAsia="仿宋" w:cs="仿宋"/>
                <w:color w:val="auto"/>
                <w:sz w:val="24"/>
                <w:szCs w:val="24"/>
                <w:highlight w:val="none"/>
                <w:lang w:val="en-US" w:eastAsia="zh-CN"/>
              </w:rPr>
            </w:pPr>
          </w:p>
        </w:tc>
      </w:tr>
      <w:tr w14:paraId="649B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125" w:type="dxa"/>
            <w:noWrap w:val="0"/>
            <w:vAlign w:val="center"/>
          </w:tcPr>
          <w:p w14:paraId="24F90748">
            <w:pPr>
              <w:spacing w:line="560" w:lineRule="exact"/>
              <w:ind w:firstLine="480" w:firstLineChars="200"/>
              <w:rPr>
                <w:rFonts w:hint="eastAsia" w:ascii="仿宋" w:hAnsi="仿宋" w:eastAsia="仿宋" w:cs="仿宋"/>
                <w:color w:val="auto"/>
                <w:sz w:val="24"/>
                <w:szCs w:val="24"/>
                <w:highlight w:val="none"/>
                <w:lang w:val="en-US" w:eastAsia="zh-CN"/>
              </w:rPr>
            </w:pPr>
          </w:p>
        </w:tc>
        <w:tc>
          <w:tcPr>
            <w:tcW w:w="2341" w:type="dxa"/>
            <w:gridSpan w:val="2"/>
            <w:noWrap w:val="0"/>
            <w:vAlign w:val="center"/>
          </w:tcPr>
          <w:p w14:paraId="403CF0FE">
            <w:pPr>
              <w:spacing w:line="560" w:lineRule="exact"/>
              <w:ind w:firstLine="480" w:firstLineChars="200"/>
              <w:rPr>
                <w:rFonts w:hint="eastAsia" w:ascii="仿宋" w:hAnsi="仿宋" w:eastAsia="仿宋" w:cs="仿宋"/>
                <w:color w:val="auto"/>
                <w:sz w:val="24"/>
                <w:szCs w:val="24"/>
                <w:highlight w:val="none"/>
                <w:lang w:val="en-US" w:eastAsia="zh-CN"/>
              </w:rPr>
            </w:pPr>
          </w:p>
        </w:tc>
        <w:tc>
          <w:tcPr>
            <w:tcW w:w="2234" w:type="dxa"/>
            <w:gridSpan w:val="3"/>
            <w:noWrap w:val="0"/>
            <w:vAlign w:val="center"/>
          </w:tcPr>
          <w:p w14:paraId="20AC2E81">
            <w:pPr>
              <w:spacing w:line="560" w:lineRule="exact"/>
              <w:ind w:firstLine="480" w:firstLineChars="200"/>
              <w:rPr>
                <w:rFonts w:hint="eastAsia" w:ascii="仿宋" w:hAnsi="仿宋" w:eastAsia="仿宋" w:cs="仿宋"/>
                <w:color w:val="auto"/>
                <w:sz w:val="24"/>
                <w:szCs w:val="24"/>
                <w:highlight w:val="none"/>
                <w:lang w:val="en-US" w:eastAsia="zh-CN"/>
              </w:rPr>
            </w:pPr>
          </w:p>
        </w:tc>
        <w:tc>
          <w:tcPr>
            <w:tcW w:w="2239" w:type="dxa"/>
            <w:noWrap w:val="0"/>
            <w:vAlign w:val="center"/>
          </w:tcPr>
          <w:p w14:paraId="42171071">
            <w:pPr>
              <w:spacing w:line="560" w:lineRule="exact"/>
              <w:ind w:firstLine="480" w:firstLineChars="200"/>
              <w:rPr>
                <w:rFonts w:hint="eastAsia" w:ascii="仿宋" w:hAnsi="仿宋" w:eastAsia="仿宋" w:cs="仿宋"/>
                <w:color w:val="auto"/>
                <w:sz w:val="24"/>
                <w:szCs w:val="24"/>
                <w:highlight w:val="none"/>
                <w:lang w:val="en-US" w:eastAsia="zh-CN"/>
              </w:rPr>
            </w:pPr>
          </w:p>
        </w:tc>
      </w:tr>
    </w:tbl>
    <w:p w14:paraId="15436E8D">
      <w:pPr>
        <w:spacing w:line="5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注：本格式仅供参考，投标人可自行增减表格内容。</w:t>
      </w:r>
    </w:p>
    <w:p w14:paraId="428C9617">
      <w:pPr>
        <w:pStyle w:val="15"/>
        <w:rPr>
          <w:rFonts w:hint="eastAsia"/>
          <w:lang w:val="en-US" w:eastAsia="zh-CN"/>
        </w:rPr>
      </w:pPr>
    </w:p>
    <w:p w14:paraId="6E66E8CA">
      <w:pPr>
        <w:keepNext/>
        <w:keepLines/>
        <w:numPr>
          <w:ilvl w:val="0"/>
          <w:numId w:val="0"/>
        </w:numPr>
        <w:spacing w:line="560" w:lineRule="exact"/>
        <w:jc w:val="both"/>
        <w:outlineLvl w:val="3"/>
        <w:rPr>
          <w:rFonts w:hint="eastAsia" w:ascii="仿宋" w:hAnsi="仿宋" w:eastAsia="仿宋" w:cs="仿宋"/>
          <w:b w:val="0"/>
          <w:bCs w:val="0"/>
          <w:color w:val="auto"/>
          <w:kern w:val="0"/>
          <w:sz w:val="24"/>
          <w:szCs w:val="24"/>
          <w:highlight w:val="none"/>
          <w:lang w:val="en-US" w:eastAsia="zh-CN"/>
        </w:rPr>
      </w:pPr>
    </w:p>
    <w:p w14:paraId="22CDB45D">
      <w:pPr>
        <w:keepNext/>
        <w:keepLines/>
        <w:numPr>
          <w:ilvl w:val="0"/>
          <w:numId w:val="0"/>
        </w:numPr>
        <w:spacing w:line="560" w:lineRule="exact"/>
        <w:jc w:val="both"/>
        <w:outlineLvl w:val="3"/>
        <w:rPr>
          <w:rFonts w:hint="eastAsia" w:ascii="仿宋" w:hAnsi="仿宋" w:eastAsia="仿宋" w:cs="仿宋"/>
          <w:b w:val="0"/>
          <w:bCs w:val="0"/>
          <w:color w:val="auto"/>
          <w:kern w:val="0"/>
          <w:sz w:val="24"/>
          <w:szCs w:val="24"/>
          <w:highlight w:val="none"/>
          <w:lang w:val="en-US" w:eastAsia="zh-CN"/>
        </w:rPr>
      </w:pPr>
    </w:p>
    <w:p w14:paraId="559140D7">
      <w:pPr>
        <w:keepNext/>
        <w:keepLines/>
        <w:numPr>
          <w:ilvl w:val="0"/>
          <w:numId w:val="0"/>
        </w:numPr>
        <w:spacing w:line="560" w:lineRule="exact"/>
        <w:jc w:val="both"/>
        <w:outlineLvl w:val="3"/>
        <w:rPr>
          <w:rFonts w:hint="eastAsia" w:ascii="仿宋" w:hAnsi="仿宋" w:eastAsia="仿宋" w:cs="仿宋"/>
          <w:b w:val="0"/>
          <w:bCs w:val="0"/>
          <w:color w:val="auto"/>
          <w:kern w:val="0"/>
          <w:sz w:val="24"/>
          <w:szCs w:val="24"/>
          <w:highlight w:val="none"/>
          <w:lang w:val="en-US" w:eastAsia="zh-CN"/>
        </w:rPr>
        <w:sectPr>
          <w:pgSz w:w="11905" w:h="16838"/>
          <w:pgMar w:top="1134" w:right="1134" w:bottom="1134" w:left="1134" w:header="850" w:footer="992" w:gutter="0"/>
          <w:pgNumType w:fmt="decimal"/>
          <w:cols w:space="0" w:num="1"/>
          <w:rtlGutter w:val="0"/>
          <w:docGrid w:type="lines" w:linePitch="321" w:charSpace="0"/>
        </w:sectPr>
      </w:pPr>
    </w:p>
    <w:p w14:paraId="4C84A38E">
      <w:pPr>
        <w:numPr>
          <w:ilvl w:val="0"/>
          <w:numId w:val="6"/>
        </w:num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zh-CN"/>
        </w:rPr>
      </w:pPr>
      <w:bookmarkStart w:id="625" w:name="_Toc146"/>
      <w:bookmarkStart w:id="626" w:name="_Toc13920"/>
      <w:bookmarkStart w:id="627" w:name="_Toc17416"/>
      <w:bookmarkStart w:id="628" w:name="_Toc29127"/>
      <w:bookmarkStart w:id="629" w:name="_Toc10215"/>
      <w:bookmarkStart w:id="630" w:name="_Toc8526"/>
      <w:bookmarkStart w:id="631" w:name="_Toc514682764"/>
      <w:bookmarkStart w:id="632" w:name="_Toc512678462"/>
      <w:r>
        <w:rPr>
          <w:rFonts w:hint="eastAsia" w:ascii="仿宋" w:hAnsi="仿宋" w:eastAsia="仿宋" w:cs="仿宋"/>
          <w:b/>
          <w:color w:val="auto"/>
          <w:sz w:val="30"/>
          <w:szCs w:val="30"/>
          <w:highlight w:val="none"/>
          <w:lang w:val="zh-CN"/>
        </w:rPr>
        <w:t>近年类似项目情况表</w:t>
      </w:r>
      <w:bookmarkEnd w:id="625"/>
    </w:p>
    <w:tbl>
      <w:tblPr>
        <w:tblStyle w:val="27"/>
        <w:tblW w:w="9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59"/>
        <w:gridCol w:w="6784"/>
      </w:tblGrid>
      <w:tr w14:paraId="68A42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2459" w:type="dxa"/>
            <w:tcBorders>
              <w:bottom w:val="single" w:color="000000" w:sz="6" w:space="0"/>
              <w:right w:val="single" w:color="000000" w:sz="6" w:space="0"/>
            </w:tcBorders>
            <w:noWrap w:val="0"/>
            <w:vAlign w:val="top"/>
          </w:tcPr>
          <w:p w14:paraId="5D9CAAE2">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784" w:type="dxa"/>
            <w:tcBorders>
              <w:left w:val="single" w:color="000000" w:sz="6" w:space="0"/>
              <w:bottom w:val="single" w:color="000000" w:sz="6" w:space="0"/>
            </w:tcBorders>
            <w:noWrap w:val="0"/>
            <w:vAlign w:val="top"/>
          </w:tcPr>
          <w:p w14:paraId="74DB8ED9">
            <w:pPr>
              <w:pStyle w:val="50"/>
              <w:spacing w:line="360" w:lineRule="auto"/>
              <w:rPr>
                <w:rFonts w:hint="eastAsia" w:ascii="仿宋" w:hAnsi="仿宋" w:eastAsia="仿宋" w:cs="仿宋"/>
                <w:color w:val="auto"/>
                <w:sz w:val="24"/>
                <w:szCs w:val="24"/>
                <w:highlight w:val="none"/>
              </w:rPr>
            </w:pPr>
          </w:p>
        </w:tc>
      </w:tr>
      <w:tr w14:paraId="1E02C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459" w:type="dxa"/>
            <w:tcBorders>
              <w:top w:val="single" w:color="000000" w:sz="6" w:space="0"/>
              <w:bottom w:val="single" w:color="000000" w:sz="6" w:space="0"/>
              <w:right w:val="single" w:color="000000" w:sz="6" w:space="0"/>
            </w:tcBorders>
            <w:noWrap w:val="0"/>
            <w:vAlign w:val="top"/>
          </w:tcPr>
          <w:p w14:paraId="55E2695D">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784" w:type="dxa"/>
            <w:tcBorders>
              <w:top w:val="single" w:color="000000" w:sz="6" w:space="0"/>
              <w:left w:val="single" w:color="000000" w:sz="6" w:space="0"/>
              <w:bottom w:val="single" w:color="000000" w:sz="6" w:space="0"/>
            </w:tcBorders>
            <w:noWrap w:val="0"/>
            <w:vAlign w:val="top"/>
          </w:tcPr>
          <w:p w14:paraId="228D4960">
            <w:pPr>
              <w:pStyle w:val="50"/>
              <w:spacing w:line="360" w:lineRule="auto"/>
              <w:rPr>
                <w:rFonts w:hint="eastAsia" w:ascii="仿宋" w:hAnsi="仿宋" w:eastAsia="仿宋" w:cs="仿宋"/>
                <w:color w:val="auto"/>
                <w:sz w:val="24"/>
                <w:szCs w:val="24"/>
                <w:highlight w:val="none"/>
              </w:rPr>
            </w:pPr>
          </w:p>
        </w:tc>
      </w:tr>
      <w:tr w14:paraId="30399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2459" w:type="dxa"/>
            <w:tcBorders>
              <w:top w:val="single" w:color="000000" w:sz="6" w:space="0"/>
              <w:bottom w:val="single" w:color="000000" w:sz="6" w:space="0"/>
              <w:right w:val="single" w:color="000000" w:sz="6" w:space="0"/>
            </w:tcBorders>
            <w:noWrap w:val="0"/>
            <w:vAlign w:val="top"/>
          </w:tcPr>
          <w:p w14:paraId="2DBAFB81">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项目所在地</w:t>
            </w:r>
          </w:p>
        </w:tc>
        <w:tc>
          <w:tcPr>
            <w:tcW w:w="6784" w:type="dxa"/>
            <w:tcBorders>
              <w:top w:val="single" w:color="000000" w:sz="6" w:space="0"/>
              <w:left w:val="single" w:color="000000" w:sz="6" w:space="0"/>
              <w:bottom w:val="single" w:color="000000" w:sz="6" w:space="0"/>
            </w:tcBorders>
            <w:noWrap w:val="0"/>
            <w:vAlign w:val="top"/>
          </w:tcPr>
          <w:p w14:paraId="5DDA061C">
            <w:pPr>
              <w:pStyle w:val="50"/>
              <w:spacing w:line="360" w:lineRule="auto"/>
              <w:rPr>
                <w:rFonts w:hint="eastAsia" w:ascii="仿宋" w:hAnsi="仿宋" w:eastAsia="仿宋" w:cs="仿宋"/>
                <w:color w:val="auto"/>
                <w:sz w:val="24"/>
                <w:szCs w:val="24"/>
                <w:highlight w:val="none"/>
              </w:rPr>
            </w:pPr>
          </w:p>
        </w:tc>
      </w:tr>
      <w:tr w14:paraId="5E928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459" w:type="dxa"/>
            <w:tcBorders>
              <w:top w:val="single" w:color="000000" w:sz="6" w:space="0"/>
              <w:bottom w:val="single" w:color="000000" w:sz="6" w:space="0"/>
              <w:right w:val="single" w:color="000000" w:sz="6" w:space="0"/>
            </w:tcBorders>
            <w:noWrap w:val="0"/>
            <w:vAlign w:val="top"/>
          </w:tcPr>
          <w:p w14:paraId="77673226">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发包人名称</w:t>
            </w:r>
          </w:p>
        </w:tc>
        <w:tc>
          <w:tcPr>
            <w:tcW w:w="6784" w:type="dxa"/>
            <w:tcBorders>
              <w:top w:val="single" w:color="000000" w:sz="6" w:space="0"/>
              <w:left w:val="single" w:color="000000" w:sz="6" w:space="0"/>
              <w:bottom w:val="single" w:color="000000" w:sz="6" w:space="0"/>
            </w:tcBorders>
            <w:noWrap w:val="0"/>
            <w:vAlign w:val="top"/>
          </w:tcPr>
          <w:p w14:paraId="244716CC">
            <w:pPr>
              <w:pStyle w:val="50"/>
              <w:spacing w:line="360" w:lineRule="auto"/>
              <w:rPr>
                <w:rFonts w:hint="eastAsia" w:ascii="仿宋" w:hAnsi="仿宋" w:eastAsia="仿宋" w:cs="仿宋"/>
                <w:color w:val="auto"/>
                <w:sz w:val="24"/>
                <w:szCs w:val="24"/>
                <w:highlight w:val="none"/>
              </w:rPr>
            </w:pPr>
          </w:p>
        </w:tc>
      </w:tr>
      <w:tr w14:paraId="0FF09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459" w:type="dxa"/>
            <w:tcBorders>
              <w:top w:val="single" w:color="000000" w:sz="6" w:space="0"/>
              <w:bottom w:val="single" w:color="000000" w:sz="6" w:space="0"/>
              <w:right w:val="single" w:color="000000" w:sz="6" w:space="0"/>
            </w:tcBorders>
            <w:noWrap w:val="0"/>
            <w:vAlign w:val="top"/>
          </w:tcPr>
          <w:p w14:paraId="3E7DABDE">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发包人地址</w:t>
            </w:r>
          </w:p>
        </w:tc>
        <w:tc>
          <w:tcPr>
            <w:tcW w:w="6784" w:type="dxa"/>
            <w:tcBorders>
              <w:top w:val="single" w:color="000000" w:sz="6" w:space="0"/>
              <w:left w:val="single" w:color="000000" w:sz="6" w:space="0"/>
              <w:bottom w:val="single" w:color="000000" w:sz="6" w:space="0"/>
            </w:tcBorders>
            <w:noWrap w:val="0"/>
            <w:vAlign w:val="top"/>
          </w:tcPr>
          <w:p w14:paraId="77E5B470">
            <w:pPr>
              <w:pStyle w:val="50"/>
              <w:spacing w:line="360" w:lineRule="auto"/>
              <w:rPr>
                <w:rFonts w:hint="eastAsia" w:ascii="仿宋" w:hAnsi="仿宋" w:eastAsia="仿宋" w:cs="仿宋"/>
                <w:color w:val="auto"/>
                <w:sz w:val="24"/>
                <w:szCs w:val="24"/>
                <w:highlight w:val="none"/>
              </w:rPr>
            </w:pPr>
          </w:p>
        </w:tc>
      </w:tr>
      <w:tr w14:paraId="5C66B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2459" w:type="dxa"/>
            <w:tcBorders>
              <w:top w:val="single" w:color="000000" w:sz="6" w:space="0"/>
              <w:bottom w:val="single" w:color="000000" w:sz="6" w:space="0"/>
              <w:right w:val="single" w:color="000000" w:sz="6" w:space="0"/>
            </w:tcBorders>
            <w:noWrap w:val="0"/>
            <w:vAlign w:val="top"/>
          </w:tcPr>
          <w:p w14:paraId="06A81045">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发包人电话</w:t>
            </w:r>
          </w:p>
        </w:tc>
        <w:tc>
          <w:tcPr>
            <w:tcW w:w="6784" w:type="dxa"/>
            <w:tcBorders>
              <w:top w:val="single" w:color="000000" w:sz="6" w:space="0"/>
              <w:left w:val="single" w:color="000000" w:sz="6" w:space="0"/>
              <w:bottom w:val="single" w:color="000000" w:sz="6" w:space="0"/>
            </w:tcBorders>
            <w:noWrap w:val="0"/>
            <w:vAlign w:val="top"/>
          </w:tcPr>
          <w:p w14:paraId="415CBB9E">
            <w:pPr>
              <w:pStyle w:val="50"/>
              <w:spacing w:line="360" w:lineRule="auto"/>
              <w:rPr>
                <w:rFonts w:hint="eastAsia" w:ascii="仿宋" w:hAnsi="仿宋" w:eastAsia="仿宋" w:cs="仿宋"/>
                <w:color w:val="auto"/>
                <w:sz w:val="24"/>
                <w:szCs w:val="24"/>
                <w:highlight w:val="none"/>
              </w:rPr>
            </w:pPr>
          </w:p>
        </w:tc>
      </w:tr>
      <w:tr w14:paraId="08AB1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459" w:type="dxa"/>
            <w:tcBorders>
              <w:top w:val="single" w:color="000000" w:sz="6" w:space="0"/>
              <w:bottom w:val="single" w:color="000000" w:sz="6" w:space="0"/>
              <w:right w:val="single" w:color="000000" w:sz="6" w:space="0"/>
            </w:tcBorders>
            <w:noWrap w:val="0"/>
            <w:vAlign w:val="top"/>
          </w:tcPr>
          <w:p w14:paraId="1D675529">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合同价格</w:t>
            </w:r>
          </w:p>
        </w:tc>
        <w:tc>
          <w:tcPr>
            <w:tcW w:w="6784" w:type="dxa"/>
            <w:tcBorders>
              <w:top w:val="single" w:color="000000" w:sz="6" w:space="0"/>
              <w:left w:val="single" w:color="000000" w:sz="6" w:space="0"/>
              <w:bottom w:val="single" w:color="000000" w:sz="6" w:space="0"/>
            </w:tcBorders>
            <w:noWrap w:val="0"/>
            <w:vAlign w:val="top"/>
          </w:tcPr>
          <w:p w14:paraId="543401AB">
            <w:pPr>
              <w:pStyle w:val="50"/>
              <w:spacing w:line="360" w:lineRule="auto"/>
              <w:rPr>
                <w:rFonts w:hint="eastAsia" w:ascii="仿宋" w:hAnsi="仿宋" w:eastAsia="仿宋" w:cs="仿宋"/>
                <w:color w:val="auto"/>
                <w:sz w:val="24"/>
                <w:szCs w:val="24"/>
                <w:highlight w:val="none"/>
              </w:rPr>
            </w:pPr>
          </w:p>
        </w:tc>
      </w:tr>
      <w:tr w14:paraId="1D139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2459" w:type="dxa"/>
            <w:tcBorders>
              <w:top w:val="single" w:color="000000" w:sz="6" w:space="0"/>
              <w:bottom w:val="single" w:color="000000" w:sz="6" w:space="0"/>
              <w:right w:val="single" w:color="000000" w:sz="6" w:space="0"/>
            </w:tcBorders>
            <w:noWrap w:val="0"/>
            <w:vAlign w:val="top"/>
          </w:tcPr>
          <w:p w14:paraId="759C11A4">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开工日期</w:t>
            </w:r>
          </w:p>
        </w:tc>
        <w:tc>
          <w:tcPr>
            <w:tcW w:w="6784" w:type="dxa"/>
            <w:tcBorders>
              <w:top w:val="single" w:color="000000" w:sz="6" w:space="0"/>
              <w:left w:val="single" w:color="000000" w:sz="6" w:space="0"/>
              <w:bottom w:val="single" w:color="000000" w:sz="6" w:space="0"/>
            </w:tcBorders>
            <w:noWrap w:val="0"/>
            <w:vAlign w:val="top"/>
          </w:tcPr>
          <w:p w14:paraId="74029D0D">
            <w:pPr>
              <w:pStyle w:val="50"/>
              <w:spacing w:line="360" w:lineRule="auto"/>
              <w:rPr>
                <w:rFonts w:hint="eastAsia" w:ascii="仿宋" w:hAnsi="仿宋" w:eastAsia="仿宋" w:cs="仿宋"/>
                <w:color w:val="auto"/>
                <w:sz w:val="24"/>
                <w:szCs w:val="24"/>
                <w:highlight w:val="none"/>
              </w:rPr>
            </w:pPr>
          </w:p>
        </w:tc>
      </w:tr>
      <w:tr w14:paraId="1A914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459" w:type="dxa"/>
            <w:tcBorders>
              <w:top w:val="single" w:color="000000" w:sz="6" w:space="0"/>
              <w:bottom w:val="single" w:color="000000" w:sz="6" w:space="0"/>
              <w:right w:val="single" w:color="000000" w:sz="6" w:space="0"/>
            </w:tcBorders>
            <w:noWrap w:val="0"/>
            <w:vAlign w:val="top"/>
          </w:tcPr>
          <w:p w14:paraId="24BA06A9">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交工日期</w:t>
            </w:r>
          </w:p>
        </w:tc>
        <w:tc>
          <w:tcPr>
            <w:tcW w:w="6784" w:type="dxa"/>
            <w:tcBorders>
              <w:top w:val="single" w:color="000000" w:sz="6" w:space="0"/>
              <w:left w:val="single" w:color="000000" w:sz="6" w:space="0"/>
              <w:bottom w:val="single" w:color="000000" w:sz="6" w:space="0"/>
            </w:tcBorders>
            <w:noWrap w:val="0"/>
            <w:vAlign w:val="top"/>
          </w:tcPr>
          <w:p w14:paraId="154DBBBE">
            <w:pPr>
              <w:pStyle w:val="50"/>
              <w:spacing w:line="360" w:lineRule="auto"/>
              <w:rPr>
                <w:rFonts w:hint="eastAsia" w:ascii="仿宋" w:hAnsi="仿宋" w:eastAsia="仿宋" w:cs="仿宋"/>
                <w:color w:val="auto"/>
                <w:sz w:val="24"/>
                <w:szCs w:val="24"/>
                <w:highlight w:val="none"/>
              </w:rPr>
            </w:pPr>
          </w:p>
        </w:tc>
      </w:tr>
      <w:tr w14:paraId="0E350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459" w:type="dxa"/>
            <w:tcBorders>
              <w:top w:val="single" w:color="000000" w:sz="6" w:space="0"/>
              <w:bottom w:val="single" w:color="000000" w:sz="6" w:space="0"/>
              <w:right w:val="single" w:color="000000" w:sz="6" w:space="0"/>
            </w:tcBorders>
            <w:noWrap w:val="0"/>
            <w:vAlign w:val="top"/>
          </w:tcPr>
          <w:p w14:paraId="645DF0D3">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承担的工作</w:t>
            </w:r>
          </w:p>
        </w:tc>
        <w:tc>
          <w:tcPr>
            <w:tcW w:w="6784" w:type="dxa"/>
            <w:tcBorders>
              <w:top w:val="single" w:color="000000" w:sz="6" w:space="0"/>
              <w:left w:val="single" w:color="000000" w:sz="6" w:space="0"/>
              <w:bottom w:val="single" w:color="000000" w:sz="6" w:space="0"/>
            </w:tcBorders>
            <w:noWrap w:val="0"/>
            <w:vAlign w:val="top"/>
          </w:tcPr>
          <w:p w14:paraId="718AF896">
            <w:pPr>
              <w:pStyle w:val="50"/>
              <w:spacing w:line="360" w:lineRule="auto"/>
              <w:rPr>
                <w:rFonts w:hint="eastAsia" w:ascii="仿宋" w:hAnsi="仿宋" w:eastAsia="仿宋" w:cs="仿宋"/>
                <w:color w:val="auto"/>
                <w:sz w:val="24"/>
                <w:szCs w:val="24"/>
                <w:highlight w:val="none"/>
              </w:rPr>
            </w:pPr>
          </w:p>
        </w:tc>
      </w:tr>
      <w:tr w14:paraId="1EC4A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2459" w:type="dxa"/>
            <w:tcBorders>
              <w:top w:val="single" w:color="000000" w:sz="6" w:space="0"/>
              <w:bottom w:val="single" w:color="000000" w:sz="6" w:space="0"/>
              <w:right w:val="single" w:color="000000" w:sz="6" w:space="0"/>
            </w:tcBorders>
            <w:noWrap w:val="0"/>
            <w:vAlign w:val="top"/>
          </w:tcPr>
          <w:p w14:paraId="2B7B7332">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w:t>
            </w:r>
          </w:p>
        </w:tc>
        <w:tc>
          <w:tcPr>
            <w:tcW w:w="6784" w:type="dxa"/>
            <w:tcBorders>
              <w:top w:val="single" w:color="000000" w:sz="6" w:space="0"/>
              <w:left w:val="single" w:color="000000" w:sz="6" w:space="0"/>
              <w:bottom w:val="single" w:color="000000" w:sz="6" w:space="0"/>
            </w:tcBorders>
            <w:noWrap w:val="0"/>
            <w:vAlign w:val="top"/>
          </w:tcPr>
          <w:p w14:paraId="07DA344B">
            <w:pPr>
              <w:pStyle w:val="50"/>
              <w:spacing w:line="360" w:lineRule="auto"/>
              <w:rPr>
                <w:rFonts w:hint="eastAsia" w:ascii="仿宋" w:hAnsi="仿宋" w:eastAsia="仿宋" w:cs="仿宋"/>
                <w:color w:val="auto"/>
                <w:sz w:val="24"/>
                <w:szCs w:val="24"/>
                <w:highlight w:val="none"/>
              </w:rPr>
            </w:pPr>
          </w:p>
        </w:tc>
      </w:tr>
      <w:tr w14:paraId="08ADB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459" w:type="dxa"/>
            <w:tcBorders>
              <w:top w:val="single" w:color="000000" w:sz="6" w:space="0"/>
              <w:bottom w:val="single" w:color="000000" w:sz="6" w:space="0"/>
              <w:right w:val="single" w:color="000000" w:sz="6" w:space="0"/>
            </w:tcBorders>
            <w:noWrap w:val="0"/>
            <w:vAlign w:val="top"/>
          </w:tcPr>
          <w:p w14:paraId="01B5D033">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6784" w:type="dxa"/>
            <w:tcBorders>
              <w:top w:val="single" w:color="000000" w:sz="6" w:space="0"/>
              <w:left w:val="single" w:color="000000" w:sz="6" w:space="0"/>
              <w:bottom w:val="single" w:color="000000" w:sz="6" w:space="0"/>
            </w:tcBorders>
            <w:noWrap w:val="0"/>
            <w:vAlign w:val="top"/>
          </w:tcPr>
          <w:p w14:paraId="7C02354E">
            <w:pPr>
              <w:pStyle w:val="50"/>
              <w:spacing w:line="360" w:lineRule="auto"/>
              <w:rPr>
                <w:rFonts w:hint="eastAsia" w:ascii="仿宋" w:hAnsi="仿宋" w:eastAsia="仿宋" w:cs="仿宋"/>
                <w:color w:val="auto"/>
                <w:sz w:val="24"/>
                <w:szCs w:val="24"/>
                <w:highlight w:val="none"/>
              </w:rPr>
            </w:pPr>
          </w:p>
        </w:tc>
      </w:tr>
      <w:tr w14:paraId="5402B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459" w:type="dxa"/>
            <w:tcBorders>
              <w:top w:val="single" w:color="000000" w:sz="6" w:space="0"/>
              <w:bottom w:val="single" w:color="000000" w:sz="6" w:space="0"/>
              <w:right w:val="single" w:color="000000" w:sz="6" w:space="0"/>
            </w:tcBorders>
            <w:noWrap w:val="0"/>
            <w:vAlign w:val="top"/>
          </w:tcPr>
          <w:p w14:paraId="136804CE">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项目总工</w:t>
            </w:r>
          </w:p>
        </w:tc>
        <w:tc>
          <w:tcPr>
            <w:tcW w:w="6784" w:type="dxa"/>
            <w:tcBorders>
              <w:top w:val="single" w:color="000000" w:sz="6" w:space="0"/>
              <w:left w:val="single" w:color="000000" w:sz="6" w:space="0"/>
              <w:bottom w:val="single" w:color="000000" w:sz="6" w:space="0"/>
            </w:tcBorders>
            <w:noWrap w:val="0"/>
            <w:vAlign w:val="top"/>
          </w:tcPr>
          <w:p w14:paraId="7D447858">
            <w:pPr>
              <w:pStyle w:val="50"/>
              <w:spacing w:line="360" w:lineRule="auto"/>
              <w:rPr>
                <w:rFonts w:hint="eastAsia" w:ascii="仿宋" w:hAnsi="仿宋" w:eastAsia="仿宋" w:cs="仿宋"/>
                <w:color w:val="auto"/>
                <w:sz w:val="24"/>
                <w:szCs w:val="24"/>
                <w:highlight w:val="none"/>
              </w:rPr>
            </w:pPr>
          </w:p>
        </w:tc>
      </w:tr>
      <w:tr w14:paraId="73CA0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jc w:val="center"/>
        </w:trPr>
        <w:tc>
          <w:tcPr>
            <w:tcW w:w="2459" w:type="dxa"/>
            <w:tcBorders>
              <w:top w:val="single" w:color="000000" w:sz="6" w:space="0"/>
              <w:bottom w:val="single" w:color="000000" w:sz="6" w:space="0"/>
              <w:right w:val="single" w:color="000000" w:sz="6" w:space="0"/>
            </w:tcBorders>
            <w:noWrap w:val="0"/>
            <w:vAlign w:val="top"/>
          </w:tcPr>
          <w:p w14:paraId="33252147">
            <w:pPr>
              <w:bidi w:val="0"/>
              <w:jc w:val="center"/>
              <w:rPr>
                <w:rFonts w:hint="eastAsia" w:ascii="仿宋" w:hAnsi="仿宋" w:eastAsia="仿宋" w:cs="仿宋"/>
                <w:color w:val="auto"/>
                <w:sz w:val="24"/>
                <w:szCs w:val="24"/>
                <w:highlight w:val="none"/>
              </w:rPr>
            </w:pPr>
          </w:p>
          <w:p w14:paraId="3529C2B1">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总监理工程师及电话</w:t>
            </w:r>
          </w:p>
        </w:tc>
        <w:tc>
          <w:tcPr>
            <w:tcW w:w="6784" w:type="dxa"/>
            <w:tcBorders>
              <w:top w:val="single" w:color="000000" w:sz="6" w:space="0"/>
              <w:left w:val="single" w:color="000000" w:sz="6" w:space="0"/>
              <w:bottom w:val="single" w:color="000000" w:sz="6" w:space="0"/>
            </w:tcBorders>
            <w:noWrap w:val="0"/>
            <w:vAlign w:val="top"/>
          </w:tcPr>
          <w:p w14:paraId="5806410E">
            <w:pPr>
              <w:bidi w:val="0"/>
              <w:jc w:val="center"/>
              <w:rPr>
                <w:rFonts w:hint="eastAsia" w:ascii="仿宋" w:hAnsi="仿宋" w:eastAsia="仿宋" w:cs="仿宋"/>
                <w:color w:val="auto"/>
                <w:sz w:val="24"/>
                <w:szCs w:val="24"/>
                <w:highlight w:val="none"/>
              </w:rPr>
            </w:pPr>
          </w:p>
        </w:tc>
      </w:tr>
      <w:tr w14:paraId="1A0B9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1" w:hRule="atLeast"/>
          <w:jc w:val="center"/>
        </w:trPr>
        <w:tc>
          <w:tcPr>
            <w:tcW w:w="2459" w:type="dxa"/>
            <w:tcBorders>
              <w:top w:val="single" w:color="000000" w:sz="6" w:space="0"/>
              <w:bottom w:val="single" w:color="000000" w:sz="6" w:space="0"/>
              <w:right w:val="single" w:color="000000" w:sz="6" w:space="0"/>
            </w:tcBorders>
            <w:noWrap w:val="0"/>
            <w:vAlign w:val="top"/>
          </w:tcPr>
          <w:p w14:paraId="497ECFFD">
            <w:pPr>
              <w:pStyle w:val="50"/>
              <w:spacing w:before="1" w:line="360" w:lineRule="auto"/>
              <w:jc w:val="center"/>
              <w:rPr>
                <w:rFonts w:hint="eastAsia" w:ascii="仿宋" w:hAnsi="仿宋" w:eastAsia="仿宋" w:cs="仿宋"/>
                <w:b/>
                <w:color w:val="auto"/>
                <w:sz w:val="24"/>
                <w:szCs w:val="24"/>
                <w:highlight w:val="none"/>
              </w:rPr>
            </w:pPr>
          </w:p>
          <w:p w14:paraId="2F5D3517">
            <w:pPr>
              <w:pStyle w:val="50"/>
              <w:spacing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项目描述</w:t>
            </w:r>
          </w:p>
        </w:tc>
        <w:tc>
          <w:tcPr>
            <w:tcW w:w="6784" w:type="dxa"/>
            <w:tcBorders>
              <w:top w:val="single" w:color="000000" w:sz="6" w:space="0"/>
              <w:left w:val="single" w:color="000000" w:sz="6" w:space="0"/>
              <w:bottom w:val="single" w:color="000000" w:sz="6" w:space="0"/>
            </w:tcBorders>
            <w:noWrap w:val="0"/>
            <w:vAlign w:val="top"/>
          </w:tcPr>
          <w:p w14:paraId="6B7AB294">
            <w:pPr>
              <w:pStyle w:val="50"/>
              <w:spacing w:line="360" w:lineRule="auto"/>
              <w:rPr>
                <w:rFonts w:hint="eastAsia" w:ascii="仿宋" w:hAnsi="仿宋" w:eastAsia="仿宋" w:cs="仿宋"/>
                <w:color w:val="auto"/>
                <w:sz w:val="24"/>
                <w:szCs w:val="24"/>
                <w:highlight w:val="none"/>
              </w:rPr>
            </w:pPr>
          </w:p>
        </w:tc>
      </w:tr>
      <w:tr w14:paraId="20A86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2459" w:type="dxa"/>
            <w:tcBorders>
              <w:top w:val="single" w:color="000000" w:sz="6" w:space="0"/>
              <w:right w:val="single" w:color="000000" w:sz="6" w:space="0"/>
            </w:tcBorders>
            <w:noWrap w:val="0"/>
            <w:vAlign w:val="top"/>
          </w:tcPr>
          <w:p w14:paraId="49766388">
            <w:pPr>
              <w:pStyle w:val="50"/>
              <w:spacing w:before="1" w:line="360" w:lineRule="auto"/>
              <w:ind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6784" w:type="dxa"/>
            <w:tcBorders>
              <w:top w:val="single" w:color="000000" w:sz="6" w:space="0"/>
              <w:left w:val="single" w:color="000000" w:sz="6" w:space="0"/>
            </w:tcBorders>
            <w:noWrap w:val="0"/>
            <w:vAlign w:val="top"/>
          </w:tcPr>
          <w:p w14:paraId="42B036E3">
            <w:pPr>
              <w:pStyle w:val="50"/>
              <w:spacing w:line="360" w:lineRule="auto"/>
              <w:rPr>
                <w:rFonts w:hint="eastAsia" w:ascii="仿宋" w:hAnsi="仿宋" w:eastAsia="仿宋" w:cs="仿宋"/>
                <w:color w:val="auto"/>
                <w:sz w:val="24"/>
                <w:szCs w:val="24"/>
                <w:highlight w:val="none"/>
              </w:rPr>
            </w:pPr>
          </w:p>
        </w:tc>
      </w:tr>
    </w:tbl>
    <w:p w14:paraId="45CEC6ED">
      <w:pPr>
        <w:spacing w:line="56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注：后附</w:t>
      </w:r>
      <w:r>
        <w:rPr>
          <w:rFonts w:hint="eastAsia" w:ascii="仿宋" w:hAnsi="仿宋" w:eastAsia="仿宋" w:cs="仿宋"/>
          <w:color w:val="auto"/>
          <w:szCs w:val="21"/>
          <w:highlight w:val="none"/>
          <w:lang w:val="en-US" w:eastAsia="zh-CN"/>
        </w:rPr>
        <w:t>业绩证明</w:t>
      </w:r>
      <w:r>
        <w:rPr>
          <w:rFonts w:hint="eastAsia" w:ascii="仿宋" w:hAnsi="仿宋" w:eastAsia="仿宋" w:cs="仿宋"/>
          <w:color w:val="auto"/>
          <w:szCs w:val="21"/>
          <w:highlight w:val="none"/>
          <w:lang w:eastAsia="zh-CN"/>
        </w:rPr>
        <w:t>资料等。</w:t>
      </w:r>
    </w:p>
    <w:p w14:paraId="18FAA5A3">
      <w:pPr>
        <w:numPr>
          <w:ilvl w:val="0"/>
          <w:numId w:val="0"/>
        </w:numPr>
        <w:autoSpaceDE w:val="0"/>
        <w:autoSpaceDN w:val="0"/>
        <w:adjustRightInd w:val="0"/>
        <w:snapToGrid w:val="0"/>
        <w:spacing w:line="360" w:lineRule="auto"/>
        <w:jc w:val="both"/>
        <w:outlineLvl w:val="1"/>
        <w:rPr>
          <w:rFonts w:hint="eastAsia" w:ascii="仿宋" w:hAnsi="仿宋" w:eastAsia="仿宋" w:cs="仿宋"/>
          <w:b/>
          <w:color w:val="auto"/>
          <w:sz w:val="30"/>
          <w:szCs w:val="30"/>
          <w:highlight w:val="none"/>
          <w:lang w:val="zh-CN"/>
        </w:rPr>
      </w:pPr>
    </w:p>
    <w:p w14:paraId="2FB5BF48">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5C9FCA1D">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zh-CN" w:eastAsia="zh-CN"/>
        </w:rPr>
      </w:pPr>
      <w:bookmarkStart w:id="633" w:name="_Toc1297"/>
      <w:r>
        <w:rPr>
          <w:rFonts w:hint="eastAsia" w:ascii="仿宋" w:hAnsi="仿宋" w:eastAsia="仿宋" w:cs="仿宋"/>
          <w:b/>
          <w:color w:val="auto"/>
          <w:sz w:val="30"/>
          <w:szCs w:val="30"/>
          <w:highlight w:val="none"/>
          <w:lang w:val="en-US" w:eastAsia="zh-CN"/>
        </w:rPr>
        <w:t>九</w:t>
      </w:r>
      <w:r>
        <w:rPr>
          <w:rFonts w:hint="eastAsia" w:ascii="仿宋" w:hAnsi="仿宋" w:eastAsia="仿宋" w:cs="仿宋"/>
          <w:b/>
          <w:color w:val="auto"/>
          <w:sz w:val="30"/>
          <w:szCs w:val="30"/>
          <w:highlight w:val="none"/>
          <w:lang w:val="zh-CN"/>
        </w:rPr>
        <w:t>、</w:t>
      </w:r>
      <w:r>
        <w:rPr>
          <w:rFonts w:hint="eastAsia" w:ascii="仿宋" w:hAnsi="仿宋" w:eastAsia="仿宋" w:cs="仿宋"/>
          <w:b/>
          <w:color w:val="auto"/>
          <w:sz w:val="30"/>
          <w:szCs w:val="30"/>
          <w:highlight w:val="none"/>
          <w:lang w:val="en-US" w:eastAsia="zh-CN"/>
        </w:rPr>
        <w:t>服务承诺</w:t>
      </w:r>
      <w:bookmarkEnd w:id="633"/>
    </w:p>
    <w:p w14:paraId="5412E62A">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2F482C88">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4320A852">
      <w:pPr>
        <w:autoSpaceDE w:val="0"/>
        <w:autoSpaceDN w:val="0"/>
        <w:adjustRightInd w:val="0"/>
        <w:snapToGrid w:val="0"/>
        <w:spacing w:line="360" w:lineRule="auto"/>
        <w:jc w:val="center"/>
        <w:outlineLvl w:val="1"/>
        <w:rPr>
          <w:rFonts w:hint="default" w:ascii="仿宋" w:hAnsi="仿宋" w:eastAsia="仿宋" w:cs="仿宋"/>
          <w:b w:val="0"/>
          <w:bCs/>
          <w:color w:val="auto"/>
          <w:sz w:val="24"/>
          <w:szCs w:val="24"/>
          <w:highlight w:val="none"/>
          <w:lang w:val="en-US" w:eastAsia="zh-CN"/>
        </w:rPr>
      </w:pPr>
      <w:bookmarkStart w:id="634" w:name="_Toc240"/>
      <w:r>
        <w:rPr>
          <w:rFonts w:hint="eastAsia" w:ascii="仿宋" w:hAnsi="仿宋" w:eastAsia="仿宋" w:cs="仿宋"/>
          <w:b w:val="0"/>
          <w:bCs/>
          <w:color w:val="auto"/>
          <w:sz w:val="24"/>
          <w:szCs w:val="24"/>
          <w:highlight w:val="none"/>
          <w:lang w:val="en-US" w:eastAsia="zh-CN"/>
        </w:rPr>
        <w:t>结合磋商办法，自行编制。</w:t>
      </w:r>
      <w:bookmarkEnd w:id="634"/>
    </w:p>
    <w:p w14:paraId="28B08B59">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2E980F9F">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3BB7996A">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75E066BB">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4E334D04">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54511FFF">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23827762">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40D4F6E1">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3BCCC76F">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4F48FB17">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6F3B0580">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1FFD7C12">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16ABAD3A">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43ACCB8A">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545BFE59">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0BAC6CF2">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49E0889C">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000A36C6">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4D8C2B41">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53EF4A71">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32D348C5">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zh-CN"/>
        </w:rPr>
      </w:pPr>
      <w:bookmarkStart w:id="635" w:name="_Toc1460"/>
      <w:r>
        <w:rPr>
          <w:rFonts w:hint="eastAsia" w:ascii="仿宋" w:hAnsi="仿宋" w:eastAsia="仿宋" w:cs="仿宋"/>
          <w:b/>
          <w:color w:val="auto"/>
          <w:sz w:val="30"/>
          <w:szCs w:val="30"/>
          <w:highlight w:val="none"/>
          <w:lang w:val="en-US" w:eastAsia="zh-CN"/>
        </w:rPr>
        <w:t>十</w:t>
      </w:r>
      <w:r>
        <w:rPr>
          <w:rFonts w:hint="eastAsia" w:ascii="仿宋" w:hAnsi="仿宋" w:eastAsia="仿宋" w:cs="仿宋"/>
          <w:b/>
          <w:color w:val="auto"/>
          <w:sz w:val="30"/>
          <w:szCs w:val="30"/>
          <w:highlight w:val="none"/>
          <w:lang w:val="zh-CN"/>
        </w:rPr>
        <w:t>、</w:t>
      </w:r>
      <w:bookmarkEnd w:id="626"/>
      <w:bookmarkEnd w:id="627"/>
      <w:bookmarkEnd w:id="628"/>
      <w:r>
        <w:rPr>
          <w:rFonts w:hint="eastAsia" w:ascii="仿宋" w:hAnsi="仿宋" w:eastAsia="仿宋" w:cs="仿宋"/>
          <w:b/>
          <w:color w:val="auto"/>
          <w:sz w:val="30"/>
          <w:szCs w:val="30"/>
          <w:highlight w:val="none"/>
          <w:lang w:val="zh-CN"/>
        </w:rPr>
        <w:t>供应商认为与本次项目有关的其他材料</w:t>
      </w:r>
      <w:bookmarkEnd w:id="629"/>
      <w:bookmarkEnd w:id="630"/>
      <w:bookmarkEnd w:id="635"/>
    </w:p>
    <w:p w14:paraId="7AF7A785">
      <w:pPr>
        <w:snapToGrid w:val="0"/>
        <w:spacing w:line="360" w:lineRule="auto"/>
        <w:jc w:val="center"/>
        <w:rPr>
          <w:rFonts w:hint="eastAsia" w:ascii="仿宋" w:hAnsi="仿宋" w:eastAsia="仿宋" w:cs="仿宋"/>
          <w:color w:val="auto"/>
          <w:highlight w:val="none"/>
        </w:rPr>
      </w:pPr>
    </w:p>
    <w:p w14:paraId="5B0288BB">
      <w:pPr>
        <w:pStyle w:val="4"/>
        <w:rPr>
          <w:rFonts w:hint="eastAsia" w:ascii="仿宋" w:hAnsi="仿宋" w:eastAsia="仿宋" w:cs="仿宋"/>
          <w:color w:val="auto"/>
          <w:highlight w:val="none"/>
        </w:rPr>
      </w:pPr>
    </w:p>
    <w:p w14:paraId="2511383B">
      <w:pPr>
        <w:pStyle w:val="7"/>
        <w:rPr>
          <w:rFonts w:hint="eastAsia" w:ascii="仿宋" w:hAnsi="仿宋" w:eastAsia="仿宋" w:cs="仿宋"/>
          <w:color w:val="auto"/>
          <w:highlight w:val="none"/>
        </w:rPr>
      </w:pPr>
    </w:p>
    <w:p w14:paraId="315260A9">
      <w:pPr>
        <w:rPr>
          <w:rFonts w:hint="eastAsia" w:ascii="仿宋" w:hAnsi="仿宋" w:eastAsia="仿宋" w:cs="仿宋"/>
          <w:color w:val="auto"/>
          <w:highlight w:val="none"/>
        </w:rPr>
      </w:pPr>
    </w:p>
    <w:p w14:paraId="1040ECA2">
      <w:pPr>
        <w:rPr>
          <w:rFonts w:hint="eastAsia" w:ascii="仿宋" w:hAnsi="仿宋" w:eastAsia="仿宋" w:cs="仿宋"/>
          <w:color w:val="auto"/>
          <w:highlight w:val="none"/>
        </w:rPr>
      </w:pPr>
    </w:p>
    <w:p w14:paraId="73AA1245">
      <w:pPr>
        <w:rPr>
          <w:rFonts w:hint="eastAsia" w:ascii="仿宋" w:hAnsi="仿宋" w:eastAsia="仿宋" w:cs="仿宋"/>
          <w:color w:val="auto"/>
          <w:highlight w:val="none"/>
        </w:rPr>
      </w:pPr>
    </w:p>
    <w:p w14:paraId="15894B44">
      <w:pPr>
        <w:rPr>
          <w:rFonts w:hint="eastAsia" w:ascii="仿宋" w:hAnsi="仿宋" w:eastAsia="仿宋" w:cs="仿宋"/>
          <w:color w:val="auto"/>
          <w:highlight w:val="none"/>
        </w:rPr>
      </w:pPr>
    </w:p>
    <w:p w14:paraId="6BEF50A2">
      <w:pPr>
        <w:rPr>
          <w:rFonts w:hint="eastAsia" w:ascii="仿宋" w:hAnsi="仿宋" w:eastAsia="仿宋" w:cs="仿宋"/>
          <w:color w:val="auto"/>
          <w:highlight w:val="none"/>
        </w:rPr>
      </w:pPr>
    </w:p>
    <w:p w14:paraId="161D9F09">
      <w:pPr>
        <w:rPr>
          <w:rFonts w:hint="eastAsia" w:ascii="仿宋" w:hAnsi="仿宋" w:eastAsia="仿宋" w:cs="仿宋"/>
          <w:color w:val="auto"/>
          <w:highlight w:val="none"/>
        </w:rPr>
      </w:pPr>
    </w:p>
    <w:p w14:paraId="2F68A24D">
      <w:pPr>
        <w:rPr>
          <w:rFonts w:hint="eastAsia" w:ascii="仿宋" w:hAnsi="仿宋" w:eastAsia="仿宋" w:cs="仿宋"/>
          <w:color w:val="auto"/>
          <w:highlight w:val="none"/>
        </w:rPr>
      </w:pPr>
    </w:p>
    <w:p w14:paraId="272E3468">
      <w:pPr>
        <w:rPr>
          <w:rFonts w:hint="eastAsia" w:ascii="仿宋" w:hAnsi="仿宋" w:eastAsia="仿宋" w:cs="仿宋"/>
          <w:color w:val="auto"/>
          <w:highlight w:val="none"/>
        </w:rPr>
      </w:pPr>
    </w:p>
    <w:p w14:paraId="03C64324">
      <w:pPr>
        <w:rPr>
          <w:rFonts w:hint="eastAsia" w:ascii="仿宋" w:hAnsi="仿宋" w:eastAsia="仿宋" w:cs="仿宋"/>
          <w:color w:val="auto"/>
          <w:highlight w:val="none"/>
        </w:rPr>
      </w:pPr>
    </w:p>
    <w:p w14:paraId="41A56882">
      <w:pPr>
        <w:rPr>
          <w:rFonts w:hint="eastAsia" w:ascii="仿宋" w:hAnsi="仿宋" w:eastAsia="仿宋" w:cs="仿宋"/>
          <w:color w:val="auto"/>
          <w:highlight w:val="none"/>
        </w:rPr>
      </w:pPr>
    </w:p>
    <w:p w14:paraId="7DD739F0">
      <w:pPr>
        <w:rPr>
          <w:rFonts w:hint="eastAsia" w:ascii="仿宋" w:hAnsi="仿宋" w:eastAsia="仿宋" w:cs="仿宋"/>
          <w:color w:val="auto"/>
          <w:highlight w:val="none"/>
        </w:rPr>
      </w:pPr>
    </w:p>
    <w:p w14:paraId="1B63FEFE">
      <w:pPr>
        <w:rPr>
          <w:rFonts w:hint="eastAsia" w:ascii="仿宋" w:hAnsi="仿宋" w:eastAsia="仿宋" w:cs="仿宋"/>
          <w:color w:val="auto"/>
          <w:highlight w:val="none"/>
        </w:rPr>
      </w:pPr>
    </w:p>
    <w:p w14:paraId="57ADD990">
      <w:pPr>
        <w:rPr>
          <w:rFonts w:hint="eastAsia" w:ascii="仿宋" w:hAnsi="仿宋" w:eastAsia="仿宋" w:cs="仿宋"/>
          <w:color w:val="auto"/>
          <w:highlight w:val="none"/>
        </w:rPr>
      </w:pPr>
    </w:p>
    <w:p w14:paraId="71644DD7">
      <w:pPr>
        <w:rPr>
          <w:rFonts w:hint="eastAsia" w:ascii="仿宋" w:hAnsi="仿宋" w:eastAsia="仿宋" w:cs="仿宋"/>
          <w:color w:val="auto"/>
          <w:highlight w:val="none"/>
        </w:rPr>
      </w:pPr>
    </w:p>
    <w:p w14:paraId="56559F81">
      <w:pPr>
        <w:rPr>
          <w:rFonts w:hint="eastAsia" w:ascii="仿宋" w:hAnsi="仿宋" w:eastAsia="仿宋" w:cs="仿宋"/>
          <w:color w:val="auto"/>
          <w:highlight w:val="none"/>
        </w:rPr>
      </w:pPr>
    </w:p>
    <w:p w14:paraId="7C3D8F64">
      <w:pPr>
        <w:rPr>
          <w:rFonts w:hint="eastAsia" w:ascii="仿宋" w:hAnsi="仿宋" w:eastAsia="仿宋" w:cs="仿宋"/>
          <w:color w:val="auto"/>
          <w:highlight w:val="none"/>
        </w:rPr>
      </w:pPr>
    </w:p>
    <w:p w14:paraId="1B854586">
      <w:pPr>
        <w:rPr>
          <w:rFonts w:hint="eastAsia" w:ascii="仿宋" w:hAnsi="仿宋" w:eastAsia="仿宋" w:cs="仿宋"/>
          <w:color w:val="auto"/>
          <w:highlight w:val="none"/>
        </w:rPr>
      </w:pPr>
    </w:p>
    <w:p w14:paraId="756BCCF7">
      <w:pPr>
        <w:rPr>
          <w:rFonts w:hint="eastAsia" w:ascii="仿宋" w:hAnsi="仿宋" w:eastAsia="仿宋" w:cs="仿宋"/>
          <w:color w:val="auto"/>
          <w:highlight w:val="none"/>
        </w:rPr>
      </w:pPr>
    </w:p>
    <w:p w14:paraId="2A3A362B">
      <w:pPr>
        <w:pStyle w:val="45"/>
        <w:rPr>
          <w:rFonts w:hint="eastAsia" w:ascii="仿宋" w:hAnsi="仿宋" w:eastAsia="仿宋" w:cs="仿宋"/>
          <w:color w:val="auto"/>
          <w:highlight w:val="none"/>
        </w:rPr>
      </w:pPr>
    </w:p>
    <w:p w14:paraId="035CC2A8">
      <w:pPr>
        <w:rPr>
          <w:rFonts w:hint="eastAsia" w:ascii="仿宋" w:hAnsi="仿宋" w:eastAsia="仿宋" w:cs="仿宋"/>
          <w:color w:val="auto"/>
          <w:highlight w:val="none"/>
        </w:rPr>
      </w:pPr>
    </w:p>
    <w:bookmarkEnd w:id="631"/>
    <w:bookmarkEnd w:id="632"/>
    <w:p w14:paraId="0049D310">
      <w:pPr>
        <w:pStyle w:val="7"/>
        <w:spacing w:line="360" w:lineRule="auto"/>
        <w:ind w:left="0" w:leftChars="0" w:firstLine="0" w:firstLineChars="0"/>
        <w:rPr>
          <w:rFonts w:hint="eastAsia" w:ascii="仿宋" w:hAnsi="仿宋" w:eastAsia="仿宋" w:cs="仿宋"/>
          <w:color w:val="auto"/>
          <w:highlight w:val="none"/>
        </w:rPr>
      </w:pPr>
    </w:p>
    <w:p w14:paraId="6C83FA6C">
      <w:pPr>
        <w:rPr>
          <w:rFonts w:hint="eastAsia" w:ascii="仿宋" w:hAnsi="仿宋" w:eastAsia="仿宋" w:cs="仿宋"/>
          <w:b w:val="0"/>
          <w:bCs w:val="0"/>
          <w:color w:val="auto"/>
          <w:sz w:val="28"/>
          <w:szCs w:val="28"/>
          <w:highlight w:val="none"/>
        </w:rPr>
      </w:pPr>
      <w:bookmarkStart w:id="636" w:name="_Toc7744"/>
      <w:bookmarkStart w:id="637" w:name="_Toc20983"/>
      <w:bookmarkStart w:id="638" w:name="_Toc25690"/>
      <w:r>
        <w:rPr>
          <w:rFonts w:hint="eastAsia" w:ascii="仿宋" w:hAnsi="仿宋" w:eastAsia="仿宋" w:cs="仿宋"/>
          <w:b w:val="0"/>
          <w:bCs w:val="0"/>
          <w:color w:val="auto"/>
          <w:sz w:val="28"/>
          <w:szCs w:val="28"/>
          <w:highlight w:val="none"/>
        </w:rPr>
        <w:br w:type="page"/>
      </w:r>
    </w:p>
    <w:bookmarkEnd w:id="636"/>
    <w:bookmarkEnd w:id="637"/>
    <w:bookmarkEnd w:id="638"/>
    <w:p w14:paraId="216EA117">
      <w:pPr>
        <w:pStyle w:val="53"/>
        <w:jc w:val="left"/>
        <w:rPr>
          <w:rFonts w:hint="eastAsia" w:ascii="仿宋" w:hAnsi="仿宋" w:eastAsia="仿宋" w:cs="仿宋"/>
          <w:b/>
          <w:bCs/>
          <w:color w:val="auto"/>
          <w:sz w:val="28"/>
          <w:szCs w:val="28"/>
          <w:highlight w:val="none"/>
          <w:lang w:val="en-GB"/>
        </w:rPr>
      </w:pPr>
      <w:r>
        <w:rPr>
          <w:rFonts w:hint="eastAsia" w:ascii="仿宋" w:hAnsi="仿宋" w:eastAsia="仿宋" w:cs="仿宋"/>
          <w:b/>
          <w:bCs/>
          <w:color w:val="auto"/>
          <w:sz w:val="28"/>
          <w:szCs w:val="28"/>
          <w:highlight w:val="none"/>
          <w:lang w:val="en-GB"/>
        </w:rPr>
        <w:t>附件</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val="en-GB"/>
        </w:rPr>
        <w:t>：中小企业声明函（工程）</w:t>
      </w:r>
    </w:p>
    <w:p w14:paraId="0870F8FE">
      <w:pPr>
        <w:jc w:val="center"/>
        <w:rPr>
          <w:rFonts w:hint="eastAsia" w:ascii="仿宋" w:hAnsi="仿宋" w:eastAsia="仿宋" w:cs="仿宋"/>
          <w:color w:val="auto"/>
          <w:szCs w:val="21"/>
          <w:highlight w:val="none"/>
        </w:rPr>
      </w:pPr>
    </w:p>
    <w:p w14:paraId="2138B16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（属于中小微企业的填写，不属于的无需填写此项内容）</w:t>
      </w:r>
    </w:p>
    <w:p w14:paraId="521567C9">
      <w:pPr>
        <w:autoSpaceDE w:val="0"/>
        <w:autoSpaceDN w:val="0"/>
        <w:adjustRightInd w:val="0"/>
        <w:spacing w:line="560" w:lineRule="exact"/>
        <w:jc w:val="center"/>
        <w:outlineLvl w:val="1"/>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p>
    <w:p w14:paraId="65371F54">
      <w:pPr>
        <w:autoSpaceDE w:val="0"/>
        <w:autoSpaceDN w:val="0"/>
        <w:adjustRightInd w:val="0"/>
        <w:spacing w:line="560" w:lineRule="exact"/>
        <w:jc w:val="center"/>
        <w:outlineLvl w:val="1"/>
        <w:rPr>
          <w:rFonts w:hint="eastAsia" w:ascii="仿宋" w:hAnsi="仿宋" w:eastAsia="仿宋" w:cs="仿宋"/>
          <w:color w:val="auto"/>
          <w:sz w:val="24"/>
          <w:szCs w:val="24"/>
          <w:highlight w:val="none"/>
        </w:rPr>
      </w:pPr>
      <w:bookmarkStart w:id="639" w:name="_Toc4340"/>
      <w:bookmarkStart w:id="640" w:name="_Toc8036"/>
      <w:r>
        <w:rPr>
          <w:rFonts w:hint="eastAsia" w:ascii="仿宋" w:hAnsi="仿宋" w:eastAsia="仿宋" w:cs="仿宋"/>
          <w:color w:val="auto"/>
          <w:kern w:val="2"/>
          <w:sz w:val="24"/>
          <w:szCs w:val="24"/>
          <w:highlight w:val="none"/>
        </w:rPr>
        <w:t>中小企业声明函（工程）</w:t>
      </w:r>
      <w:bookmarkEnd w:id="639"/>
      <w:bookmarkEnd w:id="640"/>
    </w:p>
    <w:p w14:paraId="526C841B">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本公司（联合体）郑重声明，根据《政府采购促进中小企业发展管理办法》（财库（2020）46号）的规定，本公司（联合体）参加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采购活动，工程的施工单位全部为符合政策要求的中小企业。相关企业（含联合体中的中小企业、签订分包意向协议的中小企业）的具体情况如下：</w:t>
      </w:r>
    </w:p>
    <w:p w14:paraId="49BB18DD">
      <w:pPr>
        <w:numPr>
          <w:ilvl w:val="0"/>
          <w:numId w:val="7"/>
        </w:num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行业；承建</w:t>
      </w:r>
      <w:r>
        <w:rPr>
          <w:rFonts w:hint="eastAsia" w:ascii="仿宋" w:hAnsi="仿宋" w:eastAsia="仿宋" w:cs="仿宋"/>
          <w:color w:val="auto"/>
          <w:sz w:val="24"/>
          <w:szCs w:val="24"/>
          <w:highlight w:val="none"/>
          <w:lang w:val="en-US" w:eastAsia="zh-CN"/>
        </w:rPr>
        <w:t>企业</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u w:val="single"/>
        </w:rPr>
        <w:t xml:space="preserve">     （企业名称）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 xml:space="preserve">； </w:t>
      </w:r>
    </w:p>
    <w:p w14:paraId="2C555EBD">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行业；承建</w:t>
      </w:r>
      <w:r>
        <w:rPr>
          <w:rFonts w:hint="eastAsia" w:ascii="仿宋" w:hAnsi="仿宋" w:eastAsia="仿宋" w:cs="仿宋"/>
          <w:color w:val="auto"/>
          <w:sz w:val="24"/>
          <w:szCs w:val="24"/>
          <w:highlight w:val="none"/>
          <w:lang w:val="en-US" w:eastAsia="zh-CN"/>
        </w:rPr>
        <w:t>企业</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u w:val="single"/>
        </w:rPr>
        <w:t xml:space="preserve">     （企业名称）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 xml:space="preserve">； </w:t>
      </w:r>
    </w:p>
    <w:p w14:paraId="261E3D24">
      <w:pPr>
        <w:pStyle w:val="45"/>
        <w:ind w:left="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4C880407">
      <w:pPr>
        <w:ind w:firstLine="480"/>
        <w:rPr>
          <w:rFonts w:hint="eastAsia" w:ascii="仿宋" w:hAnsi="仿宋" w:eastAsia="仿宋" w:cs="仿宋"/>
          <w:color w:val="auto"/>
          <w:sz w:val="24"/>
          <w:szCs w:val="24"/>
          <w:highlight w:val="none"/>
        </w:rPr>
      </w:pPr>
    </w:p>
    <w:p w14:paraId="43E5AED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以上企业，不属于大企业的分支机构，不存在控股股东为大企业的情形，也不存在与大企业的负责人为同一人的情形。 </w:t>
      </w:r>
    </w:p>
    <w:p w14:paraId="53C57E7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 法承担相应责任。</w:t>
      </w:r>
    </w:p>
    <w:p w14:paraId="272C1B64">
      <w:pPr>
        <w:spacing w:line="360" w:lineRule="auto"/>
        <w:ind w:firstLine="6000" w:firstLineChars="2500"/>
        <w:rPr>
          <w:rFonts w:hint="eastAsia" w:ascii="仿宋" w:hAnsi="仿宋" w:eastAsia="仿宋" w:cs="仿宋"/>
          <w:color w:val="auto"/>
          <w:sz w:val="24"/>
          <w:szCs w:val="24"/>
          <w:highlight w:val="none"/>
        </w:rPr>
      </w:pPr>
    </w:p>
    <w:p w14:paraId="008FF0AB">
      <w:pPr>
        <w:spacing w:line="360" w:lineRule="auto"/>
        <w:ind w:firstLine="6000" w:firstLineChars="2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企业名称（盖章）： </w:t>
      </w:r>
    </w:p>
    <w:p w14:paraId="29FF8448">
      <w:pPr>
        <w:spacing w:line="360" w:lineRule="auto"/>
        <w:ind w:firstLine="6000" w:firstLineChars="2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 期： </w:t>
      </w:r>
    </w:p>
    <w:p w14:paraId="5B65BE4F">
      <w:pPr>
        <w:pStyle w:val="9"/>
        <w:keepNext w:val="0"/>
        <w:keepLines w:val="0"/>
        <w:pageBreakBefore w:val="0"/>
        <w:widowControl w:val="0"/>
        <w:kinsoku/>
        <w:wordWrap/>
        <w:overflowPunct/>
        <w:topLinePunct w:val="0"/>
        <w:autoSpaceDE w:val="0"/>
        <w:autoSpaceDN w:val="0"/>
        <w:bidi w:val="0"/>
        <w:adjustRightInd/>
        <w:snapToGrid/>
        <w:spacing w:before="19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6B6EB59D">
      <w:pPr>
        <w:pStyle w:val="9"/>
        <w:keepNext w:val="0"/>
        <w:keepLines w:val="0"/>
        <w:pageBreakBefore w:val="0"/>
        <w:widowControl w:val="0"/>
        <w:kinsoku/>
        <w:wordWrap/>
        <w:overflowPunct/>
        <w:topLinePunct w:val="0"/>
        <w:autoSpaceDE w:val="0"/>
        <w:autoSpaceDN w:val="0"/>
        <w:bidi w:val="0"/>
        <w:adjustRightInd/>
        <w:snapToGrid/>
        <w:spacing w:before="194" w:line="360" w:lineRule="auto"/>
        <w:ind w:right="613"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1、从业人员、营业收入、资产总额填报上一年度数据，无上一年度数据的新成立</w:t>
      </w:r>
      <w:r>
        <w:rPr>
          <w:rFonts w:hint="eastAsia" w:ascii="仿宋" w:hAnsi="仿宋" w:eastAsia="仿宋" w:cs="仿宋"/>
          <w:color w:val="auto"/>
          <w:sz w:val="24"/>
          <w:szCs w:val="24"/>
          <w:highlight w:val="none"/>
        </w:rPr>
        <w:t>企业可不填报。</w:t>
      </w:r>
    </w:p>
    <w:p w14:paraId="2A8E682B">
      <w:pPr>
        <w:pStyle w:val="9"/>
        <w:keepNext w:val="0"/>
        <w:keepLines w:val="0"/>
        <w:pageBreakBefore w:val="0"/>
        <w:widowControl w:val="0"/>
        <w:kinsoku/>
        <w:wordWrap/>
        <w:overflowPunct/>
        <w:topLinePunct w:val="0"/>
        <w:autoSpaceDE w:val="0"/>
        <w:autoSpaceDN w:val="0"/>
        <w:bidi w:val="0"/>
        <w:adjustRightInd/>
        <w:snapToGrid/>
        <w:spacing w:before="2" w:line="360" w:lineRule="auto"/>
        <w:ind w:right="613"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2、中小企业参加政府采购活动，应当岀具《中小企业声明函》，否则不得享受相</w:t>
      </w:r>
      <w:r>
        <w:rPr>
          <w:rFonts w:hint="eastAsia" w:ascii="仿宋" w:hAnsi="仿宋" w:eastAsia="仿宋" w:cs="仿宋"/>
          <w:color w:val="auto"/>
          <w:sz w:val="24"/>
          <w:szCs w:val="24"/>
          <w:highlight w:val="none"/>
        </w:rPr>
        <w:t>关中小企业扶持政策。</w:t>
      </w:r>
    </w:p>
    <w:p w14:paraId="05A20620">
      <w:pPr>
        <w:pageBreakBefore/>
        <w:spacing w:line="588" w:lineRule="exact"/>
        <w:jc w:val="left"/>
        <w:rPr>
          <w:rFonts w:hint="eastAsia" w:ascii="仿宋" w:hAnsi="仿宋" w:eastAsia="仿宋" w:cs="仿宋"/>
          <w:b/>
          <w:color w:val="auto"/>
          <w:spacing w:val="6"/>
          <w:sz w:val="28"/>
          <w:szCs w:val="28"/>
          <w:highlight w:val="none"/>
        </w:rPr>
      </w:pPr>
      <w:r>
        <w:rPr>
          <w:rFonts w:hint="eastAsia" w:ascii="仿宋" w:hAnsi="仿宋" w:eastAsia="仿宋" w:cs="仿宋"/>
          <w:b/>
          <w:color w:val="auto"/>
          <w:spacing w:val="6"/>
          <w:sz w:val="28"/>
          <w:szCs w:val="28"/>
          <w:highlight w:val="none"/>
        </w:rPr>
        <w:t>附件</w:t>
      </w:r>
      <w:r>
        <w:rPr>
          <w:rFonts w:hint="eastAsia" w:ascii="仿宋" w:hAnsi="仿宋" w:eastAsia="仿宋" w:cs="仿宋"/>
          <w:b/>
          <w:color w:val="auto"/>
          <w:spacing w:val="6"/>
          <w:sz w:val="28"/>
          <w:szCs w:val="28"/>
          <w:highlight w:val="none"/>
          <w:lang w:val="en-US" w:eastAsia="zh-CN"/>
        </w:rPr>
        <w:t>2</w:t>
      </w:r>
      <w:r>
        <w:rPr>
          <w:rFonts w:hint="eastAsia" w:ascii="仿宋" w:hAnsi="仿宋" w:eastAsia="仿宋" w:cs="仿宋"/>
          <w:b/>
          <w:color w:val="auto"/>
          <w:spacing w:val="6"/>
          <w:sz w:val="28"/>
          <w:szCs w:val="28"/>
          <w:highlight w:val="none"/>
        </w:rPr>
        <w:t>：残疾人福利性单位声明函</w:t>
      </w:r>
    </w:p>
    <w:p w14:paraId="58F7DE82">
      <w:pPr>
        <w:spacing w:line="588" w:lineRule="exact"/>
        <w:jc w:val="center"/>
        <w:rPr>
          <w:rFonts w:hint="eastAsia" w:ascii="仿宋" w:hAnsi="仿宋" w:eastAsia="仿宋" w:cs="仿宋"/>
          <w:b/>
          <w:spacing w:val="6"/>
          <w:sz w:val="24"/>
          <w:szCs w:val="24"/>
        </w:rPr>
      </w:pPr>
      <w:r>
        <w:rPr>
          <w:rFonts w:hint="eastAsia" w:ascii="仿宋" w:hAnsi="仿宋" w:eastAsia="仿宋" w:cs="仿宋"/>
          <w:sz w:val="24"/>
          <w:szCs w:val="24"/>
        </w:rPr>
        <w:t>（属于残疾人福利性单位的填写，不属于的无需填写此项内容）</w:t>
      </w:r>
    </w:p>
    <w:p w14:paraId="357FA5AE">
      <w:pPr>
        <w:spacing w:line="588"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C34577D">
      <w:pPr>
        <w:spacing w:line="588"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13C2B52E">
      <w:pPr>
        <w:spacing w:line="588" w:lineRule="exact"/>
        <w:ind w:firstLine="480" w:firstLineChars="200"/>
        <w:rPr>
          <w:rFonts w:hint="eastAsia" w:ascii="仿宋" w:hAnsi="仿宋" w:eastAsia="仿宋" w:cs="仿宋"/>
          <w:sz w:val="24"/>
          <w:szCs w:val="24"/>
        </w:rPr>
      </w:pPr>
    </w:p>
    <w:p w14:paraId="52E9C241">
      <w:pPr>
        <w:spacing w:line="588" w:lineRule="exact"/>
        <w:ind w:firstLine="480" w:firstLineChars="200"/>
        <w:rPr>
          <w:rFonts w:hint="eastAsia" w:ascii="仿宋" w:hAnsi="仿宋" w:eastAsia="仿宋" w:cs="仿宋"/>
          <w:sz w:val="24"/>
          <w:szCs w:val="24"/>
        </w:rPr>
      </w:pPr>
    </w:p>
    <w:p w14:paraId="7C0AAD7A">
      <w:pPr>
        <w:wordWrap w:val="0"/>
        <w:spacing w:line="450" w:lineRule="atLeast"/>
        <w:jc w:val="center"/>
        <w:rPr>
          <w:rFonts w:hint="eastAsia" w:ascii="仿宋" w:hAnsi="仿宋" w:eastAsia="仿宋" w:cs="仿宋"/>
          <w:sz w:val="24"/>
          <w:szCs w:val="24"/>
        </w:rPr>
      </w:pPr>
      <w:r>
        <w:rPr>
          <w:rFonts w:hint="eastAsia" w:ascii="仿宋" w:hAnsi="仿宋" w:eastAsia="仿宋" w:cs="仿宋"/>
          <w:sz w:val="24"/>
          <w:szCs w:val="24"/>
        </w:rPr>
        <w:t xml:space="preserve">                                 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电子签章</w:t>
      </w:r>
      <w:r>
        <w:rPr>
          <w:rFonts w:hint="eastAsia" w:ascii="仿宋" w:hAnsi="仿宋" w:eastAsia="仿宋" w:cs="仿宋"/>
          <w:sz w:val="24"/>
          <w:szCs w:val="24"/>
        </w:rPr>
        <w:t>）</w:t>
      </w:r>
    </w:p>
    <w:p w14:paraId="0E96D6ED">
      <w:pPr>
        <w:wordWrap w:val="0"/>
        <w:spacing w:line="450" w:lineRule="atLeast"/>
        <w:jc w:val="right"/>
        <w:rPr>
          <w:rFonts w:hint="eastAsia" w:ascii="仿宋" w:hAnsi="仿宋" w:eastAsia="仿宋" w:cs="仿宋"/>
          <w:sz w:val="24"/>
          <w:szCs w:val="24"/>
        </w:rPr>
      </w:pPr>
      <w:r>
        <w:rPr>
          <w:rFonts w:hint="eastAsia" w:ascii="仿宋" w:hAnsi="仿宋" w:eastAsia="仿宋" w:cs="仿宋"/>
          <w:sz w:val="24"/>
          <w:szCs w:val="24"/>
        </w:rPr>
        <w:t xml:space="preserve">   法定代表人或其委托代理人：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电子签章</w:t>
      </w:r>
      <w:r>
        <w:rPr>
          <w:rFonts w:hint="eastAsia" w:ascii="仿宋" w:hAnsi="仿宋" w:eastAsia="仿宋" w:cs="仿宋"/>
          <w:sz w:val="24"/>
          <w:szCs w:val="24"/>
        </w:rPr>
        <w:t>）</w:t>
      </w:r>
    </w:p>
    <w:p w14:paraId="1C897F53">
      <w:pPr>
        <w:wordWrap w:val="0"/>
        <w:spacing w:line="450" w:lineRule="atLeast"/>
        <w:jc w:val="cente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B046601">
      <w:pPr>
        <w:pStyle w:val="7"/>
        <w:spacing w:line="360" w:lineRule="auto"/>
        <w:ind w:left="0" w:leftChars="0" w:firstLine="0" w:firstLineChars="0"/>
        <w:rPr>
          <w:rFonts w:hint="eastAsia" w:ascii="仿宋" w:hAnsi="仿宋" w:eastAsia="仿宋" w:cs="仿宋"/>
          <w:b/>
          <w:sz w:val="24"/>
          <w:szCs w:val="24"/>
        </w:rPr>
      </w:pPr>
    </w:p>
    <w:p w14:paraId="4F5FD0BA">
      <w:pPr>
        <w:pStyle w:val="7"/>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若供应商属于监狱企业/残疾人福利性单位/小/微型企业，须提供由省级以上监狱管理局、戒毒管理局（含新疆生产建设兵团）出具的属于监狱企业的证明文件或由企业所在地的县级以上中小企业主管部门出具的中小企业认定证书和中小企业声明函\残疾人福利性单位声明函，否则不予认可。</w:t>
      </w:r>
    </w:p>
    <w:p w14:paraId="06E70863">
      <w:pPr>
        <w:pStyle w:val="7"/>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2.中小企业划分标准，是指国务院有关部门根据企业从业人员、营业收入、资产总额等指标制定的中小企业划型标准进行核定。</w:t>
      </w:r>
    </w:p>
    <w:p w14:paraId="7C2105A6">
      <w:pPr>
        <w:pStyle w:val="7"/>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3.对于监狱企业/残疾人福利性单位和供应商及响应产品生产商均为小型、微型企业的，评标价格扣除按财库[2011]181号文件中最低比例20%扣除。</w:t>
      </w:r>
    </w:p>
    <w:p w14:paraId="414ED69C">
      <w:pPr>
        <w:pStyle w:val="7"/>
        <w:spacing w:line="360" w:lineRule="auto"/>
        <w:rPr>
          <w:rFonts w:hint="eastAsia" w:ascii="仿宋" w:hAnsi="仿宋" w:eastAsia="仿宋" w:cs="仿宋"/>
          <w:color w:val="auto"/>
          <w:highlight w:val="none"/>
        </w:rPr>
      </w:pPr>
      <w:r>
        <w:rPr>
          <w:rFonts w:hint="eastAsia" w:ascii="仿宋" w:hAnsi="仿宋" w:eastAsia="仿宋" w:cs="仿宋"/>
          <w:kern w:val="2"/>
          <w:sz w:val="24"/>
          <w:szCs w:val="24"/>
          <w:lang w:val="en-US" w:eastAsia="zh-CN" w:bidi="ar-SA"/>
        </w:rPr>
        <w:t>4.小型、微型企业提供中型企业制造的货物的，视同为中型企业。</w:t>
      </w:r>
    </w:p>
    <w:p w14:paraId="5BB111D2">
      <w:pPr>
        <w:pageBreakBefore/>
        <w:spacing w:line="588" w:lineRule="exact"/>
        <w:jc w:val="left"/>
        <w:rPr>
          <w:rFonts w:hint="eastAsia" w:ascii="仿宋" w:hAnsi="仿宋" w:eastAsia="仿宋" w:cs="仿宋"/>
          <w:b/>
          <w:color w:val="auto"/>
          <w:spacing w:val="6"/>
          <w:sz w:val="28"/>
          <w:szCs w:val="28"/>
          <w:highlight w:val="none"/>
        </w:rPr>
      </w:pPr>
      <w:r>
        <w:rPr>
          <w:rFonts w:hint="eastAsia" w:ascii="仿宋" w:hAnsi="仿宋" w:eastAsia="仿宋" w:cs="仿宋"/>
          <w:b/>
          <w:color w:val="auto"/>
          <w:spacing w:val="6"/>
          <w:sz w:val="28"/>
          <w:szCs w:val="28"/>
          <w:highlight w:val="none"/>
        </w:rPr>
        <w:t>附件</w:t>
      </w:r>
      <w:r>
        <w:rPr>
          <w:rFonts w:hint="eastAsia" w:ascii="仿宋" w:hAnsi="仿宋" w:eastAsia="仿宋" w:cs="仿宋"/>
          <w:b/>
          <w:color w:val="auto"/>
          <w:spacing w:val="6"/>
          <w:sz w:val="28"/>
          <w:szCs w:val="28"/>
          <w:highlight w:val="none"/>
          <w:lang w:val="en-US" w:eastAsia="zh-CN"/>
        </w:rPr>
        <w:t>3</w:t>
      </w:r>
      <w:r>
        <w:rPr>
          <w:rFonts w:hint="eastAsia" w:ascii="仿宋" w:hAnsi="仿宋" w:eastAsia="仿宋" w:cs="仿宋"/>
          <w:b/>
          <w:color w:val="auto"/>
          <w:spacing w:val="6"/>
          <w:sz w:val="28"/>
          <w:szCs w:val="28"/>
          <w:highlight w:val="none"/>
        </w:rPr>
        <w:t>：监狱企业证明材料</w:t>
      </w:r>
    </w:p>
    <w:p w14:paraId="15D3BCC9">
      <w:pPr>
        <w:spacing w:line="588" w:lineRule="exact"/>
        <w:jc w:val="center"/>
        <w:rPr>
          <w:rFonts w:hint="eastAsia" w:ascii="仿宋" w:hAnsi="仿宋" w:eastAsia="仿宋" w:cs="仿宋"/>
          <w:b/>
          <w:color w:val="auto"/>
          <w:spacing w:val="6"/>
          <w:szCs w:val="21"/>
          <w:highlight w:val="none"/>
        </w:rPr>
      </w:pPr>
      <w:r>
        <w:rPr>
          <w:rFonts w:hint="eastAsia" w:ascii="仿宋" w:hAnsi="仿宋" w:eastAsia="仿宋" w:cs="仿宋"/>
          <w:color w:val="auto"/>
          <w:szCs w:val="21"/>
          <w:highlight w:val="none"/>
        </w:rPr>
        <w:t>（属于监狱企业的填写，不属于的无需填写此项内容）</w:t>
      </w:r>
    </w:p>
    <w:p w14:paraId="1B820945">
      <w:pPr>
        <w:rPr>
          <w:rFonts w:hint="eastAsia" w:ascii="仿宋" w:hAnsi="仿宋" w:eastAsia="仿宋" w:cs="仿宋"/>
          <w:color w:val="auto"/>
          <w:highlight w:val="none"/>
        </w:rPr>
      </w:pPr>
    </w:p>
    <w:p w14:paraId="7B6CFC9D">
      <w:pPr>
        <w:rPr>
          <w:rFonts w:hint="eastAsia" w:ascii="仿宋" w:hAnsi="仿宋" w:eastAsia="仿宋" w:cs="仿宋"/>
          <w:color w:val="auto"/>
          <w:highlight w:val="none"/>
        </w:rPr>
      </w:pPr>
    </w:p>
    <w:p w14:paraId="2B626E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监狱企业证明材料</w:t>
      </w:r>
    </w:p>
    <w:p w14:paraId="41B961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highlight w:val="none"/>
          <w:lang w:val="en-GB"/>
        </w:rPr>
      </w:pPr>
      <w:r>
        <w:rPr>
          <w:rFonts w:hint="eastAsia" w:ascii="仿宋" w:hAnsi="仿宋" w:eastAsia="仿宋" w:cs="仿宋"/>
          <w:color w:val="auto"/>
          <w:highlight w:val="none"/>
          <w:lang w:val="en-GB"/>
        </w:rPr>
        <w:t>监狱企业参加政府采购活动时，应当提供由省级以上监狱管理局、戒毒管理局（含新疆生产建设兵团）出具的属于监狱企业的证明文件。</w:t>
      </w:r>
    </w:p>
    <w:p w14:paraId="02CD042E">
      <w:pPr>
        <w:rPr>
          <w:rFonts w:hint="eastAsia" w:ascii="仿宋" w:hAnsi="仿宋" w:eastAsia="仿宋" w:cs="仿宋"/>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073FF2E5-A1CC-415D-B689-F7F526BC1C4C}"/>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283" w:usb1="288F0000" w:usb2="00000006" w:usb3="00000000" w:csb0="00040001" w:csb1="00000000"/>
    <w:embedRegular r:id="rId2" w:fontKey="{1008B5CC-32A8-4A06-8DA1-7988F4AD88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B4ED4">
    <w:pPr>
      <w:pStyle w:val="16"/>
      <w:tabs>
        <w:tab w:val="left" w:pos="828"/>
        <w:tab w:val="clear" w:pos="4153"/>
      </w:tabs>
      <w:rPr>
        <w:rFonts w:hint="eastAsia"/>
      </w:rPr>
    </w:pPr>
  </w:p>
  <w:p w14:paraId="01840431">
    <w:pPr>
      <w:pStyle w:val="16"/>
      <w:tabs>
        <w:tab w:val="left" w:pos="828"/>
        <w:tab w:val="clear" w:pos="4153"/>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3921F">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A87D8">
                          <w:pPr>
                            <w:pStyle w:val="1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87A87D8">
                    <w:pPr>
                      <w:pStyle w:val="1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53B6B">
    <w:pPr>
      <w:pStyle w:val="16"/>
      <w:tabs>
        <w:tab w:val="left" w:pos="828"/>
        <w:tab w:val="clear" w:pos="4153"/>
      </w:tabs>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EB04E">
                          <w:pPr>
                            <w:pStyle w:val="1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77EB04E">
                    <w:pPr>
                      <w:pStyle w:val="16"/>
                    </w:pPr>
                    <w:r>
                      <w:fldChar w:fldCharType="begin"/>
                    </w:r>
                    <w:r>
                      <w:instrText xml:space="preserve"> PAGE  \* MERGEFORMAT </w:instrText>
                    </w:r>
                    <w:r>
                      <w:fldChar w:fldCharType="separate"/>
                    </w:r>
                    <w:r>
                      <w:t>32</w:t>
                    </w:r>
                    <w:r>
                      <w:fldChar w:fldCharType="end"/>
                    </w:r>
                  </w:p>
                </w:txbxContent>
              </v:textbox>
            </v:shape>
          </w:pict>
        </mc:Fallback>
      </mc:AlternateContent>
    </w:r>
    <w:r>
      <w:rPr>
        <w:rFonts w:hint="eastAsia"/>
      </w:rPr>
      <w:t xml:space="preserve">     </w:t>
    </w:r>
  </w:p>
  <w:p w14:paraId="0362B694">
    <w:pPr>
      <w:pStyle w:val="16"/>
      <w:tabs>
        <w:tab w:val="left" w:pos="828"/>
        <w:tab w:val="clear" w:pos="4153"/>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E36A2">
    <w:pPr>
      <w:spacing w:line="176" w:lineRule="auto"/>
      <w:ind w:left="39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20216">
                          <w:pPr>
                            <w:pStyle w:val="1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4720216">
                    <w:pPr>
                      <w:pStyle w:val="16"/>
                    </w:pPr>
                    <w:r>
                      <w:fldChar w:fldCharType="begin"/>
                    </w:r>
                    <w:r>
                      <w:instrText xml:space="preserve"> PAGE  \* MERGEFORMAT </w:instrText>
                    </w:r>
                    <w:r>
                      <w:fldChar w:fldCharType="separate"/>
                    </w:r>
                    <w:r>
                      <w:t>55</w:t>
                    </w:r>
                    <w:r>
                      <w:fldChar w:fldCharType="end"/>
                    </w:r>
                  </w:p>
                </w:txbxContent>
              </v:textbox>
            </v:shape>
          </w:pict>
        </mc:Fallback>
      </mc:AlternateContent>
    </w: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E8270">
    <w:pPr>
      <w:pStyle w:val="16"/>
      <w:framePr w:wrap="around" w:vAnchor="text" w:hAnchor="margin" w:xAlign="right" w:y="1"/>
      <w:rPr>
        <w:rStyle w:val="31"/>
      </w:rPr>
    </w:pPr>
    <w:r>
      <w:fldChar w:fldCharType="begin"/>
    </w:r>
    <w:r>
      <w:rPr>
        <w:rStyle w:val="31"/>
      </w:rPr>
      <w:instrText xml:space="preserve">PAGE  </w:instrText>
    </w:r>
    <w:r>
      <w:fldChar w:fldCharType="separate"/>
    </w:r>
    <w:r>
      <w:rPr>
        <w:rStyle w:val="31"/>
      </w:rPr>
      <w:t>- 11 -</w:t>
    </w:r>
    <w:r>
      <w:fldChar w:fldCharType="end"/>
    </w:r>
  </w:p>
  <w:p w14:paraId="4CC38968">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14431">
    <w:pPr>
      <w:pStyle w:val="16"/>
      <w:tabs>
        <w:tab w:val="left" w:pos="6442"/>
        <w:tab w:val="clear" w:pos="4153"/>
      </w:tabs>
      <w:rPr>
        <w:rFonts w:hint="eastAsia" w:eastAsia="宋体"/>
        <w:lang w:eastAsia="zh-CN"/>
      </w:rPr>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77A0A">
    <w:pPr>
      <w:pStyle w:val="16"/>
      <w:tabs>
        <w:tab w:val="left" w:pos="828"/>
        <w:tab w:val="clear" w:pos="4153"/>
      </w:tabs>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1058B">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321058B">
                    <w:pPr>
                      <w:pStyle w:val="16"/>
                    </w:pPr>
                    <w:r>
                      <w:fldChar w:fldCharType="begin"/>
                    </w:r>
                    <w:r>
                      <w:instrText xml:space="preserve"> PAGE  \* MERGEFORMAT </w:instrText>
                    </w:r>
                    <w:r>
                      <w:fldChar w:fldCharType="separate"/>
                    </w:r>
                    <w:r>
                      <w:t>1</w:t>
                    </w:r>
                    <w:r>
                      <w:fldChar w:fldCharType="end"/>
                    </w:r>
                  </w:p>
                </w:txbxContent>
              </v:textbox>
            </v:shape>
          </w:pict>
        </mc:Fallback>
      </mc:AlternateContent>
    </w:r>
  </w:p>
  <w:p w14:paraId="3E7B2E48">
    <w:pPr>
      <w:pStyle w:val="16"/>
      <w:tabs>
        <w:tab w:val="left" w:pos="828"/>
        <w:tab w:val="clear" w:pos="4153"/>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43301">
    <w:pPr>
      <w:pStyle w:val="16"/>
      <w:tabs>
        <w:tab w:val="left" w:pos="6442"/>
        <w:tab w:val="clear" w:pos="4153"/>
      </w:tabs>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9A40">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E49A40">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6FBFC">
    <w:pPr>
      <w:pStyle w:val="16"/>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CE030">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3CE030">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302A7">
    <w:pPr>
      <w:pStyle w:val="16"/>
      <w:tabs>
        <w:tab w:val="left" w:pos="6442"/>
        <w:tab w:val="clear" w:pos="4153"/>
      </w:tabs>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7EA5A">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877EA5A">
                    <w:pPr>
                      <w:pStyle w:val="1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B5B5A">
    <w:pPr>
      <w:pStyle w:val="16"/>
      <w:ind w:right="360"/>
      <w:rPr>
        <w:rFonts w:hint="eastAsia"/>
        <w:szCs w:val="21"/>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8C215">
                          <w:pPr>
                            <w:pStyle w:val="1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AB8C215">
                    <w:pPr>
                      <w:pStyle w:val="16"/>
                    </w:pPr>
                    <w:r>
                      <w:fldChar w:fldCharType="begin"/>
                    </w:r>
                    <w:r>
                      <w:instrText xml:space="preserve"> PAGE  \* MERGEFORMAT </w:instrText>
                    </w:r>
                    <w:r>
                      <w:fldChar w:fldCharType="separate"/>
                    </w:r>
                    <w:r>
                      <w:t>24</w:t>
                    </w:r>
                    <w:r>
                      <w:fldChar w:fldCharType="end"/>
                    </w:r>
                  </w:p>
                </w:txbxContent>
              </v:textbox>
            </v:shape>
          </w:pict>
        </mc:Fallback>
      </mc:AlternateContent>
    </w:r>
  </w:p>
  <w:p w14:paraId="4FB8FFE8">
    <w:pPr>
      <w:pStyle w:val="16"/>
      <w:ind w:right="360"/>
      <w:rPr>
        <w:rFonts w:hint="eastAsia" w:ascii="宋体" w:hAnsi="宋体"/>
      </w:rPr>
    </w:pPr>
    <w:r>
      <w:rPr>
        <w:rFonts w:hint="eastAsia" w:ascii="宋体" w:hAnsi="宋体"/>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AF137">
    <w:pPr>
      <w:pStyle w:val="1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2C38A">
                          <w:pPr>
                            <w:pStyle w:val="1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982C38A">
                    <w:pPr>
                      <w:pStyle w:val="1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0B39C">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389AE">
    <w:pPr>
      <w:pStyle w:val="1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0BA86">
    <w:pPr>
      <w:pStyle w:val="18"/>
      <w:tabs>
        <w:tab w:val="left" w:pos="0"/>
        <w:tab w:val="left" w:pos="1021"/>
        <w:tab w:val="clear" w:pos="4153"/>
        <w:tab w:val="clear" w:pos="8306"/>
      </w:tabs>
      <w:ind w:right="9917"/>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035CD">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44D4">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4BAAD"/>
    <w:multiLevelType w:val="singleLevel"/>
    <w:tmpl w:val="C3B4BAAD"/>
    <w:lvl w:ilvl="0" w:tentative="0">
      <w:start w:val="2"/>
      <w:numFmt w:val="chineseCounting"/>
      <w:suff w:val="nothing"/>
      <w:lvlText w:val="（%1）"/>
      <w:lvlJc w:val="left"/>
      <w:rPr>
        <w:rFonts w:hint="eastAsia"/>
      </w:rPr>
    </w:lvl>
  </w:abstractNum>
  <w:abstractNum w:abstractNumId="1">
    <w:nsid w:val="DB047AEA"/>
    <w:multiLevelType w:val="singleLevel"/>
    <w:tmpl w:val="DB047AEA"/>
    <w:lvl w:ilvl="0" w:tentative="0">
      <w:start w:val="1"/>
      <w:numFmt w:val="decimal"/>
      <w:suff w:val="nothing"/>
      <w:lvlText w:val="%1、"/>
      <w:lvlJc w:val="left"/>
    </w:lvl>
  </w:abstractNum>
  <w:abstractNum w:abstractNumId="2">
    <w:nsid w:val="EB85264A"/>
    <w:multiLevelType w:val="singleLevel"/>
    <w:tmpl w:val="EB85264A"/>
    <w:lvl w:ilvl="0" w:tentative="0">
      <w:start w:val="8"/>
      <w:numFmt w:val="chineseCounting"/>
      <w:suff w:val="nothing"/>
      <w:lvlText w:val="%1、"/>
      <w:lvlJc w:val="left"/>
      <w:rPr>
        <w:rFonts w:hint="eastAsia"/>
      </w:rPr>
    </w:lvl>
  </w:abstractNum>
  <w:abstractNum w:abstractNumId="3">
    <w:nsid w:val="045E121B"/>
    <w:multiLevelType w:val="singleLevel"/>
    <w:tmpl w:val="045E121B"/>
    <w:lvl w:ilvl="0" w:tentative="0">
      <w:start w:val="1"/>
      <w:numFmt w:val="decimal"/>
      <w:suff w:val="space"/>
      <w:lvlText w:val="%1."/>
      <w:lvlJc w:val="left"/>
    </w:lvl>
  </w:abstractNum>
  <w:abstractNum w:abstractNumId="4">
    <w:nsid w:val="4355901F"/>
    <w:multiLevelType w:val="singleLevel"/>
    <w:tmpl w:val="4355901F"/>
    <w:lvl w:ilvl="0" w:tentative="0">
      <w:start w:val="4"/>
      <w:numFmt w:val="chineseCounting"/>
      <w:suff w:val="space"/>
      <w:lvlText w:val="第%1章"/>
      <w:lvlJc w:val="left"/>
      <w:rPr>
        <w:rFonts w:hint="eastAsia"/>
      </w:rPr>
    </w:lvl>
  </w:abstractNum>
  <w:abstractNum w:abstractNumId="5">
    <w:nsid w:val="57F8DF82"/>
    <w:multiLevelType w:val="singleLevel"/>
    <w:tmpl w:val="57F8DF82"/>
    <w:lvl w:ilvl="0" w:tentative="0">
      <w:start w:val="1"/>
      <w:numFmt w:val="chineseCounting"/>
      <w:suff w:val="space"/>
      <w:lvlText w:val="第%1章"/>
      <w:lvlJc w:val="left"/>
    </w:lvl>
  </w:abstractNum>
  <w:abstractNum w:abstractNumId="6">
    <w:nsid w:val="77303788"/>
    <w:multiLevelType w:val="multilevel"/>
    <w:tmpl w:val="77303788"/>
    <w:lvl w:ilvl="0" w:tentative="0">
      <w:start w:val="1"/>
      <w:numFmt w:val="decimal"/>
      <w:lvlText w:val="第%1章"/>
      <w:lvlJc w:val="left"/>
      <w:pPr>
        <w:tabs>
          <w:tab w:val="left" w:pos="3060"/>
        </w:tabs>
        <w:ind w:left="3060" w:hanging="1260"/>
      </w:pPr>
      <w:rPr>
        <w:rFonts w:hint="eastAsia"/>
      </w:rPr>
    </w:lvl>
    <w:lvl w:ilvl="1" w:tentative="0">
      <w:start w:val="1"/>
      <w:numFmt w:val="chineseCountingThousand"/>
      <w:lvlText w:val="第%2章 "/>
      <w:lvlJc w:val="left"/>
      <w:pPr>
        <w:tabs>
          <w:tab w:val="left" w:pos="5410"/>
        </w:tabs>
        <w:ind w:left="4390" w:hanging="420"/>
      </w:pPr>
      <w:rPr>
        <w:rFonts w:hint="eastAsia"/>
      </w:rPr>
    </w:lvl>
    <w:lvl w:ilvl="2" w:tentative="0">
      <w:start w:val="1"/>
      <w:numFmt w:val="decimal"/>
      <w:lvlText w:val="(%3)"/>
      <w:lvlJc w:val="left"/>
      <w:pPr>
        <w:tabs>
          <w:tab w:val="left" w:pos="1485"/>
        </w:tabs>
        <w:ind w:left="1485" w:hanging="360"/>
      </w:pPr>
      <w:rPr>
        <w:rFonts w:hint="eastAsia"/>
        <w:b w:val="0"/>
      </w:rPr>
    </w:lvl>
    <w:lvl w:ilvl="3" w:tentative="0">
      <w:start w:val="1"/>
      <w:numFmt w:val="decimal"/>
      <w:lvlText w:val="%4、"/>
      <w:lvlJc w:val="left"/>
      <w:pPr>
        <w:tabs>
          <w:tab w:val="left" w:pos="2062"/>
        </w:tabs>
        <w:ind w:left="2062" w:hanging="360"/>
      </w:pPr>
      <w:rPr>
        <w:rFonts w:hint="eastAsia"/>
      </w:rPr>
    </w:lvl>
    <w:lvl w:ilvl="4" w:tentative="0">
      <w:start w:val="1"/>
      <w:numFmt w:val="lowerLetter"/>
      <w:lvlText w:val="%5)"/>
      <w:lvlJc w:val="left"/>
      <w:pPr>
        <w:tabs>
          <w:tab w:val="left" w:pos="2385"/>
        </w:tabs>
        <w:ind w:left="2385" w:hanging="420"/>
      </w:pPr>
      <w:rPr>
        <w:rFonts w:hint="eastAsia"/>
      </w:rPr>
    </w:lvl>
    <w:lvl w:ilvl="5" w:tentative="0">
      <w:start w:val="1"/>
      <w:numFmt w:val="lowerRoman"/>
      <w:lvlText w:val="%6."/>
      <w:lvlJc w:val="right"/>
      <w:pPr>
        <w:tabs>
          <w:tab w:val="left" w:pos="2805"/>
        </w:tabs>
        <w:ind w:left="2805" w:hanging="420"/>
      </w:pPr>
      <w:rPr>
        <w:rFonts w:hint="eastAsia"/>
      </w:rPr>
    </w:lvl>
    <w:lvl w:ilvl="6" w:tentative="0">
      <w:start w:val="1"/>
      <w:numFmt w:val="decimal"/>
      <w:lvlText w:val="%7."/>
      <w:lvlJc w:val="left"/>
      <w:pPr>
        <w:tabs>
          <w:tab w:val="left" w:pos="3225"/>
        </w:tabs>
        <w:ind w:left="3225" w:hanging="420"/>
      </w:pPr>
      <w:rPr>
        <w:rFonts w:hint="eastAsia"/>
      </w:rPr>
    </w:lvl>
    <w:lvl w:ilvl="7" w:tentative="0">
      <w:start w:val="1"/>
      <w:numFmt w:val="lowerLetter"/>
      <w:lvlText w:val="%8)"/>
      <w:lvlJc w:val="left"/>
      <w:pPr>
        <w:tabs>
          <w:tab w:val="left" w:pos="3645"/>
        </w:tabs>
        <w:ind w:left="3645" w:hanging="420"/>
      </w:pPr>
      <w:rPr>
        <w:rFonts w:hint="eastAsia"/>
      </w:rPr>
    </w:lvl>
    <w:lvl w:ilvl="8" w:tentative="0">
      <w:start w:val="1"/>
      <w:numFmt w:val="lowerRoman"/>
      <w:lvlText w:val="%9."/>
      <w:lvlJc w:val="right"/>
      <w:pPr>
        <w:tabs>
          <w:tab w:val="left" w:pos="4065"/>
        </w:tabs>
        <w:ind w:left="4065" w:hanging="420"/>
      </w:pPr>
      <w:rPr>
        <w:rFonts w:hint="eastAsia"/>
      </w:rPr>
    </w:lvl>
  </w:abstractNum>
  <w:num w:numId="1">
    <w:abstractNumId w:val="5"/>
  </w:num>
  <w:num w:numId="2">
    <w:abstractNumId w:val="4"/>
  </w:num>
  <w:num w:numId="3">
    <w:abstractNumId w:val="1"/>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MzRlZmE5M2M0YWE5ZTA3MTI3OWJiZDAwMmI5YWYifQ=="/>
  </w:docVars>
  <w:rsids>
    <w:rsidRoot w:val="73043F04"/>
    <w:rsid w:val="00047F56"/>
    <w:rsid w:val="004A1E70"/>
    <w:rsid w:val="00597A6C"/>
    <w:rsid w:val="00C1417D"/>
    <w:rsid w:val="00DC7C1D"/>
    <w:rsid w:val="010C0502"/>
    <w:rsid w:val="01193612"/>
    <w:rsid w:val="01334DBA"/>
    <w:rsid w:val="01527EDF"/>
    <w:rsid w:val="016F283F"/>
    <w:rsid w:val="01981D96"/>
    <w:rsid w:val="01DB1C83"/>
    <w:rsid w:val="01F3521E"/>
    <w:rsid w:val="01F45FBB"/>
    <w:rsid w:val="021F7472"/>
    <w:rsid w:val="025A16D1"/>
    <w:rsid w:val="025C2867"/>
    <w:rsid w:val="027D71DE"/>
    <w:rsid w:val="0288009A"/>
    <w:rsid w:val="028F590D"/>
    <w:rsid w:val="02E1151B"/>
    <w:rsid w:val="03001C79"/>
    <w:rsid w:val="030D030F"/>
    <w:rsid w:val="0314369E"/>
    <w:rsid w:val="031B2270"/>
    <w:rsid w:val="03393105"/>
    <w:rsid w:val="03522445"/>
    <w:rsid w:val="036E0243"/>
    <w:rsid w:val="03752DEA"/>
    <w:rsid w:val="039B5B6E"/>
    <w:rsid w:val="03A8028B"/>
    <w:rsid w:val="03AD7DCB"/>
    <w:rsid w:val="03BD5AE4"/>
    <w:rsid w:val="03BE1F1F"/>
    <w:rsid w:val="03DE5DE4"/>
    <w:rsid w:val="04A24CDA"/>
    <w:rsid w:val="04C11604"/>
    <w:rsid w:val="05065269"/>
    <w:rsid w:val="0543026B"/>
    <w:rsid w:val="05521841"/>
    <w:rsid w:val="058D65B3"/>
    <w:rsid w:val="064A5629"/>
    <w:rsid w:val="064D7720"/>
    <w:rsid w:val="067032E2"/>
    <w:rsid w:val="06F21F49"/>
    <w:rsid w:val="074C448E"/>
    <w:rsid w:val="07685043"/>
    <w:rsid w:val="07D63618"/>
    <w:rsid w:val="083D3319"/>
    <w:rsid w:val="08B82D1E"/>
    <w:rsid w:val="08CE42EF"/>
    <w:rsid w:val="08E41D65"/>
    <w:rsid w:val="092403B3"/>
    <w:rsid w:val="095E38C5"/>
    <w:rsid w:val="095F763D"/>
    <w:rsid w:val="097E3F67"/>
    <w:rsid w:val="098A290C"/>
    <w:rsid w:val="0A2B422F"/>
    <w:rsid w:val="0A34590C"/>
    <w:rsid w:val="0A590531"/>
    <w:rsid w:val="0A726EFC"/>
    <w:rsid w:val="0AA95014"/>
    <w:rsid w:val="0AB15C77"/>
    <w:rsid w:val="0AC37758"/>
    <w:rsid w:val="0AD57BB7"/>
    <w:rsid w:val="0AF3628F"/>
    <w:rsid w:val="0AFE7E14"/>
    <w:rsid w:val="0B034CBA"/>
    <w:rsid w:val="0B462D36"/>
    <w:rsid w:val="0BC241ED"/>
    <w:rsid w:val="0BDE7619"/>
    <w:rsid w:val="0C13553C"/>
    <w:rsid w:val="0C25415B"/>
    <w:rsid w:val="0C2B2AE6"/>
    <w:rsid w:val="0C491161"/>
    <w:rsid w:val="0C6C6688"/>
    <w:rsid w:val="0C71026A"/>
    <w:rsid w:val="0C7927C4"/>
    <w:rsid w:val="0C7E39F6"/>
    <w:rsid w:val="0CF167FE"/>
    <w:rsid w:val="0D0061F7"/>
    <w:rsid w:val="0D0517F5"/>
    <w:rsid w:val="0D2E1801"/>
    <w:rsid w:val="0D634A19"/>
    <w:rsid w:val="0D6B4803"/>
    <w:rsid w:val="0DBF68FD"/>
    <w:rsid w:val="0DFA5B87"/>
    <w:rsid w:val="0DFE7425"/>
    <w:rsid w:val="0E0334AE"/>
    <w:rsid w:val="0E370248"/>
    <w:rsid w:val="0E7476E7"/>
    <w:rsid w:val="0E7E2314"/>
    <w:rsid w:val="0EB14497"/>
    <w:rsid w:val="0EB46916"/>
    <w:rsid w:val="0ECB5765"/>
    <w:rsid w:val="0EFD592E"/>
    <w:rsid w:val="0F825323"/>
    <w:rsid w:val="0F96744E"/>
    <w:rsid w:val="100E0BB9"/>
    <w:rsid w:val="10BE03C5"/>
    <w:rsid w:val="10C5422A"/>
    <w:rsid w:val="115B06EA"/>
    <w:rsid w:val="116869B5"/>
    <w:rsid w:val="11B97751"/>
    <w:rsid w:val="11BB562D"/>
    <w:rsid w:val="11F0177A"/>
    <w:rsid w:val="11FA114D"/>
    <w:rsid w:val="120945EA"/>
    <w:rsid w:val="1234702B"/>
    <w:rsid w:val="12712DC5"/>
    <w:rsid w:val="1299596E"/>
    <w:rsid w:val="13631AD8"/>
    <w:rsid w:val="138A3509"/>
    <w:rsid w:val="13C7650B"/>
    <w:rsid w:val="14492FC5"/>
    <w:rsid w:val="148937C0"/>
    <w:rsid w:val="151237B6"/>
    <w:rsid w:val="157601E9"/>
    <w:rsid w:val="158D108E"/>
    <w:rsid w:val="15B8435D"/>
    <w:rsid w:val="161A6DC6"/>
    <w:rsid w:val="167A7865"/>
    <w:rsid w:val="16C1295D"/>
    <w:rsid w:val="16C44F84"/>
    <w:rsid w:val="16C94348"/>
    <w:rsid w:val="16D63DD3"/>
    <w:rsid w:val="16E318AE"/>
    <w:rsid w:val="17D64F6F"/>
    <w:rsid w:val="17DF02C7"/>
    <w:rsid w:val="18025D64"/>
    <w:rsid w:val="187529D9"/>
    <w:rsid w:val="18820C92"/>
    <w:rsid w:val="189D27A6"/>
    <w:rsid w:val="18AB1F57"/>
    <w:rsid w:val="18C63235"/>
    <w:rsid w:val="1910625E"/>
    <w:rsid w:val="196547FC"/>
    <w:rsid w:val="196565AA"/>
    <w:rsid w:val="197902A7"/>
    <w:rsid w:val="1981715C"/>
    <w:rsid w:val="19B25567"/>
    <w:rsid w:val="19B412DF"/>
    <w:rsid w:val="19DE635C"/>
    <w:rsid w:val="19DF78EB"/>
    <w:rsid w:val="19DF7A68"/>
    <w:rsid w:val="19E5699B"/>
    <w:rsid w:val="1A5605E9"/>
    <w:rsid w:val="1A705206"/>
    <w:rsid w:val="1A8717FA"/>
    <w:rsid w:val="1AC457C1"/>
    <w:rsid w:val="1AC75042"/>
    <w:rsid w:val="1B2C060A"/>
    <w:rsid w:val="1B6635E4"/>
    <w:rsid w:val="1B6E410D"/>
    <w:rsid w:val="1B8C0323"/>
    <w:rsid w:val="1C0C74DD"/>
    <w:rsid w:val="1C1815F1"/>
    <w:rsid w:val="1C1D316C"/>
    <w:rsid w:val="1C1E75AD"/>
    <w:rsid w:val="1C2A3ADB"/>
    <w:rsid w:val="1C36141C"/>
    <w:rsid w:val="1C4E77C9"/>
    <w:rsid w:val="1CB35660"/>
    <w:rsid w:val="1CB82F98"/>
    <w:rsid w:val="1D281EAC"/>
    <w:rsid w:val="1D6D3C7F"/>
    <w:rsid w:val="1D7274E7"/>
    <w:rsid w:val="1D8F0099"/>
    <w:rsid w:val="1DA9587F"/>
    <w:rsid w:val="1E002D45"/>
    <w:rsid w:val="1E1265D5"/>
    <w:rsid w:val="1E1D38F7"/>
    <w:rsid w:val="1E4A0464"/>
    <w:rsid w:val="1E4A2212"/>
    <w:rsid w:val="1EF66B10"/>
    <w:rsid w:val="1F6B41EE"/>
    <w:rsid w:val="1F933745"/>
    <w:rsid w:val="1F9D55DF"/>
    <w:rsid w:val="1FAF4A23"/>
    <w:rsid w:val="1FCA360B"/>
    <w:rsid w:val="200A7EAB"/>
    <w:rsid w:val="20CF7019"/>
    <w:rsid w:val="20DA0BF2"/>
    <w:rsid w:val="20E029BA"/>
    <w:rsid w:val="20F052F3"/>
    <w:rsid w:val="2110329F"/>
    <w:rsid w:val="21313216"/>
    <w:rsid w:val="21323EAA"/>
    <w:rsid w:val="21914E23"/>
    <w:rsid w:val="21A2172C"/>
    <w:rsid w:val="22460F43"/>
    <w:rsid w:val="22AC349C"/>
    <w:rsid w:val="22AE332E"/>
    <w:rsid w:val="22C95DFC"/>
    <w:rsid w:val="22DC0A1F"/>
    <w:rsid w:val="22EF73B1"/>
    <w:rsid w:val="23307538"/>
    <w:rsid w:val="23311535"/>
    <w:rsid w:val="239F6B5C"/>
    <w:rsid w:val="23D30BAB"/>
    <w:rsid w:val="23E66539"/>
    <w:rsid w:val="241237D2"/>
    <w:rsid w:val="244119C2"/>
    <w:rsid w:val="24651B54"/>
    <w:rsid w:val="24822706"/>
    <w:rsid w:val="24A4022F"/>
    <w:rsid w:val="24FC55E9"/>
    <w:rsid w:val="24FE5B05"/>
    <w:rsid w:val="25253091"/>
    <w:rsid w:val="25461985"/>
    <w:rsid w:val="255F2A47"/>
    <w:rsid w:val="25B66E03"/>
    <w:rsid w:val="25D55A37"/>
    <w:rsid w:val="25F72072"/>
    <w:rsid w:val="26143832"/>
    <w:rsid w:val="2639590B"/>
    <w:rsid w:val="265E2CFF"/>
    <w:rsid w:val="266F679F"/>
    <w:rsid w:val="267A740D"/>
    <w:rsid w:val="26964247"/>
    <w:rsid w:val="26CA0394"/>
    <w:rsid w:val="26F31699"/>
    <w:rsid w:val="26FB054E"/>
    <w:rsid w:val="274A3E4E"/>
    <w:rsid w:val="27602AA7"/>
    <w:rsid w:val="27F87689"/>
    <w:rsid w:val="28583D0D"/>
    <w:rsid w:val="286966F0"/>
    <w:rsid w:val="288A7DDB"/>
    <w:rsid w:val="28B05368"/>
    <w:rsid w:val="28C332ED"/>
    <w:rsid w:val="28D01566"/>
    <w:rsid w:val="291E6775"/>
    <w:rsid w:val="29253E38"/>
    <w:rsid w:val="298B7E31"/>
    <w:rsid w:val="298C78D4"/>
    <w:rsid w:val="299B2C5B"/>
    <w:rsid w:val="29F3375E"/>
    <w:rsid w:val="2A1D6A2D"/>
    <w:rsid w:val="2A3A736B"/>
    <w:rsid w:val="2A500BB0"/>
    <w:rsid w:val="2A654D71"/>
    <w:rsid w:val="2A8B6DDD"/>
    <w:rsid w:val="2AE67194"/>
    <w:rsid w:val="2AFC2AE6"/>
    <w:rsid w:val="2B30421D"/>
    <w:rsid w:val="2B4B0F2E"/>
    <w:rsid w:val="2B514BE0"/>
    <w:rsid w:val="2B8B0802"/>
    <w:rsid w:val="2B9F33B7"/>
    <w:rsid w:val="2C487BB6"/>
    <w:rsid w:val="2C9254B0"/>
    <w:rsid w:val="2D253883"/>
    <w:rsid w:val="2D9338A1"/>
    <w:rsid w:val="2DB25481"/>
    <w:rsid w:val="2E354194"/>
    <w:rsid w:val="2E380B85"/>
    <w:rsid w:val="2E3F0BEE"/>
    <w:rsid w:val="2E6C1D31"/>
    <w:rsid w:val="2E8E614B"/>
    <w:rsid w:val="2EB2197F"/>
    <w:rsid w:val="2EDF2503"/>
    <w:rsid w:val="2EEB70FA"/>
    <w:rsid w:val="2EF4306A"/>
    <w:rsid w:val="2EFA10EB"/>
    <w:rsid w:val="2F0106CB"/>
    <w:rsid w:val="2F0D52C2"/>
    <w:rsid w:val="2F4245AA"/>
    <w:rsid w:val="2F5729E1"/>
    <w:rsid w:val="2F57653D"/>
    <w:rsid w:val="2F8110B2"/>
    <w:rsid w:val="2F866CC6"/>
    <w:rsid w:val="2FA23C5C"/>
    <w:rsid w:val="2FB63264"/>
    <w:rsid w:val="30222700"/>
    <w:rsid w:val="304B42F4"/>
    <w:rsid w:val="309A6C2A"/>
    <w:rsid w:val="309F0AA3"/>
    <w:rsid w:val="30B71989"/>
    <w:rsid w:val="30ED53AB"/>
    <w:rsid w:val="31427DE9"/>
    <w:rsid w:val="318059EC"/>
    <w:rsid w:val="3228737A"/>
    <w:rsid w:val="329356AA"/>
    <w:rsid w:val="32A12A53"/>
    <w:rsid w:val="32F07268"/>
    <w:rsid w:val="330E33B7"/>
    <w:rsid w:val="3322153D"/>
    <w:rsid w:val="33421FB2"/>
    <w:rsid w:val="33925D96"/>
    <w:rsid w:val="33DB773D"/>
    <w:rsid w:val="33FB7DDF"/>
    <w:rsid w:val="3451531E"/>
    <w:rsid w:val="346A3393"/>
    <w:rsid w:val="346A6C0D"/>
    <w:rsid w:val="34756D7D"/>
    <w:rsid w:val="347F27BE"/>
    <w:rsid w:val="3491376E"/>
    <w:rsid w:val="34A102AB"/>
    <w:rsid w:val="34E53699"/>
    <w:rsid w:val="34F470B1"/>
    <w:rsid w:val="35061640"/>
    <w:rsid w:val="3544296F"/>
    <w:rsid w:val="358A32CD"/>
    <w:rsid w:val="359E4EC6"/>
    <w:rsid w:val="35C71F1B"/>
    <w:rsid w:val="35DB22CF"/>
    <w:rsid w:val="35EA1144"/>
    <w:rsid w:val="36160EF2"/>
    <w:rsid w:val="36274EBB"/>
    <w:rsid w:val="363766AB"/>
    <w:rsid w:val="366A0E18"/>
    <w:rsid w:val="369D679E"/>
    <w:rsid w:val="37215DAE"/>
    <w:rsid w:val="372F2F1C"/>
    <w:rsid w:val="37403D5B"/>
    <w:rsid w:val="379876F3"/>
    <w:rsid w:val="380745A5"/>
    <w:rsid w:val="381C5B77"/>
    <w:rsid w:val="38455ACD"/>
    <w:rsid w:val="38616DD9"/>
    <w:rsid w:val="38DC7C84"/>
    <w:rsid w:val="38EF5A38"/>
    <w:rsid w:val="390037A2"/>
    <w:rsid w:val="390B0AC4"/>
    <w:rsid w:val="39691347"/>
    <w:rsid w:val="39756E28"/>
    <w:rsid w:val="39C46EC5"/>
    <w:rsid w:val="39D4535A"/>
    <w:rsid w:val="3AC54CA3"/>
    <w:rsid w:val="3AC86541"/>
    <w:rsid w:val="3ADE3E5D"/>
    <w:rsid w:val="3AE67426"/>
    <w:rsid w:val="3B0E03F7"/>
    <w:rsid w:val="3B5A363D"/>
    <w:rsid w:val="3B693880"/>
    <w:rsid w:val="3B7947C5"/>
    <w:rsid w:val="3BA743A8"/>
    <w:rsid w:val="3BC913F2"/>
    <w:rsid w:val="3BDF3B42"/>
    <w:rsid w:val="3C0E4427"/>
    <w:rsid w:val="3C2A3F6A"/>
    <w:rsid w:val="3C865FBC"/>
    <w:rsid w:val="3CA01523"/>
    <w:rsid w:val="3CAA23A2"/>
    <w:rsid w:val="3CB2620D"/>
    <w:rsid w:val="3CC571DC"/>
    <w:rsid w:val="3D4C3459"/>
    <w:rsid w:val="3D7529B0"/>
    <w:rsid w:val="3E0E4BB3"/>
    <w:rsid w:val="3E135D25"/>
    <w:rsid w:val="3E466EA7"/>
    <w:rsid w:val="3E491D1E"/>
    <w:rsid w:val="3E552D1B"/>
    <w:rsid w:val="3E8A248B"/>
    <w:rsid w:val="3EB72318"/>
    <w:rsid w:val="3EB87A49"/>
    <w:rsid w:val="3F3643C1"/>
    <w:rsid w:val="3F6E3B5B"/>
    <w:rsid w:val="3F9335C1"/>
    <w:rsid w:val="3FA15684"/>
    <w:rsid w:val="3FAE21A9"/>
    <w:rsid w:val="3FD57736"/>
    <w:rsid w:val="3FE97B45"/>
    <w:rsid w:val="40096808"/>
    <w:rsid w:val="40510CD6"/>
    <w:rsid w:val="40612AE6"/>
    <w:rsid w:val="408053CA"/>
    <w:rsid w:val="40811FBA"/>
    <w:rsid w:val="40A1586A"/>
    <w:rsid w:val="40B14030"/>
    <w:rsid w:val="40E51BFB"/>
    <w:rsid w:val="413411F7"/>
    <w:rsid w:val="4193231D"/>
    <w:rsid w:val="41986C6D"/>
    <w:rsid w:val="41D63C39"/>
    <w:rsid w:val="424620FB"/>
    <w:rsid w:val="42642972"/>
    <w:rsid w:val="42815953"/>
    <w:rsid w:val="42975177"/>
    <w:rsid w:val="42D404A5"/>
    <w:rsid w:val="42E26BEB"/>
    <w:rsid w:val="437E6337"/>
    <w:rsid w:val="43D900EB"/>
    <w:rsid w:val="44064AC4"/>
    <w:rsid w:val="44264157"/>
    <w:rsid w:val="447876B9"/>
    <w:rsid w:val="44815CE3"/>
    <w:rsid w:val="448B2102"/>
    <w:rsid w:val="44D75CFE"/>
    <w:rsid w:val="45442347"/>
    <w:rsid w:val="454B3DD8"/>
    <w:rsid w:val="45873581"/>
    <w:rsid w:val="459D6C40"/>
    <w:rsid w:val="45BB5620"/>
    <w:rsid w:val="46190A3E"/>
    <w:rsid w:val="464556BD"/>
    <w:rsid w:val="46A63BDA"/>
    <w:rsid w:val="47246C2E"/>
    <w:rsid w:val="47321912"/>
    <w:rsid w:val="47394A4E"/>
    <w:rsid w:val="47A520E4"/>
    <w:rsid w:val="47B57E4D"/>
    <w:rsid w:val="47B777FA"/>
    <w:rsid w:val="47D429C9"/>
    <w:rsid w:val="47D96C53"/>
    <w:rsid w:val="47DC48D8"/>
    <w:rsid w:val="48050DD4"/>
    <w:rsid w:val="48073451"/>
    <w:rsid w:val="48335942"/>
    <w:rsid w:val="484106AC"/>
    <w:rsid w:val="48753959"/>
    <w:rsid w:val="4876582E"/>
    <w:rsid w:val="48A405ED"/>
    <w:rsid w:val="490966A2"/>
    <w:rsid w:val="49315BA3"/>
    <w:rsid w:val="496A3433"/>
    <w:rsid w:val="49731D6E"/>
    <w:rsid w:val="49BA52D4"/>
    <w:rsid w:val="49EB3779"/>
    <w:rsid w:val="49F64E79"/>
    <w:rsid w:val="4A0155CC"/>
    <w:rsid w:val="4A265BF7"/>
    <w:rsid w:val="4A6D0359"/>
    <w:rsid w:val="4A895CED"/>
    <w:rsid w:val="4AA6451E"/>
    <w:rsid w:val="4ACB00B3"/>
    <w:rsid w:val="4AD54A8E"/>
    <w:rsid w:val="4AE53583"/>
    <w:rsid w:val="4AEB42B2"/>
    <w:rsid w:val="4B0E650B"/>
    <w:rsid w:val="4B3B2C1B"/>
    <w:rsid w:val="4B447E66"/>
    <w:rsid w:val="4B6642D2"/>
    <w:rsid w:val="4B9B1571"/>
    <w:rsid w:val="4BB07669"/>
    <w:rsid w:val="4BB9615E"/>
    <w:rsid w:val="4BFB6776"/>
    <w:rsid w:val="4BFC24EE"/>
    <w:rsid w:val="4C4105CF"/>
    <w:rsid w:val="4C4E0DDC"/>
    <w:rsid w:val="4C59349D"/>
    <w:rsid w:val="4CC37905"/>
    <w:rsid w:val="4D245859"/>
    <w:rsid w:val="4D5325E2"/>
    <w:rsid w:val="4DDC52F3"/>
    <w:rsid w:val="4DFE06B2"/>
    <w:rsid w:val="4E21448E"/>
    <w:rsid w:val="4E360841"/>
    <w:rsid w:val="4E372E33"/>
    <w:rsid w:val="4E487C6D"/>
    <w:rsid w:val="4E7607F1"/>
    <w:rsid w:val="4E9764FE"/>
    <w:rsid w:val="4EC15329"/>
    <w:rsid w:val="4ED9236E"/>
    <w:rsid w:val="4EE2069C"/>
    <w:rsid w:val="4F0127D6"/>
    <w:rsid w:val="4F1E48E5"/>
    <w:rsid w:val="4FC96D47"/>
    <w:rsid w:val="4FF97471"/>
    <w:rsid w:val="4FFA2638"/>
    <w:rsid w:val="501C3A12"/>
    <w:rsid w:val="505C5D66"/>
    <w:rsid w:val="506643DA"/>
    <w:rsid w:val="50BC6D19"/>
    <w:rsid w:val="50C35389"/>
    <w:rsid w:val="50DE5F67"/>
    <w:rsid w:val="51E27A91"/>
    <w:rsid w:val="522022B5"/>
    <w:rsid w:val="522105B9"/>
    <w:rsid w:val="522B3A0C"/>
    <w:rsid w:val="5272350A"/>
    <w:rsid w:val="52C8137C"/>
    <w:rsid w:val="53B91B3A"/>
    <w:rsid w:val="53FB4F29"/>
    <w:rsid w:val="5435659E"/>
    <w:rsid w:val="5457656B"/>
    <w:rsid w:val="54752E3E"/>
    <w:rsid w:val="54B723CC"/>
    <w:rsid w:val="54B75204"/>
    <w:rsid w:val="54D67D81"/>
    <w:rsid w:val="54E17ACE"/>
    <w:rsid w:val="54FB14A2"/>
    <w:rsid w:val="55057688"/>
    <w:rsid w:val="554D7917"/>
    <w:rsid w:val="5550664E"/>
    <w:rsid w:val="55833605"/>
    <w:rsid w:val="558A2919"/>
    <w:rsid w:val="55AC7554"/>
    <w:rsid w:val="55D87B28"/>
    <w:rsid w:val="56156687"/>
    <w:rsid w:val="569F12FA"/>
    <w:rsid w:val="56C20BE3"/>
    <w:rsid w:val="57482A8C"/>
    <w:rsid w:val="57746636"/>
    <w:rsid w:val="57CC546B"/>
    <w:rsid w:val="57D04F5B"/>
    <w:rsid w:val="57E5464E"/>
    <w:rsid w:val="580524F4"/>
    <w:rsid w:val="584B45E2"/>
    <w:rsid w:val="596A6CE9"/>
    <w:rsid w:val="597D4C6F"/>
    <w:rsid w:val="59BB5797"/>
    <w:rsid w:val="5AFE3B8D"/>
    <w:rsid w:val="5B1433B1"/>
    <w:rsid w:val="5B20591F"/>
    <w:rsid w:val="5B63716B"/>
    <w:rsid w:val="5B6E1A16"/>
    <w:rsid w:val="5BA04C44"/>
    <w:rsid w:val="5BB21C63"/>
    <w:rsid w:val="5BE014E5"/>
    <w:rsid w:val="5BE3631D"/>
    <w:rsid w:val="5BE508A9"/>
    <w:rsid w:val="5C0E2C3B"/>
    <w:rsid w:val="5C2138BE"/>
    <w:rsid w:val="5C2515ED"/>
    <w:rsid w:val="5C2E164A"/>
    <w:rsid w:val="5C4F0418"/>
    <w:rsid w:val="5C8E3027"/>
    <w:rsid w:val="5C8E7193"/>
    <w:rsid w:val="5D0C00B7"/>
    <w:rsid w:val="5DE057CC"/>
    <w:rsid w:val="5DF11787"/>
    <w:rsid w:val="5E082F75"/>
    <w:rsid w:val="5E36363E"/>
    <w:rsid w:val="5E457D25"/>
    <w:rsid w:val="5E830E19"/>
    <w:rsid w:val="5EBB66D0"/>
    <w:rsid w:val="5EBB7FE7"/>
    <w:rsid w:val="5ED93E8E"/>
    <w:rsid w:val="5EE42668"/>
    <w:rsid w:val="5F150845"/>
    <w:rsid w:val="5F5F4E16"/>
    <w:rsid w:val="5F7563E8"/>
    <w:rsid w:val="5FB23198"/>
    <w:rsid w:val="5FB863A2"/>
    <w:rsid w:val="5FD70E51"/>
    <w:rsid w:val="6051475F"/>
    <w:rsid w:val="60591866"/>
    <w:rsid w:val="60791F08"/>
    <w:rsid w:val="60944434"/>
    <w:rsid w:val="60DF1F92"/>
    <w:rsid w:val="60EC26DA"/>
    <w:rsid w:val="6126799A"/>
    <w:rsid w:val="617167E5"/>
    <w:rsid w:val="61750B52"/>
    <w:rsid w:val="617973DD"/>
    <w:rsid w:val="618C7D93"/>
    <w:rsid w:val="61B01959"/>
    <w:rsid w:val="61F23D20"/>
    <w:rsid w:val="61F44167"/>
    <w:rsid w:val="61F5736C"/>
    <w:rsid w:val="623A6A84"/>
    <w:rsid w:val="62C20114"/>
    <w:rsid w:val="63CC1360"/>
    <w:rsid w:val="63D556A7"/>
    <w:rsid w:val="63DD36F2"/>
    <w:rsid w:val="645879BB"/>
    <w:rsid w:val="64713622"/>
    <w:rsid w:val="64754CBD"/>
    <w:rsid w:val="647F5C5E"/>
    <w:rsid w:val="64A34499"/>
    <w:rsid w:val="64D70FAB"/>
    <w:rsid w:val="65112C9F"/>
    <w:rsid w:val="65A215B9"/>
    <w:rsid w:val="65C717C5"/>
    <w:rsid w:val="65DA33AA"/>
    <w:rsid w:val="65DA6FA5"/>
    <w:rsid w:val="65E713BB"/>
    <w:rsid w:val="660F10B3"/>
    <w:rsid w:val="671604B0"/>
    <w:rsid w:val="672F1572"/>
    <w:rsid w:val="67564D51"/>
    <w:rsid w:val="677E7B44"/>
    <w:rsid w:val="679338AF"/>
    <w:rsid w:val="67DC109F"/>
    <w:rsid w:val="67E20393"/>
    <w:rsid w:val="684F5102"/>
    <w:rsid w:val="68E85E7D"/>
    <w:rsid w:val="690B2100"/>
    <w:rsid w:val="6922138F"/>
    <w:rsid w:val="693E784B"/>
    <w:rsid w:val="6942733B"/>
    <w:rsid w:val="69805C96"/>
    <w:rsid w:val="699D2428"/>
    <w:rsid w:val="69B817AA"/>
    <w:rsid w:val="69C064B2"/>
    <w:rsid w:val="6A1A3E14"/>
    <w:rsid w:val="6A885221"/>
    <w:rsid w:val="6A995680"/>
    <w:rsid w:val="6AE3506D"/>
    <w:rsid w:val="6AFB3992"/>
    <w:rsid w:val="6B0F76F1"/>
    <w:rsid w:val="6B43739A"/>
    <w:rsid w:val="6B581098"/>
    <w:rsid w:val="6BA31452"/>
    <w:rsid w:val="6BAB02B2"/>
    <w:rsid w:val="6BB81B36"/>
    <w:rsid w:val="6BD526E8"/>
    <w:rsid w:val="6BEA5A68"/>
    <w:rsid w:val="6BF151A3"/>
    <w:rsid w:val="6C0528A2"/>
    <w:rsid w:val="6C382C77"/>
    <w:rsid w:val="6C3D278A"/>
    <w:rsid w:val="6C7A4419"/>
    <w:rsid w:val="6C9C3206"/>
    <w:rsid w:val="6D3671B7"/>
    <w:rsid w:val="6D3F3B91"/>
    <w:rsid w:val="6D7777CF"/>
    <w:rsid w:val="6DD93FE6"/>
    <w:rsid w:val="6DE44E65"/>
    <w:rsid w:val="6DE60F2E"/>
    <w:rsid w:val="6DED135C"/>
    <w:rsid w:val="6E2B64EF"/>
    <w:rsid w:val="6E3A2CD6"/>
    <w:rsid w:val="6E92162A"/>
    <w:rsid w:val="6EBA5747"/>
    <w:rsid w:val="6EBB0BBA"/>
    <w:rsid w:val="6EFF6FDB"/>
    <w:rsid w:val="6EFF7A7C"/>
    <w:rsid w:val="6F5C4ECE"/>
    <w:rsid w:val="6F634103"/>
    <w:rsid w:val="6FCD36D6"/>
    <w:rsid w:val="700E61C9"/>
    <w:rsid w:val="7030591F"/>
    <w:rsid w:val="703674CE"/>
    <w:rsid w:val="70730722"/>
    <w:rsid w:val="70756248"/>
    <w:rsid w:val="70757FF6"/>
    <w:rsid w:val="70C42D2B"/>
    <w:rsid w:val="70F353BF"/>
    <w:rsid w:val="71317458"/>
    <w:rsid w:val="715C28B0"/>
    <w:rsid w:val="71820EF5"/>
    <w:rsid w:val="71A212BE"/>
    <w:rsid w:val="71A64E1C"/>
    <w:rsid w:val="71F6715B"/>
    <w:rsid w:val="72177E12"/>
    <w:rsid w:val="7232250B"/>
    <w:rsid w:val="72F84F0E"/>
    <w:rsid w:val="72FE56F0"/>
    <w:rsid w:val="73043F04"/>
    <w:rsid w:val="73216213"/>
    <w:rsid w:val="73424E40"/>
    <w:rsid w:val="734E60D6"/>
    <w:rsid w:val="73507BCC"/>
    <w:rsid w:val="73677AAD"/>
    <w:rsid w:val="73A237ED"/>
    <w:rsid w:val="73D47729"/>
    <w:rsid w:val="742E38E8"/>
    <w:rsid w:val="74485A21"/>
    <w:rsid w:val="75F50835"/>
    <w:rsid w:val="764612B4"/>
    <w:rsid w:val="764C7A4B"/>
    <w:rsid w:val="766C31CE"/>
    <w:rsid w:val="76FE0A2E"/>
    <w:rsid w:val="77407E24"/>
    <w:rsid w:val="776B3F01"/>
    <w:rsid w:val="77BB3AC3"/>
    <w:rsid w:val="77DE1AD1"/>
    <w:rsid w:val="77F2017E"/>
    <w:rsid w:val="77FC5A01"/>
    <w:rsid w:val="780A52E1"/>
    <w:rsid w:val="782C3C84"/>
    <w:rsid w:val="78511348"/>
    <w:rsid w:val="785A744C"/>
    <w:rsid w:val="786C7F30"/>
    <w:rsid w:val="78A91184"/>
    <w:rsid w:val="78BE4153"/>
    <w:rsid w:val="78D05504"/>
    <w:rsid w:val="79425135"/>
    <w:rsid w:val="7A08012D"/>
    <w:rsid w:val="7A4555A2"/>
    <w:rsid w:val="7A560E98"/>
    <w:rsid w:val="7A6C06BC"/>
    <w:rsid w:val="7AED53A0"/>
    <w:rsid w:val="7AFA50A8"/>
    <w:rsid w:val="7B1D7E1E"/>
    <w:rsid w:val="7B2D37ED"/>
    <w:rsid w:val="7B472CC6"/>
    <w:rsid w:val="7B5C2AB9"/>
    <w:rsid w:val="7B9A2223"/>
    <w:rsid w:val="7BFA1CF7"/>
    <w:rsid w:val="7C042B76"/>
    <w:rsid w:val="7C320E22"/>
    <w:rsid w:val="7C88297F"/>
    <w:rsid w:val="7C914409"/>
    <w:rsid w:val="7C991510"/>
    <w:rsid w:val="7CA12173"/>
    <w:rsid w:val="7CC270BB"/>
    <w:rsid w:val="7CCF4F32"/>
    <w:rsid w:val="7D07647A"/>
    <w:rsid w:val="7D3354C1"/>
    <w:rsid w:val="7DF12C86"/>
    <w:rsid w:val="7E1A21DD"/>
    <w:rsid w:val="7E357016"/>
    <w:rsid w:val="7E374B3D"/>
    <w:rsid w:val="7E437015"/>
    <w:rsid w:val="7E6960ED"/>
    <w:rsid w:val="7E6B6D1F"/>
    <w:rsid w:val="7F315A30"/>
    <w:rsid w:val="7F5B2AAD"/>
    <w:rsid w:val="7F6E31D2"/>
    <w:rsid w:val="7F7E5AC0"/>
    <w:rsid w:val="7F8A15E4"/>
    <w:rsid w:val="7F8E2E82"/>
    <w:rsid w:val="7FA33A34"/>
    <w:rsid w:val="7FF35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paragraph" w:styleId="6">
    <w:name w:val="heading 4"/>
    <w:basedOn w:val="1"/>
    <w:next w:val="1"/>
    <w:autoRedefine/>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customStyle="1" w:styleId="2">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7">
    <w:name w:val="Normal Indent"/>
    <w:basedOn w:val="1"/>
    <w:next w:val="1"/>
    <w:autoRedefine/>
    <w:qFormat/>
    <w:uiPriority w:val="0"/>
    <w:pPr>
      <w:ind w:firstLine="420" w:firstLineChars="200"/>
    </w:pPr>
    <w:rPr>
      <w:rFonts w:ascii="Times New Roman" w:hAnsi="Times New Roman" w:eastAsia="宋体"/>
    </w:rPr>
  </w:style>
  <w:style w:type="paragraph" w:styleId="8">
    <w:name w:val="annotation text"/>
    <w:basedOn w:val="1"/>
    <w:autoRedefine/>
    <w:qFormat/>
    <w:uiPriority w:val="0"/>
    <w:pPr>
      <w:jc w:val="left"/>
    </w:pPr>
  </w:style>
  <w:style w:type="paragraph" w:styleId="9">
    <w:name w:val="Body Text"/>
    <w:basedOn w:val="1"/>
    <w:next w:val="10"/>
    <w:autoRedefine/>
    <w:qFormat/>
    <w:uiPriority w:val="0"/>
    <w:rPr>
      <w:rFonts w:eastAsia="Tahoma"/>
      <w:sz w:val="28"/>
    </w:rPr>
  </w:style>
  <w:style w:type="paragraph" w:styleId="10">
    <w:name w:val="toc 2"/>
    <w:basedOn w:val="1"/>
    <w:next w:val="1"/>
    <w:autoRedefine/>
    <w:qFormat/>
    <w:uiPriority w:val="39"/>
    <w:pPr>
      <w:ind w:left="420" w:leftChars="200"/>
    </w:pPr>
    <w:rPr>
      <w:rFonts w:ascii="Times New Roman" w:hAnsi="Times New Roman" w:eastAsia="宋体" w:cs="Times New Roman"/>
    </w:rPr>
  </w:style>
  <w:style w:type="paragraph" w:styleId="11">
    <w:name w:val="Body Text Indent"/>
    <w:basedOn w:val="1"/>
    <w:autoRedefine/>
    <w:qFormat/>
    <w:uiPriority w:val="0"/>
    <w:pPr>
      <w:tabs>
        <w:tab w:val="left" w:pos="945"/>
        <w:tab w:val="left" w:pos="1155"/>
      </w:tabs>
      <w:ind w:firstLine="435"/>
    </w:pPr>
    <w:rPr>
      <w:rFonts w:ascii="宋体"/>
      <w:sz w:val="24"/>
    </w:rPr>
  </w:style>
  <w:style w:type="paragraph" w:styleId="12">
    <w:name w:val="List 2"/>
    <w:basedOn w:val="1"/>
    <w:autoRedefine/>
    <w:unhideWhenUsed/>
    <w:qFormat/>
    <w:uiPriority w:val="99"/>
    <w:pPr>
      <w:ind w:left="100" w:leftChars="200" w:hanging="200" w:hangingChars="200"/>
      <w:contextualSpacing/>
    </w:pPr>
  </w:style>
  <w:style w:type="paragraph" w:styleId="13">
    <w:name w:val="toc 3"/>
    <w:basedOn w:val="1"/>
    <w:next w:val="1"/>
    <w:autoRedefine/>
    <w:qFormat/>
    <w:uiPriority w:val="0"/>
    <w:pPr>
      <w:ind w:left="840" w:leftChars="400"/>
    </w:pPr>
  </w:style>
  <w:style w:type="paragraph" w:styleId="14">
    <w:name w:val="Plain Text"/>
    <w:basedOn w:val="1"/>
    <w:next w:val="1"/>
    <w:autoRedefine/>
    <w:qFormat/>
    <w:uiPriority w:val="0"/>
    <w:rPr>
      <w:rFonts w:ascii="宋体" w:hAnsi="Courier New" w:eastAsia="宋体" w:cs="Courier New"/>
      <w:szCs w:val="21"/>
    </w:rPr>
  </w:style>
  <w:style w:type="paragraph" w:styleId="15">
    <w:name w:val="Body Text Indent 2"/>
    <w:basedOn w:val="1"/>
    <w:autoRedefine/>
    <w:qFormat/>
    <w:uiPriority w:val="0"/>
    <w:pPr>
      <w:spacing w:line="360" w:lineRule="auto"/>
      <w:ind w:left="1140"/>
    </w:pPr>
    <w:rPr>
      <w:rFonts w:ascii="宋体" w:hAnsi="宋体"/>
      <w:kern w:val="1"/>
      <w:sz w:val="24"/>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envelope return"/>
    <w:basedOn w:val="1"/>
    <w:autoRedefine/>
    <w:qFormat/>
    <w:uiPriority w:val="0"/>
    <w:pPr>
      <w:snapToGrid w:val="0"/>
    </w:pPr>
    <w:rPr>
      <w:rFonts w:ascii="Arial" w:hAnsi="Arial"/>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line="440" w:lineRule="exact"/>
      <w:jc w:val="center"/>
    </w:pPr>
    <w:rPr>
      <w:rFonts w:ascii="Times New Roman" w:hAnsi="Times New Roman" w:eastAsia="宋体" w:cs="Times New Roman"/>
    </w:rPr>
  </w:style>
  <w:style w:type="paragraph" w:styleId="20">
    <w:name w:val="footnote text"/>
    <w:basedOn w:val="1"/>
    <w:autoRedefine/>
    <w:qFormat/>
    <w:uiPriority w:val="0"/>
    <w:pPr>
      <w:snapToGrid w:val="0"/>
      <w:spacing w:line="360" w:lineRule="auto"/>
      <w:ind w:firstLine="200" w:firstLineChars="200"/>
      <w:jc w:val="left"/>
    </w:pPr>
    <w:rPr>
      <w:rFonts w:eastAsia="仿宋_GB2312"/>
      <w:kern w:val="2"/>
      <w:sz w:val="18"/>
      <w:szCs w:val="18"/>
    </w:rPr>
  </w:style>
  <w:style w:type="paragraph" w:styleId="21">
    <w:name w:val="List 5"/>
    <w:basedOn w:val="1"/>
    <w:autoRedefine/>
    <w:qFormat/>
    <w:uiPriority w:val="0"/>
    <w:pPr>
      <w:ind w:left="2100" w:hanging="420"/>
    </w:pPr>
    <w:rPr>
      <w:rFonts w:eastAsia="楷体_GB2312"/>
      <w:sz w:val="32"/>
      <w:szCs w:val="20"/>
    </w:rPr>
  </w:style>
  <w:style w:type="paragraph" w:styleId="22">
    <w:name w:val="Body Text 2"/>
    <w:basedOn w:val="1"/>
    <w:autoRedefine/>
    <w:qFormat/>
    <w:uiPriority w:val="99"/>
    <w:pPr>
      <w:spacing w:after="120" w:line="480" w:lineRule="auto"/>
    </w:pPr>
  </w:style>
  <w:style w:type="paragraph" w:styleId="23">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paragraph" w:styleId="24">
    <w:name w:val="Title"/>
    <w:basedOn w:val="1"/>
    <w:next w:val="1"/>
    <w:autoRedefine/>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25">
    <w:name w:val="Body Text First Indent"/>
    <w:basedOn w:val="9"/>
    <w:next w:val="26"/>
    <w:autoRedefine/>
    <w:qFormat/>
    <w:uiPriority w:val="0"/>
    <w:pPr>
      <w:widowControl/>
      <w:spacing w:after="120" w:afterLines="0"/>
      <w:ind w:firstLine="420" w:firstLineChars="100"/>
      <w:jc w:val="left"/>
    </w:pPr>
    <w:rPr>
      <w:kern w:val="0"/>
      <w:sz w:val="20"/>
    </w:rPr>
  </w:style>
  <w:style w:type="paragraph" w:styleId="26">
    <w:name w:val="Body Text First Indent 2"/>
    <w:basedOn w:val="11"/>
    <w:autoRedefine/>
    <w:qFormat/>
    <w:uiPriority w:val="99"/>
    <w:pPr>
      <w:ind w:firstLine="420"/>
    </w:pPr>
  </w:style>
  <w:style w:type="table" w:styleId="28">
    <w:name w:val="Table Grid"/>
    <w:basedOn w:val="27"/>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style>
  <w:style w:type="character" w:styleId="31">
    <w:name w:val="page number"/>
    <w:basedOn w:val="29"/>
    <w:autoRedefine/>
    <w:qFormat/>
    <w:uiPriority w:val="0"/>
  </w:style>
  <w:style w:type="character" w:styleId="32">
    <w:name w:val="FollowedHyperlink"/>
    <w:basedOn w:val="29"/>
    <w:autoRedefine/>
    <w:qFormat/>
    <w:uiPriority w:val="0"/>
    <w:rPr>
      <w:color w:val="444444"/>
      <w:sz w:val="21"/>
      <w:szCs w:val="21"/>
      <w:u w:val="none"/>
    </w:rPr>
  </w:style>
  <w:style w:type="character" w:styleId="33">
    <w:name w:val="Emphasis"/>
    <w:basedOn w:val="29"/>
    <w:autoRedefine/>
    <w:qFormat/>
    <w:uiPriority w:val="0"/>
  </w:style>
  <w:style w:type="character" w:styleId="34">
    <w:name w:val="HTML Definition"/>
    <w:basedOn w:val="29"/>
    <w:autoRedefine/>
    <w:qFormat/>
    <w:uiPriority w:val="0"/>
  </w:style>
  <w:style w:type="character" w:styleId="35">
    <w:name w:val="HTML Typewriter"/>
    <w:basedOn w:val="29"/>
    <w:autoRedefine/>
    <w:qFormat/>
    <w:uiPriority w:val="0"/>
    <w:rPr>
      <w:rFonts w:hint="default" w:ascii="monospace" w:hAnsi="monospace" w:eastAsia="monospace" w:cs="monospace"/>
      <w:sz w:val="20"/>
    </w:rPr>
  </w:style>
  <w:style w:type="character" w:styleId="36">
    <w:name w:val="HTML Acronym"/>
    <w:basedOn w:val="29"/>
    <w:autoRedefine/>
    <w:qFormat/>
    <w:uiPriority w:val="0"/>
  </w:style>
  <w:style w:type="character" w:styleId="37">
    <w:name w:val="HTML Variable"/>
    <w:basedOn w:val="29"/>
    <w:autoRedefine/>
    <w:qFormat/>
    <w:uiPriority w:val="0"/>
  </w:style>
  <w:style w:type="character" w:styleId="38">
    <w:name w:val="Hyperlink"/>
    <w:autoRedefine/>
    <w:qFormat/>
    <w:uiPriority w:val="99"/>
    <w:rPr>
      <w:rFonts w:ascii="Times New Roman" w:hAnsi="Times New Roman" w:eastAsia="宋体" w:cs="Times New Roman"/>
      <w:color w:val="333333"/>
      <w:u w:val="none"/>
    </w:rPr>
  </w:style>
  <w:style w:type="character" w:styleId="39">
    <w:name w:val="HTML Code"/>
    <w:basedOn w:val="29"/>
    <w:autoRedefine/>
    <w:qFormat/>
    <w:uiPriority w:val="0"/>
    <w:rPr>
      <w:rFonts w:hint="default" w:ascii="monospace" w:hAnsi="monospace" w:eastAsia="monospace" w:cs="monospace"/>
      <w:sz w:val="20"/>
    </w:rPr>
  </w:style>
  <w:style w:type="character" w:styleId="40">
    <w:name w:val="HTML Cite"/>
    <w:basedOn w:val="29"/>
    <w:autoRedefine/>
    <w:qFormat/>
    <w:uiPriority w:val="0"/>
  </w:style>
  <w:style w:type="character" w:styleId="41">
    <w:name w:val="HTML Keyboard"/>
    <w:basedOn w:val="29"/>
    <w:autoRedefine/>
    <w:qFormat/>
    <w:uiPriority w:val="0"/>
    <w:rPr>
      <w:rFonts w:hint="default" w:ascii="monospace" w:hAnsi="monospace" w:eastAsia="monospace" w:cs="monospace"/>
      <w:sz w:val="20"/>
    </w:rPr>
  </w:style>
  <w:style w:type="character" w:styleId="42">
    <w:name w:val="HTML Sample"/>
    <w:basedOn w:val="29"/>
    <w:autoRedefine/>
    <w:qFormat/>
    <w:uiPriority w:val="0"/>
    <w:rPr>
      <w:rFonts w:ascii="monospace" w:hAnsi="monospace" w:eastAsia="monospace" w:cs="monospace"/>
    </w:rPr>
  </w:style>
  <w:style w:type="paragraph" w:customStyle="1" w:styleId="43">
    <w:name w:val="无间隔1"/>
    <w:basedOn w:val="44"/>
    <w:autoRedefine/>
    <w:qFormat/>
    <w:uiPriority w:val="1"/>
    <w:pPr>
      <w:spacing w:line="400" w:lineRule="exact"/>
    </w:pPr>
    <w:rPr>
      <w:sz w:val="24"/>
    </w:rPr>
  </w:style>
  <w:style w:type="paragraph" w:customStyle="1" w:styleId="44">
    <w:name w:val="正文_0"/>
    <w:next w:val="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Default"/>
    <w:basedOn w:val="46"/>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Plain Text1"/>
    <w:basedOn w:val="1"/>
    <w:autoRedefine/>
    <w:qFormat/>
    <w:uiPriority w:val="0"/>
    <w:rPr>
      <w:rFonts w:ascii="宋体" w:hAnsi="Courier New" w:cs="黑体"/>
      <w:szCs w:val="22"/>
    </w:rPr>
  </w:style>
  <w:style w:type="paragraph" w:customStyle="1" w:styleId="47">
    <w:name w:val="style4"/>
    <w:basedOn w:val="1"/>
    <w:next w:val="48"/>
    <w:autoRedefine/>
    <w:qFormat/>
    <w:uiPriority w:val="0"/>
    <w:pPr>
      <w:widowControl/>
      <w:autoSpaceDE/>
      <w:autoSpaceDN/>
      <w:spacing w:before="280" w:after="280" w:line="240" w:lineRule="auto"/>
      <w:ind w:left="0" w:firstLine="0"/>
      <w:jc w:val="both"/>
    </w:pPr>
    <w:rPr>
      <w:rFonts w:ascii="宋体" w:eastAsia="宋体"/>
      <w:sz w:val="18"/>
    </w:rPr>
  </w:style>
  <w:style w:type="paragraph" w:customStyle="1" w:styleId="4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9">
    <w:name w:val="样式 标题 2 + Times New Roman 四号 非加粗 段前: 5 磅 段后: 0 磅 行距: 固定值 20..."/>
    <w:basedOn w:val="4"/>
    <w:next w:val="1"/>
    <w:autoRedefine/>
    <w:qFormat/>
    <w:uiPriority w:val="0"/>
    <w:pPr>
      <w:spacing w:before="100" w:beforeLines="0" w:after="0" w:afterLines="0" w:line="400" w:lineRule="exact"/>
    </w:pPr>
    <w:rPr>
      <w:rFonts w:ascii="Times New Roman" w:hAnsi="Times New Roman" w:eastAsia="宋体" w:cs="宋体"/>
      <w:b w:val="0"/>
      <w:bCs w:val="0"/>
      <w:sz w:val="28"/>
      <w:szCs w:val="20"/>
    </w:rPr>
  </w:style>
  <w:style w:type="paragraph" w:customStyle="1" w:styleId="50">
    <w:name w:val="Table Paragraph"/>
    <w:basedOn w:val="1"/>
    <w:autoRedefine/>
    <w:qFormat/>
    <w:uiPriority w:val="0"/>
    <w:rPr>
      <w:rFonts w:ascii="Times New Roman" w:hAnsi="Times New Roman" w:eastAsia="宋体" w:cs="Times New Roman"/>
    </w:rPr>
  </w:style>
  <w:style w:type="paragraph" w:customStyle="1" w:styleId="51">
    <w:name w:val="样式 标题 3 + (中文) 黑体 小四 非加粗 段前: 7.8 磅 段后: 0 磅 行距: 固定值 20 磅"/>
    <w:basedOn w:val="5"/>
    <w:autoRedefine/>
    <w:qFormat/>
    <w:uiPriority w:val="0"/>
    <w:pPr>
      <w:spacing w:before="0" w:beforeLines="0" w:after="0" w:afterLines="0" w:line="400" w:lineRule="exact"/>
    </w:pPr>
    <w:rPr>
      <w:rFonts w:ascii="Times New Roman" w:hAnsi="Times New Roman" w:eastAsia="黑体" w:cs="宋体"/>
      <w:b w:val="0"/>
      <w:bCs w:val="0"/>
      <w:sz w:val="24"/>
      <w:szCs w:val="20"/>
    </w:rPr>
  </w:style>
  <w:style w:type="paragraph" w:styleId="52">
    <w:name w:val="No Spacing"/>
    <w:autoRedefine/>
    <w:qFormat/>
    <w:uiPriority w:val="1"/>
    <w:pPr>
      <w:spacing w:before="100" w:beforeAutospacing="1"/>
      <w:ind w:left="249" w:right="720"/>
      <w:jc w:val="center"/>
    </w:pPr>
    <w:rPr>
      <w:rFonts w:ascii="Calibri" w:hAnsi="Calibri" w:eastAsia="宋体" w:cs="Times New Roman"/>
      <w:sz w:val="22"/>
      <w:szCs w:val="22"/>
      <w:lang w:val="en-US" w:eastAsia="en-US" w:bidi="en-US"/>
    </w:rPr>
  </w:style>
  <w:style w:type="paragraph" w:customStyle="1" w:styleId="53">
    <w:name w:val="正文_13_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styleId="54">
    <w:name w:val="List Paragraph"/>
    <w:basedOn w:val="1"/>
    <w:autoRedefine/>
    <w:qFormat/>
    <w:uiPriority w:val="99"/>
    <w:pPr>
      <w:ind w:firstLine="420" w:firstLineChars="200"/>
    </w:pPr>
  </w:style>
  <w:style w:type="character" w:customStyle="1" w:styleId="55">
    <w:name w:val="hover15"/>
    <w:basedOn w:val="29"/>
    <w:autoRedefine/>
    <w:qFormat/>
    <w:uiPriority w:val="0"/>
  </w:style>
  <w:style w:type="character" w:customStyle="1" w:styleId="56">
    <w:name w:val="mini-outputtext1"/>
    <w:basedOn w:val="29"/>
    <w:autoRedefine/>
    <w:qFormat/>
    <w:uiPriority w:val="0"/>
  </w:style>
  <w:style w:type="character" w:customStyle="1" w:styleId="57">
    <w:name w:val="font31"/>
    <w:basedOn w:val="29"/>
    <w:autoRedefine/>
    <w:qFormat/>
    <w:uiPriority w:val="0"/>
    <w:rPr>
      <w:rFonts w:ascii="宋体" w:hAnsi="宋体" w:eastAsia="宋体" w:cs="宋体"/>
      <w:b/>
      <w:bCs/>
      <w:color w:val="000000"/>
      <w:sz w:val="36"/>
      <w:szCs w:val="36"/>
      <w:u w:val="none"/>
    </w:rPr>
  </w:style>
  <w:style w:type="character" w:customStyle="1" w:styleId="58">
    <w:name w:val="font41"/>
    <w:basedOn w:val="29"/>
    <w:autoRedefine/>
    <w:qFormat/>
    <w:uiPriority w:val="0"/>
    <w:rPr>
      <w:rFonts w:ascii="宋体" w:hAnsi="宋体" w:eastAsia="宋体" w:cs="宋体"/>
      <w:color w:val="000000"/>
      <w:sz w:val="16"/>
      <w:szCs w:val="16"/>
      <w:u w:val="none"/>
    </w:rPr>
  </w:style>
  <w:style w:type="character" w:customStyle="1" w:styleId="59">
    <w:name w:val="font51"/>
    <w:basedOn w:val="29"/>
    <w:autoRedefine/>
    <w:qFormat/>
    <w:uiPriority w:val="0"/>
    <w:rPr>
      <w:rFonts w:ascii="宋体" w:hAnsi="宋体" w:eastAsia="宋体" w:cs="宋体"/>
      <w:b/>
      <w:bCs/>
      <w:color w:val="000000"/>
      <w:sz w:val="24"/>
      <w:szCs w:val="24"/>
      <w:u w:val="none"/>
    </w:rPr>
  </w:style>
  <w:style w:type="character" w:customStyle="1" w:styleId="60">
    <w:name w:val="font61"/>
    <w:basedOn w:val="29"/>
    <w:autoRedefine/>
    <w:qFormat/>
    <w:uiPriority w:val="0"/>
    <w:rPr>
      <w:rFonts w:ascii="宋体" w:hAnsi="宋体" w:eastAsia="宋体" w:cs="宋体"/>
      <w:color w:val="000000"/>
      <w:sz w:val="24"/>
      <w:szCs w:val="24"/>
      <w:u w:val="none"/>
    </w:rPr>
  </w:style>
  <w:style w:type="character" w:customStyle="1" w:styleId="61">
    <w:name w:val="font71"/>
    <w:basedOn w:val="29"/>
    <w:autoRedefine/>
    <w:qFormat/>
    <w:uiPriority w:val="0"/>
    <w:rPr>
      <w:rFonts w:ascii="宋体" w:hAnsi="宋体" w:eastAsia="宋体" w:cs="宋体"/>
      <w:b/>
      <w:bCs/>
      <w:color w:val="000000"/>
      <w:sz w:val="16"/>
      <w:szCs w:val="16"/>
      <w:u w:val="none"/>
    </w:rPr>
  </w:style>
  <w:style w:type="paragraph" w:customStyle="1" w:styleId="62">
    <w:name w:val="列出段落1"/>
    <w:basedOn w:val="1"/>
    <w:qFormat/>
    <w:uiPriority w:val="1"/>
    <w:pPr>
      <w:ind w:left="220" w:firstLine="420"/>
    </w:pPr>
  </w:style>
  <w:style w:type="paragraph" w:customStyle="1" w:styleId="63">
    <w:name w:val="p0"/>
    <w:basedOn w:val="1"/>
    <w:qFormat/>
    <w:uiPriority w:val="0"/>
    <w:pPr>
      <w:jc w:val="both"/>
    </w:pPr>
    <w:rPr>
      <w:rFonts w:cs="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22412</Words>
  <Characters>23941</Characters>
  <Lines>0</Lines>
  <Paragraphs>0</Paragraphs>
  <TotalTime>1</TotalTime>
  <ScaleCrop>false</ScaleCrop>
  <LinksUpToDate>false</LinksUpToDate>
  <CharactersWithSpaces>26030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2020-07-22T11:38:00Z</dcterms:created>
  <dc:creator>毛黑胖</dc:creator>
  <cp:lastModifiedBy>。</cp:lastModifiedBy>
  <cp:lastPrinted>2024-10-31T08:08:00Z</cp:lastPrinted>
  <dcterms:modified xsi:type="dcterms:W3CDTF">2026-01-28T01:38:58Z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55989AE012A54A1BAA03F950E80E4196_13</vt:lpwstr>
  </property>
  <property fmtid="{D5CDD505-2E9C-101B-9397-08002B2CF9AE}" pid="4" name="KSOTemplateDocerSaveRecord">
    <vt:lpwstr>eyJoZGlkIjoiOTliMzRlZmE5M2M0YWE5ZTA3MTI3OWJiZDAwMmI5YWYiLCJ1c2VySWQiOiIyODA3OTkwMjUifQ==</vt:lpwstr>
  </property>
</Properties>
</file>