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年高村乡</w:t>
      </w:r>
      <w:r>
        <w:rPr>
          <w:rFonts w:hint="eastAsia" w:ascii="方正小标宋简体" w:hAnsi="方正小标宋简体" w:eastAsia="方正小标宋简体" w:cs="方正小标宋简体"/>
          <w:sz w:val="44"/>
          <w:szCs w:val="44"/>
          <w:highlight w:val="none"/>
          <w:lang w:eastAsia="zh-CN"/>
        </w:rPr>
        <w:t>高村</w:t>
      </w:r>
      <w:r>
        <w:rPr>
          <w:rFonts w:hint="eastAsia" w:ascii="方正小标宋简体" w:hAnsi="方正小标宋简体" w:eastAsia="方正小标宋简体" w:cs="方正小标宋简体"/>
          <w:sz w:val="44"/>
          <w:szCs w:val="44"/>
          <w:highlight w:val="none"/>
          <w:lang w:val="en-US" w:eastAsia="zh-CN"/>
        </w:rPr>
        <w:t>村标准化厂房建设</w:t>
      </w:r>
      <w:r>
        <w:rPr>
          <w:rFonts w:hint="eastAsia" w:ascii="方正小标宋简体" w:hAnsi="方正小标宋简体" w:eastAsia="方正小标宋简体" w:cs="方正小标宋简体"/>
          <w:sz w:val="44"/>
          <w:szCs w:val="44"/>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申报单位：荥阳市高村乡</w:t>
      </w:r>
    </w:p>
    <w:p>
      <w:pPr>
        <w:keepNext w:val="0"/>
        <w:keepLines w:val="0"/>
        <w:pageBreakBefore w:val="0"/>
        <w:widowControl w:val="0"/>
        <w:kinsoku/>
        <w:wordWrap/>
        <w:overflowPunct/>
        <w:topLinePunct w:val="0"/>
        <w:autoSpaceDE/>
        <w:autoSpaceDN/>
        <w:bidi w:val="0"/>
        <w:adjustRightInd w:val="0"/>
        <w:snapToGrid w:val="0"/>
        <w:spacing w:line="560" w:lineRule="exact"/>
        <w:ind w:firstLine="799" w:firstLineChars="235"/>
        <w:jc w:val="left"/>
        <w:textAlignment w:val="auto"/>
        <w:rPr>
          <w:rFonts w:hint="eastAsia" w:ascii="仿宋_GB2312" w:hAnsi="仿宋_GB2312" w:eastAsia="仿宋_GB2312" w:cs="仿宋_GB2312"/>
          <w:sz w:val="32"/>
          <w:szCs w:val="32"/>
          <w:highlight w:val="none"/>
        </w:rPr>
      </w:pPr>
      <w:r>
        <w:rPr>
          <w:rFonts w:hint="eastAsia" w:ascii="Times New Roman" w:hAnsi="Times New Roman" w:eastAsia="黑体" w:cs="Times New Roman"/>
          <w:b w:val="0"/>
          <w:bCs/>
          <w:sz w:val="34"/>
          <w:szCs w:val="34"/>
          <w:highlight w:val="none"/>
          <w:lang w:eastAsia="zh-CN"/>
        </w:rPr>
        <w:t>一</w:t>
      </w:r>
      <w:r>
        <w:rPr>
          <w:rFonts w:hint="default" w:ascii="Times New Roman" w:hAnsi="Times New Roman" w:eastAsia="黑体" w:cs="Times New Roman"/>
          <w:b w:val="0"/>
          <w:bCs/>
          <w:sz w:val="34"/>
          <w:szCs w:val="34"/>
          <w:highlight w:val="none"/>
          <w:lang w:eastAsia="zh-CN"/>
        </w:rPr>
        <w:t>、</w:t>
      </w:r>
      <w:r>
        <w:rPr>
          <w:rFonts w:hint="eastAsia" w:ascii="Times New Roman" w:hAnsi="Times New Roman" w:eastAsia="黑体" w:cs="Times New Roman"/>
          <w:b w:val="0"/>
          <w:bCs/>
          <w:sz w:val="34"/>
          <w:szCs w:val="34"/>
          <w:highlight w:val="none"/>
          <w:lang w:eastAsia="zh-CN"/>
        </w:rPr>
        <w:t>项目所在地</w:t>
      </w:r>
      <w:r>
        <w:rPr>
          <w:rFonts w:hint="default" w:ascii="Times New Roman" w:hAnsi="Times New Roman" w:eastAsia="黑体" w:cs="Times New Roman"/>
          <w:b w:val="0"/>
          <w:bCs/>
          <w:sz w:val="34"/>
          <w:szCs w:val="34"/>
          <w:highlight w:val="none"/>
        </w:rPr>
        <w:t>基本情况</w:t>
      </w:r>
    </w:p>
    <w:p>
      <w:pPr>
        <w:keepNext w:val="0"/>
        <w:keepLines w:val="0"/>
        <w:pageBreakBefore w:val="0"/>
        <w:widowControl w:val="0"/>
        <w:kinsoku/>
        <w:wordWrap/>
        <w:overflowPunct/>
        <w:topLinePunct w:val="0"/>
        <w:autoSpaceDN/>
        <w:bidi w:val="0"/>
        <w:adjustRightInd w:val="0"/>
        <w:snapToGrid w:val="0"/>
        <w:spacing w:line="57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高村</w:t>
      </w:r>
      <w:r>
        <w:rPr>
          <w:rFonts w:hint="eastAsia" w:ascii="仿宋_GB2312" w:hAnsi="仿宋_GB2312" w:eastAsia="仿宋_GB2312" w:cs="仿宋_GB2312"/>
          <w:sz w:val="32"/>
          <w:szCs w:val="32"/>
          <w:highlight w:val="none"/>
        </w:rPr>
        <w:t>村位于荥阳故城西北1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公里，</w:t>
      </w:r>
      <w:r>
        <w:rPr>
          <w:rFonts w:hint="eastAsia" w:ascii="仿宋_GB2312" w:hAnsi="仿宋_GB2312" w:eastAsia="仿宋_GB2312" w:cs="仿宋_GB2312"/>
          <w:sz w:val="32"/>
          <w:szCs w:val="32"/>
          <w:highlight w:val="none"/>
          <w:lang w:val="en-US" w:eastAsia="zh-CN"/>
        </w:rPr>
        <w:t>国道234从村内穿过，</w:t>
      </w:r>
      <w:r>
        <w:rPr>
          <w:rFonts w:hint="eastAsia" w:ascii="仿宋_GB2312" w:hAnsi="仿宋_GB2312" w:eastAsia="仿宋_GB2312" w:cs="仿宋_GB2312"/>
          <w:sz w:val="32"/>
          <w:szCs w:val="32"/>
          <w:highlight w:val="none"/>
        </w:rPr>
        <w:t>连霍高速公路荥阳站5公里，区域面积5平方公里，耕地面积</w:t>
      </w:r>
      <w:r>
        <w:rPr>
          <w:rFonts w:hint="eastAsia" w:ascii="仿宋_GB2312" w:hAnsi="仿宋_GB2312" w:eastAsia="仿宋_GB2312" w:cs="仿宋_GB2312"/>
          <w:sz w:val="32"/>
          <w:szCs w:val="32"/>
          <w:highlight w:val="none"/>
          <w:lang w:val="en-US" w:eastAsia="zh-CN"/>
        </w:rPr>
        <w:t>6100</w:t>
      </w:r>
      <w:r>
        <w:rPr>
          <w:rFonts w:hint="eastAsia" w:ascii="仿宋_GB2312" w:hAnsi="仿宋_GB2312" w:eastAsia="仿宋_GB2312" w:cs="仿宋_GB2312"/>
          <w:sz w:val="32"/>
          <w:szCs w:val="32"/>
          <w:highlight w:val="none"/>
        </w:rPr>
        <w:t>亩，全村共辖</w:t>
      </w:r>
      <w:r>
        <w:rPr>
          <w:rFonts w:hint="eastAsia" w:ascii="仿宋_GB2312" w:hAnsi="仿宋_GB2312" w:eastAsia="仿宋_GB2312" w:cs="仿宋_GB2312"/>
          <w:sz w:val="32"/>
          <w:szCs w:val="32"/>
          <w:highlight w:val="none"/>
          <w:lang w:eastAsia="zh-CN"/>
        </w:rPr>
        <w:t>高村村、前侯村、后侯村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个自然村，</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个村民组，</w:t>
      </w:r>
      <w:r>
        <w:rPr>
          <w:rFonts w:hint="eastAsia" w:ascii="仿宋_GB2312" w:hAnsi="仿宋_GB2312" w:eastAsia="仿宋_GB2312" w:cs="仿宋_GB2312"/>
          <w:sz w:val="32"/>
          <w:szCs w:val="32"/>
          <w:highlight w:val="none"/>
          <w:lang w:val="en-US" w:eastAsia="zh-CN"/>
        </w:rPr>
        <w:t>1640</w:t>
      </w: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val="en-US" w:eastAsia="zh-CN"/>
        </w:rPr>
        <w:t>6757</w:t>
      </w:r>
      <w:r>
        <w:rPr>
          <w:rFonts w:hint="eastAsia" w:ascii="仿宋_GB2312" w:hAnsi="仿宋_GB2312" w:eastAsia="仿宋_GB2312" w:cs="仿宋_GB2312"/>
          <w:sz w:val="32"/>
          <w:szCs w:val="32"/>
          <w:highlight w:val="none"/>
        </w:rPr>
        <w:t>口人。村内基层组织健全，村两委班子成员</w:t>
      </w:r>
      <w:r>
        <w:rPr>
          <w:rFonts w:hint="eastAsia" w:ascii="仿宋_GB2312" w:hAnsi="仿宋_GB2312" w:eastAsia="仿宋_GB2312" w:cs="仿宋_GB2312"/>
          <w:sz w:val="32"/>
          <w:szCs w:val="32"/>
          <w:highlight w:val="none"/>
          <w:lang w:val="en-US" w:eastAsia="zh-CN" w:bidi="ar"/>
        </w:rPr>
        <w:t>现有10人。其中支委4人，村委2人，秘书1人，交叉任职3人。按学历结构区分，高中（中专）学历9人，大专学历1人，本科及以上学历0人。</w:t>
      </w:r>
      <w:r>
        <w:rPr>
          <w:rFonts w:hint="eastAsia" w:ascii="仿宋_GB2312" w:hAnsi="仿宋_GB2312" w:eastAsia="仿宋_GB2312" w:cs="仿宋_GB2312"/>
          <w:sz w:val="32"/>
          <w:szCs w:val="32"/>
          <w:highlight w:val="none"/>
        </w:rPr>
        <w:t>我村的党建、基层治理及社会治安等状况良好。今年被评为“克难攻坚、争先创优先进村”“综合工作先进村”“优秀基层党组织”村两委干部经过不断学习，探索出一整套好的工作方法，使全村的各项工作稳定发展。</w:t>
      </w:r>
    </w:p>
    <w:p>
      <w:pPr>
        <w:pStyle w:val="10"/>
        <w:keepNext w:val="0"/>
        <w:keepLines w:val="0"/>
        <w:pageBreakBefore w:val="0"/>
        <w:widowControl w:val="0"/>
        <w:kinsoku/>
        <w:wordWrap/>
        <w:overflowPunct/>
        <w:topLinePunct w:val="0"/>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完善基层党组织阵地和领导班子建设，在党建阵地建设上下功夫，新建党群服务中心，完善了基础建设、党员活动室、图书阅览室、便民服务中心办公设施等。村支部、村委会大院综合功能齐全，健全了各项规章制度和档案资料，提升了活动场所的硬件设施，也使高村村两委服务发展，服务民生，服务群众，服务党员的能力得到进一步增强。在抓好党员队伍上下功夫，严肃了党组织生活，确保每季度的“三会一课”落实到位。村中各自然村主干道栽种绿化树，村文化广场，老年活动中心也相继落成，丰富了群众闲暇时的精神文化生活。</w:t>
      </w:r>
    </w:p>
    <w:p>
      <w:pPr>
        <w:pStyle w:val="10"/>
        <w:keepNext w:val="0"/>
        <w:keepLines w:val="0"/>
        <w:pageBreakBefore w:val="0"/>
        <w:widowControl w:val="0"/>
        <w:kinsoku/>
        <w:wordWrap/>
        <w:overflowPunct/>
        <w:topLinePunct w:val="0"/>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高村村村组财务由乡三资办统一管理，每季度公示一次财务收支情况，便于村民了解、监督。资金使用程序规范，大额资金的使用，需经“四议两公开”决定、乡主管领导、包村干部、 村书记、监委会审签方可支出，小额资金的使用，需村书记、 监委会签字审批方可支出。财务制度规范，降低了廉政风险系数，提高了村民的监督权。</w:t>
      </w:r>
    </w:p>
    <w:p>
      <w:pPr>
        <w:pStyle w:val="10"/>
        <w:keepNext w:val="0"/>
        <w:keepLines w:val="0"/>
        <w:pageBreakBefore w:val="0"/>
        <w:widowControl w:val="0"/>
        <w:kinsoku/>
        <w:wordWrap/>
        <w:overflowPunct/>
        <w:topLinePunct w:val="0"/>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高村村2024年集体经济收入是39万元，主要为集体土地、场所租赁等收入。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二、目标背景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color w:val="000000" w:themeColor="text1"/>
          <w:sz w:val="32"/>
          <w:szCs w:val="32"/>
          <w:highlight w:val="none"/>
          <w:lang w:val="en-US" w:eastAsia="zh-CN"/>
          <w14:textFill>
            <w14:solidFill>
              <w14:schemeClr w14:val="tx1"/>
            </w14:solidFill>
          </w14:textFill>
        </w:rPr>
        <w:t>厂房建设项</w:t>
      </w:r>
      <w:r>
        <w:rPr>
          <w:rFonts w:hint="eastAsia" w:ascii="仿宋_GB2312" w:eastAsia="仿宋_GB2312"/>
          <w:sz w:val="32"/>
          <w:szCs w:val="32"/>
          <w:highlight w:val="none"/>
          <w:lang w:val="en-US" w:eastAsia="zh-CN"/>
        </w:rPr>
        <w:t>目以增加村级集体经济收入、带动解决群众就业增收，促进当地产业发展为目标。坚持以党的二十大精神为指导，深入贯彻新农村振兴战略，把发展壮大村级集体经济为新时期农村工作和农村基层组织建设的一项重要任务，进一步解放思想，创新集体经济发展思路和模式，根据高村</w:t>
      </w:r>
      <w:r>
        <w:rPr>
          <w:rFonts w:hint="eastAsia" w:ascii="仿宋_GB2312" w:eastAsia="仿宋_GB2312"/>
          <w:color w:val="000000" w:themeColor="text1"/>
          <w:sz w:val="32"/>
          <w:szCs w:val="32"/>
          <w:highlight w:val="none"/>
          <w:lang w:val="en-US" w:eastAsia="zh-CN"/>
          <w14:textFill>
            <w14:solidFill>
              <w14:schemeClr w14:val="tx1"/>
            </w14:solidFill>
          </w14:textFill>
        </w:rPr>
        <w:t>村所处的</w:t>
      </w:r>
      <w:r>
        <w:rPr>
          <w:rFonts w:hint="eastAsia" w:ascii="仿宋_GB2312" w:eastAsia="仿宋_GB2312"/>
          <w:sz w:val="32"/>
          <w:szCs w:val="32"/>
          <w:highlight w:val="none"/>
          <w:lang w:val="en-US" w:eastAsia="zh-CN"/>
        </w:rPr>
        <w:t>优越的地理环境以及外部主体经营环境，逐步引进新型的具备市场竞争力的市场主体进入，在增加集体收入的同时，优化辖区的经营产品和模式，创造更好的群众就业环境，增加群众的经济收入。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结合村实际情况，发展村集体经济，建设</w:t>
      </w:r>
      <w:r>
        <w:rPr>
          <w:rFonts w:hint="eastAsia" w:ascii="仿宋_GB2312" w:eastAsia="仿宋_GB2312"/>
          <w:color w:val="000000" w:themeColor="text1"/>
          <w:sz w:val="32"/>
          <w:szCs w:val="32"/>
          <w:highlight w:val="none"/>
          <w:lang w:val="en-US" w:eastAsia="zh-CN"/>
          <w14:textFill>
            <w14:solidFill>
              <w14:schemeClr w14:val="tx1"/>
            </w14:solidFill>
          </w14:textFill>
        </w:rPr>
        <w:t>厂房</w:t>
      </w:r>
      <w:r>
        <w:rPr>
          <w:rFonts w:hint="eastAsia" w:ascii="仿宋_GB2312" w:eastAsia="仿宋_GB2312"/>
          <w:sz w:val="32"/>
          <w:szCs w:val="32"/>
          <w:highlight w:val="none"/>
          <w:lang w:val="en-US" w:eastAsia="zh-CN"/>
        </w:rPr>
        <w:t>项目，为我们村集体经济提供有力支撑。改善村人居环境，提升村集体收入，用2到3年的时间将高村</w:t>
      </w:r>
      <w:r>
        <w:rPr>
          <w:rFonts w:hint="eastAsia" w:ascii="仿宋_GB2312" w:eastAsia="仿宋_GB2312"/>
          <w:color w:val="000000" w:themeColor="text1"/>
          <w:sz w:val="32"/>
          <w:szCs w:val="32"/>
          <w:highlight w:val="none"/>
          <w:lang w:val="en-US" w:eastAsia="zh-CN"/>
          <w14:textFill>
            <w14:solidFill>
              <w14:schemeClr w14:val="tx1"/>
            </w14:solidFill>
          </w14:textFill>
        </w:rPr>
        <w:t>村集</w:t>
      </w:r>
      <w:r>
        <w:rPr>
          <w:rFonts w:hint="eastAsia" w:ascii="仿宋_GB2312" w:eastAsia="仿宋_GB2312"/>
          <w:sz w:val="32"/>
          <w:szCs w:val="32"/>
          <w:highlight w:val="none"/>
          <w:lang w:val="en-US" w:eastAsia="zh-CN"/>
        </w:rPr>
        <w:t>体收入提升至</w:t>
      </w:r>
      <w:r>
        <w:rPr>
          <w:rFonts w:hint="eastAsia" w:ascii="仿宋_GB2312" w:eastAsia="仿宋_GB2312"/>
          <w:color w:val="000000" w:themeColor="text1"/>
          <w:sz w:val="32"/>
          <w:szCs w:val="32"/>
          <w:highlight w:val="none"/>
          <w:lang w:val="en-US" w:eastAsia="zh-CN"/>
          <w14:textFill>
            <w14:solidFill>
              <w14:schemeClr w14:val="tx1"/>
            </w14:solidFill>
          </w14:textFill>
        </w:rPr>
        <w:t>40万</w:t>
      </w:r>
      <w:r>
        <w:rPr>
          <w:rFonts w:hint="eastAsia" w:ascii="仿宋_GB2312" w:eastAsia="仿宋_GB2312"/>
          <w:sz w:val="32"/>
          <w:szCs w:val="32"/>
          <w:highlight w:val="none"/>
          <w:lang w:val="en-US" w:eastAsia="zh-CN"/>
        </w:rPr>
        <w:t>元以上，并按照“五星支部”的要求逐步开展工作。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将现有闲置集体建设用地进行重建，建设标准化钢结构厂房，待新厂房建成后，基础设施完备，一是采取招商经营共同管理，收入按比例分配的模式运作；二是采取租赁的形式，面向社会诚招商家，目前已有一到二家企业有意向进行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实现途径主要有：（1）正在和荥阳市高村乡欣欣粉粹机刀片加工厂商谈租金，此公司主要生产机械配件，批发销售，年销售额在500万元左右。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三、项目建设内容及资金安排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caps w:val="0"/>
          <w:color w:val="000000" w:themeColor="text1"/>
          <w:kern w:val="2"/>
          <w:sz w:val="32"/>
          <w:szCs w:val="32"/>
          <w:highlight w:val="none"/>
          <w:vertAlign w:val="baseline"/>
          <w:lang w:val="en-US" w:eastAsia="zh-CN" w:bidi="ar"/>
          <w14:textFill>
            <w14:solidFill>
              <w14:schemeClr w14:val="tx1"/>
            </w14:solidFill>
          </w14:textFill>
        </w:rPr>
      </w:pPr>
      <w:r>
        <w:rPr>
          <w:rFonts w:hint="default" w:ascii="Times New Roman" w:hAnsi="Times New Roman" w:eastAsia="仿宋_GB2312" w:cs="Times New Roman"/>
          <w:b w:val="0"/>
          <w:bCs/>
          <w:caps w:val="0"/>
          <w:color w:val="000000" w:themeColor="text1"/>
          <w:kern w:val="2"/>
          <w:sz w:val="32"/>
          <w:szCs w:val="32"/>
          <w:highlight w:val="none"/>
          <w:vertAlign w:val="baseline"/>
          <w:lang w:val="en-US" w:eastAsia="zh-CN" w:bidi="ar"/>
          <w14:textFill>
            <w14:solidFill>
              <w14:schemeClr w14:val="tx1"/>
            </w14:solidFill>
          </w14:textFill>
        </w:rPr>
        <w:t>项目投资</w:t>
      </w:r>
      <w:r>
        <w:rPr>
          <w:rFonts w:hint="eastAsia" w:ascii="仿宋_GB2312" w:hAnsi="仿宋_GB2312" w:eastAsia="仿宋_GB2312" w:cs="仿宋_GB2312"/>
          <w:b w:val="0"/>
          <w:bCs/>
          <w:caps w:val="0"/>
          <w:color w:val="000000" w:themeColor="text1"/>
          <w:kern w:val="2"/>
          <w:sz w:val="32"/>
          <w:szCs w:val="32"/>
          <w:highlight w:val="none"/>
          <w:vertAlign w:val="baseline"/>
          <w:lang w:val="en-US" w:eastAsia="zh-CN" w:bidi="ar"/>
          <w14:textFill>
            <w14:solidFill>
              <w14:schemeClr w14:val="tx1"/>
            </w14:solidFill>
          </w14:textFill>
        </w:rPr>
        <w:t>400</w:t>
      </w:r>
      <w:r>
        <w:rPr>
          <w:rFonts w:hint="default" w:ascii="Times New Roman" w:hAnsi="Times New Roman" w:eastAsia="仿宋_GB2312" w:cs="Times New Roman"/>
          <w:b w:val="0"/>
          <w:bCs/>
          <w:caps w:val="0"/>
          <w:color w:val="000000" w:themeColor="text1"/>
          <w:kern w:val="2"/>
          <w:sz w:val="32"/>
          <w:szCs w:val="32"/>
          <w:highlight w:val="none"/>
          <w:vertAlign w:val="baseline"/>
          <w:lang w:val="en-US" w:eastAsia="zh-CN" w:bidi="ar"/>
          <w14:textFill>
            <w14:solidFill>
              <w14:schemeClr w14:val="tx1"/>
            </w14:solidFill>
          </w14:textFill>
        </w:rPr>
        <w:t>万元，新建标准化厂房面积</w:t>
      </w:r>
      <w:r>
        <w:rPr>
          <w:rFonts w:hint="eastAsia" w:ascii="仿宋_GB2312" w:hAnsi="仿宋_GB2312" w:eastAsia="仿宋_GB2312" w:cs="仿宋_GB2312"/>
          <w:b w:val="0"/>
          <w:bCs/>
          <w:caps w:val="0"/>
          <w:color w:val="000000" w:themeColor="text1"/>
          <w:kern w:val="2"/>
          <w:sz w:val="32"/>
          <w:szCs w:val="32"/>
          <w:highlight w:val="none"/>
          <w:vertAlign w:val="baseline"/>
          <w:lang w:val="en-US" w:eastAsia="zh-CN" w:bidi="ar"/>
          <w14:textFill>
            <w14:solidFill>
              <w14:schemeClr w14:val="tx1"/>
            </w14:solidFill>
          </w14:textFill>
        </w:rPr>
        <w:t>2500</w:t>
      </w:r>
      <w:r>
        <w:rPr>
          <w:rFonts w:hint="default" w:ascii="Times New Roman" w:hAnsi="Times New Roman" w:eastAsia="仿宋_GB2312" w:cs="Times New Roman"/>
          <w:b w:val="0"/>
          <w:bCs/>
          <w:caps w:val="0"/>
          <w:color w:val="000000" w:themeColor="text1"/>
          <w:kern w:val="2"/>
          <w:sz w:val="32"/>
          <w:szCs w:val="32"/>
          <w:highlight w:val="none"/>
          <w:vertAlign w:val="baseline"/>
          <w:lang w:val="en-US" w:eastAsia="zh-CN" w:bidi="ar"/>
          <w14:textFill>
            <w14:solidFill>
              <w14:schemeClr w14:val="tx1"/>
            </w14:solidFill>
          </w14:textFill>
        </w:rPr>
        <w:t>平方米。</w:t>
      </w:r>
    </w:p>
    <w:p>
      <w:pPr>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0" w:right="75" w:firstLine="0"/>
        <w:jc w:val="center"/>
        <w:rPr>
          <w:rFonts w:hint="default" w:ascii="Times New Roman" w:hAnsi="Times New Roman" w:eastAsia="宋体" w:cs="Times New Roman"/>
          <w:b/>
          <w:bCs/>
          <w:caps w:val="0"/>
          <w:color w:val="000000" w:themeColor="text1"/>
          <w:sz w:val="7"/>
          <w:szCs w:val="7"/>
          <w:highlight w:val="none"/>
          <w:vertAlign w:val="baseline"/>
          <w14:textFill>
            <w14:solidFill>
              <w14:schemeClr w14:val="tx1"/>
            </w14:solidFill>
          </w14:textFill>
        </w:rPr>
      </w:pPr>
      <w:r>
        <w:rPr>
          <w:rFonts w:hint="default" w:ascii="Times New Roman" w:hAnsi="Times New Roman" w:eastAsia="宋体" w:cs="Times New Roman"/>
          <w:b/>
          <w:bCs/>
          <w:caps w:val="0"/>
          <w:color w:val="000000" w:themeColor="text1"/>
          <w:kern w:val="2"/>
          <w:sz w:val="32"/>
          <w:szCs w:val="32"/>
          <w:highlight w:val="none"/>
          <w:vertAlign w:val="baseline"/>
          <w:lang w:val="en-US" w:eastAsia="zh-CN" w:bidi="ar"/>
          <w14:textFill>
            <w14:solidFill>
              <w14:schemeClr w14:val="tx1"/>
            </w14:solidFill>
          </w14:textFill>
        </w:rPr>
        <w:t>项目投资概算表</w:t>
      </w:r>
    </w:p>
    <w:tbl>
      <w:tblPr>
        <w:tblStyle w:val="8"/>
        <w:tblW w:w="951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866"/>
        <w:gridCol w:w="3429"/>
        <w:gridCol w:w="1348"/>
        <w:gridCol w:w="1892"/>
        <w:gridCol w:w="198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caps w:val="0"/>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val="0"/>
                <w:bCs w:val="0"/>
                <w:caps w:val="0"/>
                <w:color w:val="000000" w:themeColor="text1"/>
                <w:sz w:val="24"/>
                <w:szCs w:val="24"/>
                <w:highlight w:val="none"/>
                <w:vertAlign w:val="baseline"/>
                <w:lang w:eastAsia="zh-CN"/>
                <w14:textFill>
                  <w14:solidFill>
                    <w14:schemeClr w14:val="tx1"/>
                  </w14:solidFill>
                </w14:textFill>
              </w:rPr>
              <w:t>序号</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01" w:right="175" w:firstLine="0"/>
              <w:textAlignment w:val="auto"/>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pPr>
            <w:r>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t>项目名称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48" w:right="222" w:firstLine="0"/>
              <w:textAlignment w:val="auto"/>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pPr>
            <w:r>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t>投资额（万元）</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3" w:firstLine="0"/>
              <w:textAlignment w:val="auto"/>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pPr>
            <w:r>
              <w:rPr>
                <w:rFonts w:hint="eastAsia" w:ascii="黑体" w:hAnsi="黑体" w:eastAsia="黑体" w:cs="黑体"/>
                <w:b w:val="0"/>
                <w:bCs w:val="0"/>
                <w:caps w:val="0"/>
                <w:color w:val="000000" w:themeColor="text1"/>
                <w:sz w:val="24"/>
                <w:szCs w:val="24"/>
                <w:highlight w:val="none"/>
                <w:vertAlign w:val="baseline"/>
                <w14:textFill>
                  <w14:solidFill>
                    <w14:schemeClr w14:val="tx1"/>
                  </w14:solidFill>
                </w14:textFill>
              </w:rPr>
              <w:t>占总投资比例（%）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3" w:firstLine="0"/>
              <w:rPr>
                <w:rFonts w:hint="eastAsia" w:ascii="黑体" w:hAnsi="黑体" w:eastAsia="黑体" w:cs="黑体"/>
                <w:b w:val="0"/>
                <w:bCs w:val="0"/>
                <w:caps w:val="0"/>
                <w:color w:val="000000" w:themeColor="text1"/>
                <w:sz w:val="24"/>
                <w:szCs w:val="24"/>
                <w:highlight w:val="none"/>
                <w:vertAlign w:val="baseline"/>
                <w:lang w:eastAsia="zh-CN"/>
                <w14:textFill>
                  <w14:solidFill>
                    <w14:schemeClr w14:val="tx1"/>
                  </w14:solidFill>
                </w14:textFill>
              </w:rPr>
            </w:pPr>
            <w:r>
              <w:rPr>
                <w:rFonts w:hint="eastAsia" w:ascii="黑体" w:hAnsi="黑体" w:eastAsia="黑体" w:cs="黑体"/>
                <w:b w:val="0"/>
                <w:bCs w:val="0"/>
                <w:caps w:val="0"/>
                <w:color w:val="000000" w:themeColor="text1"/>
                <w:sz w:val="24"/>
                <w:szCs w:val="24"/>
                <w:highlight w:val="none"/>
                <w:vertAlign w:val="baseline"/>
                <w:lang w:eastAsia="zh-CN"/>
                <w14:textFill>
                  <w14:solidFill>
                    <w14:schemeClr w14:val="tx1"/>
                  </w14:solidFill>
                </w14:textFill>
              </w:rPr>
              <w:t>资金来源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37" w:right="0" w:firstLine="0"/>
              <w:jc w:val="center"/>
              <w:rPr>
                <w:rFonts w:hint="default" w:ascii="Times New Roman" w:hAnsi="Times New Roman" w:eastAsia="仿宋_GB2312" w:cs="Times New Roman"/>
                <w:caps w:val="0"/>
                <w:color w:val="000000" w:themeColor="text1"/>
                <w:sz w:val="24"/>
                <w:szCs w:val="24"/>
                <w:highlight w:val="none"/>
                <w:vertAlign w:val="baseline"/>
                <w14:textFill>
                  <w14:solidFill>
                    <w14:schemeClr w14:val="tx1"/>
                  </w14:solidFill>
                </w14:textFill>
              </w:rPr>
            </w:pPr>
            <w:r>
              <w:rPr>
                <w:rFonts w:hint="default" w:ascii="Times New Roman" w:hAnsi="Times New Roman" w:eastAsia="仿宋_GB2312" w:cs="Times New Roman"/>
                <w:caps w:val="0"/>
                <w:color w:val="000000" w:themeColor="text1"/>
                <w:w w:val="99"/>
                <w:sz w:val="24"/>
                <w:szCs w:val="24"/>
                <w:highlight w:val="none"/>
                <w:vertAlign w:val="baseline"/>
                <w14:textFill>
                  <w14:solidFill>
                    <w14:schemeClr w14:val="tx1"/>
                  </w14:solidFill>
                </w14:textFill>
              </w:rPr>
              <w:t>1</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0" w:right="0" w:firstLine="0"/>
              <w:jc w:val="center"/>
              <w:rPr>
                <w:rFonts w:hint="default" w:ascii="Times New Roman" w:hAnsi="Times New Roman" w:eastAsia="仿宋_GB2312" w:cs="Times New Roman"/>
                <w:caps w:val="0"/>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Times New Roman"/>
                <w:b w:val="0"/>
                <w:bCs w:val="0"/>
                <w:caps w:val="0"/>
                <w:color w:val="000000" w:themeColor="text1"/>
                <w:kern w:val="2"/>
                <w:sz w:val="24"/>
                <w:szCs w:val="24"/>
                <w:highlight w:val="none"/>
                <w:vertAlign w:val="baseline"/>
                <w:lang w:val="en-US" w:eastAsia="zh-CN" w:bidi="ar"/>
                <w14:textFill>
                  <w14:solidFill>
                    <w14:schemeClr w14:val="tx1"/>
                  </w14:solidFill>
                </w14:textFill>
              </w:rPr>
              <w:t>2026年高村乡高村村标准化厂房建设项目</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48" w:right="221" w:firstLine="0"/>
              <w:jc w:val="center"/>
              <w:rPr>
                <w:rFonts w:hint="default" w:ascii="Times New Roman" w:hAnsi="Times New Roman" w:eastAsia="仿宋_GB2312" w:cs="Times New Roman"/>
                <w:caps w:val="0"/>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Times New Roman"/>
                <w:caps w:val="0"/>
                <w:color w:val="000000" w:themeColor="text1"/>
                <w:sz w:val="24"/>
                <w:szCs w:val="24"/>
                <w:highlight w:val="none"/>
                <w:vertAlign w:val="baseline"/>
                <w:lang w:val="en-US" w:eastAsia="zh-CN"/>
                <w14:textFill>
                  <w14:solidFill>
                    <w14:schemeClr w14:val="tx1"/>
                  </w14:solidFill>
                </w14:textFill>
              </w:rPr>
              <w:t>400</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10" w:right="192" w:firstLine="0"/>
              <w:jc w:val="center"/>
              <w:rPr>
                <w:rFonts w:hint="default" w:ascii="Times New Roman" w:hAnsi="Times New Roman" w:eastAsia="仿宋_GB2312" w:cs="Times New Roman"/>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Times New Roman"/>
                <w:caps w:val="0"/>
                <w:color w:val="000000" w:themeColor="text1"/>
                <w:sz w:val="24"/>
                <w:szCs w:val="24"/>
                <w:highlight w:val="none"/>
                <w:vertAlign w:val="baseline"/>
                <w:lang w:val="en-US" w:eastAsia="zh-CN"/>
                <w14:textFill>
                  <w14:solidFill>
                    <w14:schemeClr w14:val="tx1"/>
                  </w14:solidFill>
                </w14:textFill>
              </w:rPr>
              <w:t>100</w:t>
            </w:r>
            <w:r>
              <w:rPr>
                <w:rFonts w:hint="default" w:ascii="Times New Roman" w:hAnsi="Times New Roman" w:eastAsia="仿宋_GB2312" w:cs="Times New Roman"/>
                <w:caps w:val="0"/>
                <w:color w:val="000000" w:themeColor="text1"/>
                <w:sz w:val="24"/>
                <w:szCs w:val="24"/>
                <w:highlight w:val="none"/>
                <w:vertAlign w:val="baseline"/>
                <w:lang w:eastAsia="zh-CN"/>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201" w:right="175" w:firstLine="0"/>
              <w:jc w:val="center"/>
              <w:rPr>
                <w:rFonts w:hint="default" w:ascii="Times New Roman" w:hAnsi="Times New Roman" w:eastAsia="仿宋_GB2312" w:cs="Times New Roman"/>
                <w:caps w:val="0"/>
                <w:color w:val="000000" w:themeColor="text1"/>
                <w:sz w:val="24"/>
                <w:szCs w:val="24"/>
                <w:highlight w:val="none"/>
                <w:vertAlign w:val="baseline"/>
                <w:lang w:eastAsia="zh-CN"/>
                <w14:textFill>
                  <w14:solidFill>
                    <w14:schemeClr w14:val="tx1"/>
                  </w14:solidFill>
                </w14:textFill>
              </w:rPr>
            </w:pPr>
            <w:r>
              <w:rPr>
                <w:rFonts w:hint="default" w:ascii="Times New Roman" w:hAnsi="Times New Roman" w:eastAsia="仿宋_GB2312" w:cs="Times New Roman"/>
                <w:caps w:val="0"/>
                <w:color w:val="000000" w:themeColor="text1"/>
                <w:sz w:val="24"/>
                <w:szCs w:val="24"/>
                <w:highlight w:val="none"/>
                <w:vertAlign w:val="baseline"/>
                <w:lang w:eastAsia="zh-CN"/>
                <w14:textFill>
                  <w14:solidFill>
                    <w14:schemeClr w14:val="tx1"/>
                  </w14:solidFill>
                </w14:textFill>
              </w:rPr>
              <w:t>财政资金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建设地点位于高村行政村，处于村南（原高村乡黄河造纸厂）位置。经荥阳市自然资源和规划局审查，此土地为建设用地，符合政策，符合高村乡村镇规划。建设内容主要有：村闲置地进行重建，建100米长、25米宽、高 13米的标准化钢结构厂房，此厂房占地2500平方米，容量为32500立方米，地面全部采用混凝土硬化。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仿宋" w:hAnsi="仿宋" w:eastAsia="仿宋"/>
          <w:sz w:val="32"/>
          <w:szCs w:val="32"/>
          <w:highlight w:val="none"/>
        </w:rPr>
      </w:pPr>
      <w:r>
        <w:rPr>
          <w:rFonts w:hint="eastAsia" w:ascii="仿宋_GB2312" w:eastAsia="仿宋_GB2312"/>
          <w:sz w:val="32"/>
          <w:szCs w:val="32"/>
          <w:highlight w:val="none"/>
          <w:lang w:val="en-US" w:eastAsia="zh-CN"/>
        </w:rPr>
        <w:t>项目总投</w:t>
      </w:r>
      <w:r>
        <w:rPr>
          <w:rFonts w:hint="eastAsia" w:ascii="仿宋_GB2312" w:eastAsia="仿宋_GB2312"/>
          <w:color w:val="000000" w:themeColor="text1"/>
          <w:sz w:val="32"/>
          <w:szCs w:val="32"/>
          <w:highlight w:val="none"/>
          <w:lang w:val="en-US" w:eastAsia="zh-CN"/>
          <w14:textFill>
            <w14:solidFill>
              <w14:schemeClr w14:val="tx1"/>
            </w14:solidFill>
          </w14:textFill>
        </w:rPr>
        <w:t>资400万元，全</w:t>
      </w:r>
      <w:r>
        <w:rPr>
          <w:rFonts w:hint="eastAsia" w:ascii="仿宋_GB2312" w:eastAsia="仿宋_GB2312"/>
          <w:sz w:val="32"/>
          <w:szCs w:val="32"/>
          <w:highlight w:val="none"/>
          <w:lang w:val="en-US" w:eastAsia="zh-CN"/>
        </w:rPr>
        <w:t>部为财政资金。严格按照项目建设进度拨付资金，确保资金拨付到位和安全。财政部门拨付项目专项资金一律实行转帐结算，项目实施单位对项目费用支出的资金支付，一般也应实行转帐结算，严格控制现金支出。资金使用涉及大宗物资采购的，需按程序进行政府采购，对特种商品不便采购的，应将采购计划和原因书面报政府采购办备案，项目资金补助必须实行公示制。加强对项目资金使用情况进行定期或不定期的检查，发现问题及时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四、项目实施步骤</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default" w:ascii="仿宋_GB2312" w:eastAsia="仿宋_GB2312" w:cs="仿宋_GB2312"/>
          <w:sz w:val="32"/>
          <w:szCs w:val="32"/>
          <w:highlight w:val="none"/>
          <w:shd w:val="clear" w:color="auto" w:fill="auto"/>
          <w:lang w:val="en-US" w:eastAsia="zh-CN" w:bidi="ar"/>
        </w:rPr>
      </w:pPr>
      <w:r>
        <w:rPr>
          <w:rFonts w:hint="default" w:ascii="仿宋_GB2312" w:eastAsia="仿宋_GB2312" w:cs="仿宋_GB2312"/>
          <w:sz w:val="32"/>
          <w:szCs w:val="32"/>
          <w:highlight w:val="none"/>
          <w:shd w:val="clear" w:color="auto" w:fill="auto"/>
          <w:lang w:val="en-US" w:eastAsia="zh-CN" w:bidi="ar"/>
        </w:rPr>
        <w:t>为保障项目落实到实处，确保项目按时按质完成，成立项目实施工作领导小组。</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left"/>
        <w:textAlignment w:val="auto"/>
        <w:outlineLvl w:val="9"/>
        <w:rPr>
          <w:rFonts w:hint="default" w:ascii="仿宋_GB2312" w:eastAsia="仿宋_GB2312" w:cs="仿宋_GB2312"/>
          <w:sz w:val="32"/>
          <w:szCs w:val="32"/>
          <w:highlight w:val="none"/>
          <w:shd w:val="clear" w:color="auto" w:fill="auto"/>
          <w:lang w:val="en-US" w:eastAsia="zh-CN" w:bidi="ar"/>
        </w:rPr>
      </w:pPr>
      <w:r>
        <w:rPr>
          <w:rFonts w:hint="default" w:ascii="仿宋_GB2312" w:eastAsia="仿宋_GB2312" w:cs="仿宋_GB2312"/>
          <w:sz w:val="32"/>
          <w:szCs w:val="32"/>
          <w:highlight w:val="none"/>
          <w:shd w:val="clear" w:color="auto" w:fill="auto"/>
          <w:lang w:val="en-US" w:eastAsia="zh-CN" w:bidi="ar"/>
        </w:rPr>
        <w:t>组</w:t>
      </w:r>
      <w:r>
        <w:rPr>
          <w:rFonts w:hint="eastAsia" w:ascii="仿宋_GB2312" w:eastAsia="仿宋_GB2312" w:cs="仿宋_GB2312"/>
          <w:sz w:val="32"/>
          <w:szCs w:val="32"/>
          <w:highlight w:val="none"/>
          <w:shd w:val="clear" w:color="auto" w:fill="auto"/>
          <w:lang w:val="en-US" w:eastAsia="zh-CN" w:bidi="ar"/>
        </w:rPr>
        <w:t xml:space="preserve">  </w:t>
      </w:r>
      <w:r>
        <w:rPr>
          <w:rFonts w:hint="default" w:ascii="仿宋_GB2312" w:eastAsia="仿宋_GB2312" w:cs="仿宋_GB2312"/>
          <w:sz w:val="32"/>
          <w:szCs w:val="32"/>
          <w:highlight w:val="none"/>
          <w:shd w:val="clear" w:color="auto" w:fill="auto"/>
          <w:lang w:val="en-US" w:eastAsia="zh-CN" w:bidi="ar"/>
        </w:rPr>
        <w:t>长：</w:t>
      </w:r>
      <w:r>
        <w:rPr>
          <w:rFonts w:hint="eastAsia" w:ascii="仿宋_GB2312" w:eastAsia="仿宋_GB2312" w:cs="仿宋_GB2312"/>
          <w:sz w:val="32"/>
          <w:szCs w:val="32"/>
          <w:highlight w:val="none"/>
          <w:shd w:val="clear" w:color="auto" w:fill="auto"/>
          <w:lang w:val="en-US" w:eastAsia="zh-CN" w:bidi="ar"/>
        </w:rPr>
        <w:t>柳桂根</w:t>
      </w:r>
      <w:r>
        <w:rPr>
          <w:rFonts w:hint="default" w:ascii="仿宋_GB2312" w:eastAsia="仿宋_GB2312" w:cs="仿宋_GB2312"/>
          <w:sz w:val="32"/>
          <w:szCs w:val="32"/>
          <w:highlight w:val="none"/>
          <w:shd w:val="clear" w:color="auto" w:fill="auto"/>
          <w:lang w:val="en-US" w:eastAsia="zh-CN" w:bidi="ar"/>
        </w:rPr>
        <w:t xml:space="preserve">  党委副书记、</w:t>
      </w:r>
      <w:r>
        <w:rPr>
          <w:rFonts w:hint="eastAsia" w:ascii="仿宋_GB2312" w:eastAsia="仿宋_GB2312" w:cs="仿宋_GB2312"/>
          <w:sz w:val="32"/>
          <w:szCs w:val="32"/>
          <w:highlight w:val="none"/>
          <w:shd w:val="clear" w:color="auto" w:fill="auto"/>
          <w:lang w:val="en-US" w:eastAsia="zh-CN" w:bidi="ar"/>
        </w:rPr>
        <w:t>乡</w:t>
      </w:r>
      <w:r>
        <w:rPr>
          <w:rFonts w:hint="default" w:ascii="仿宋_GB2312" w:eastAsia="仿宋_GB2312" w:cs="仿宋_GB2312"/>
          <w:sz w:val="32"/>
          <w:szCs w:val="32"/>
          <w:highlight w:val="none"/>
          <w:shd w:val="clear" w:color="auto" w:fill="auto"/>
          <w:lang w:val="en-US" w:eastAsia="zh-CN" w:bidi="ar"/>
        </w:rPr>
        <w:t>长</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eastAsia" w:ascii="仿宋_GB2312" w:eastAsia="仿宋_GB2312" w:cs="仿宋_GB2312"/>
          <w:sz w:val="32"/>
          <w:szCs w:val="32"/>
          <w:highlight w:val="none"/>
          <w:shd w:val="clear" w:color="auto" w:fill="auto"/>
          <w:lang w:val="en-US" w:eastAsia="zh-CN" w:bidi="ar"/>
        </w:rPr>
      </w:pPr>
      <w:r>
        <w:rPr>
          <w:rFonts w:hint="default" w:ascii="仿宋_GB2312" w:eastAsia="仿宋_GB2312" w:cs="仿宋_GB2312"/>
          <w:sz w:val="32"/>
          <w:szCs w:val="32"/>
          <w:highlight w:val="none"/>
          <w:shd w:val="clear" w:color="auto" w:fill="auto"/>
          <w:lang w:val="en-US" w:eastAsia="zh-CN" w:bidi="ar"/>
        </w:rPr>
        <w:t>副组长：</w:t>
      </w:r>
      <w:r>
        <w:rPr>
          <w:rFonts w:hint="eastAsia" w:ascii="仿宋_GB2312" w:eastAsia="仿宋_GB2312" w:cs="仿宋_GB2312"/>
          <w:sz w:val="32"/>
          <w:szCs w:val="32"/>
          <w:highlight w:val="none"/>
          <w:shd w:val="clear" w:color="auto" w:fill="auto"/>
          <w:lang w:val="en-US" w:eastAsia="zh-CN" w:bidi="ar"/>
        </w:rPr>
        <w:t>赵  亚</w:t>
      </w:r>
      <w:r>
        <w:rPr>
          <w:rFonts w:hint="default" w:ascii="仿宋_GB2312" w:eastAsia="仿宋_GB2312" w:cs="仿宋_GB2312"/>
          <w:sz w:val="32"/>
          <w:szCs w:val="32"/>
          <w:highlight w:val="none"/>
          <w:shd w:val="clear" w:color="auto" w:fill="auto"/>
          <w:lang w:val="en-US" w:eastAsia="zh-CN" w:bidi="ar"/>
        </w:rPr>
        <w:t xml:space="preserve">  党委</w:t>
      </w:r>
      <w:r>
        <w:rPr>
          <w:rFonts w:hint="eastAsia" w:ascii="仿宋_GB2312" w:eastAsia="仿宋_GB2312" w:cs="仿宋_GB2312"/>
          <w:sz w:val="32"/>
          <w:szCs w:val="32"/>
          <w:highlight w:val="none"/>
          <w:shd w:val="clear" w:color="auto" w:fill="auto"/>
          <w:lang w:val="en-US" w:eastAsia="zh-CN" w:bidi="ar"/>
        </w:rPr>
        <w:t>副书记</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leftChars="0" w:right="0" w:rightChars="0" w:firstLine="640" w:firstLineChars="200"/>
        <w:jc w:val="left"/>
        <w:textAlignment w:val="auto"/>
        <w:outlineLvl w:val="9"/>
        <w:rPr>
          <w:rFonts w:hint="eastAsia" w:ascii="仿宋_GB2312" w:eastAsia="仿宋_GB2312" w:cs="仿宋_GB2312"/>
          <w:sz w:val="32"/>
          <w:szCs w:val="32"/>
          <w:highlight w:val="none"/>
          <w:shd w:val="clear" w:color="auto" w:fill="auto"/>
          <w:lang w:val="en-US" w:eastAsia="zh-CN" w:bidi="ar"/>
        </w:rPr>
      </w:pPr>
      <w:r>
        <w:rPr>
          <w:rFonts w:hint="eastAsia" w:ascii="仿宋_GB2312" w:eastAsia="仿宋_GB2312" w:cs="仿宋_GB2312"/>
          <w:sz w:val="32"/>
          <w:szCs w:val="32"/>
          <w:highlight w:val="none"/>
          <w:shd w:val="clear" w:color="auto" w:fill="auto"/>
          <w:lang w:val="en-US" w:eastAsia="zh-CN" w:bidi="ar"/>
        </w:rPr>
        <w:t>成  员：张  璐  乡村建设办公室主任</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1920" w:firstLineChars="600"/>
        <w:jc w:val="left"/>
        <w:textAlignment w:val="auto"/>
        <w:outlineLvl w:val="9"/>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eastAsia" w:ascii="仿宋_GB2312" w:eastAsia="仿宋_GB2312" w:cs="仿宋_GB2312"/>
          <w:sz w:val="32"/>
          <w:szCs w:val="32"/>
          <w:highlight w:val="none"/>
          <w:shd w:val="clear" w:color="auto" w:fill="auto"/>
          <w:lang w:val="en-US" w:eastAsia="zh-CN" w:bidi="ar"/>
        </w:rPr>
        <w:t>芦长明  高村村支部书记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1、项目建设管理。健全项目管理制度，对衔接资金项目严格按照上级要求实行公开招投标，并按要求公示公告，严格实行项目检查和竣工验收制度，严把工程质量关。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2、项目资金管理。项目建设资金由市财政局、乡村振兴局统一管理，严格实行专项资金报账制度，落实各项规定，保证专款专用，确保衔接资金的高效使用。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3、加强督促检查。在项目实施过程中，由市纪检、财政、审计、乡村振兴等职能部门全过程监督，确保工程质量，并建立项目责任追究制，确保工程质量合乎标准，工程进度按时完工。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4、建后管理。项目完工后，</w:t>
      </w:r>
      <w:r>
        <w:rPr>
          <w:rStyle w:val="11"/>
          <w:rFonts w:hint="default" w:ascii="Times New Roman" w:hAnsi="Times New Roman" w:eastAsia="仿宋_GB2312" w:cs="Times New Roman"/>
          <w:b w:val="0"/>
          <w:i w:val="0"/>
          <w:caps w:val="0"/>
          <w:color w:val="000000" w:themeColor="text1"/>
          <w:spacing w:val="0"/>
          <w:w w:val="100"/>
          <w:kern w:val="2"/>
          <w:sz w:val="32"/>
          <w:szCs w:val="32"/>
          <w:highlight w:val="none"/>
          <w:lang w:val="en-US" w:eastAsia="zh-CN" w:bidi="ar-SA"/>
          <w14:textFill>
            <w14:solidFill>
              <w14:schemeClr w14:val="tx1"/>
            </w14:solidFill>
          </w14:textFill>
        </w:rPr>
        <w:t>由</w:t>
      </w:r>
      <w:r>
        <w:rPr>
          <w:rStyle w:val="11"/>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高村村</w:t>
      </w: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统筹运营管理，委派专人负责投资收益的监督管理，制定相应</w:t>
      </w:r>
      <w:r>
        <w:rPr>
          <w:rStyle w:val="11"/>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制度、</w:t>
      </w:r>
      <w:r>
        <w:rPr>
          <w:rStyle w:val="11"/>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措施，督促效益落实，项目长期发挥效益。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五、运营管理模式及预期效益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项目建成移交后，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由高村村统一</w:t>
      </w:r>
      <w:r>
        <w:rPr>
          <w:rFonts w:hint="eastAsia" w:ascii="仿宋_GB2312" w:hAnsi="仿宋_GB2312" w:eastAsia="仿宋_GB2312" w:cs="仿宋_GB2312"/>
          <w:color w:val="auto"/>
          <w:sz w:val="32"/>
          <w:szCs w:val="32"/>
          <w:highlight w:val="none"/>
          <w:u w:val="none"/>
          <w:lang w:val="en-US" w:eastAsia="zh-CN"/>
        </w:rPr>
        <w:t>管护运营，明确专人负责，对外招租商户，</w:t>
      </w:r>
      <w:r>
        <w:rPr>
          <w:rFonts w:hint="eastAsia" w:ascii="仿宋_GB2312" w:hAnsi="仿宋_GB2312" w:eastAsia="仿宋_GB2312" w:cs="仿宋_GB2312"/>
          <w:color w:val="auto"/>
          <w:sz w:val="32"/>
          <w:szCs w:val="32"/>
          <w:highlight w:val="none"/>
          <w:lang w:val="en-US" w:eastAsia="zh-CN"/>
        </w:rPr>
        <w:t>目前荥阳市高村乡欣欣粉粹机刀片加工厂已有意向承租，项目一经批复后，即与意向单位签订意向合同，以确保项目建成即见效，同时与使用单位签订项目管护责任书，明确管护责任人，约定项目运营过程中出现的各类设施设备损坏、老化等事项的维修事宜，确保使用单位不再续约后，尽快寻找其他运营单位进场使用，确保项目的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本项目可加快当地经济发展、市场繁荣，带动村民就业，带动村内或周边低收入劳动力就业30人以上，增加村民收入。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项目实施后产生的各种绩效分析情况如下：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产出指标：①数量指标：建设一座</w:t>
      </w:r>
      <w:r>
        <w:rPr>
          <w:rFonts w:hint="eastAsia" w:ascii="仿宋_GB2312" w:hAnsi="仿宋_GB2312" w:eastAsia="仿宋_GB2312" w:cs="仿宋_GB2312"/>
          <w:color w:val="auto"/>
          <w:sz w:val="32"/>
          <w:szCs w:val="32"/>
          <w:highlight w:val="none"/>
          <w:lang w:val="en-US" w:eastAsia="zh-CN"/>
        </w:rPr>
        <w:t>长100米、宽25米、高13米，面积为2500平方米，容量为32500立方米的标准化厂房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；②质量指标：项目工程验收合格率100%；③时效指标：项目工程完成及时率100%。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成本指标：工程建设成本（万元≦）400万元。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效益指标：①经济效益指标：每年增加村集体经济收入。②社会效益指标。直接受益人口数不低于30人；③满意度指标：服务对象满意度95%以上。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村村厂房项目建设所在地为建设用地，建成厂房后，村级将公开竞标以出租的方式对厂房进行租赁，同时签订租赁合同时，要求优先使用本村劳动力，带动本村劳动力务工，直接带动30人就业增收，整体带动村集体经济增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村集体收益分配机制，一是项目收益的50%作为公积公益金,用于村内基础设施完善、社会化服务、临时救助等乡村振兴公益事业发展;二是项目收益的50%作为集体经济发展筹备金,激发集体经济发展活力,支持土地规模经营、高效农业等乡村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批复后，由村两委干部统筹调度，明确各成员职责分工，负责统筹协调项目建设全过程，定期召开会议，及时解决建设中遇到的各类问题，确保项目按计划推进。同时从原材料采购、施工建设、设备安装调试各环节，都安排专人负责质量监督检查，及时发现并整改质量问题，确保项目整体质量过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八、有关部门审查意见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高村乡政府对该项目的建设内容以及用地情况进行了审核，项目建设内容符合产业发展规划，</w:t>
      </w:r>
      <w:r>
        <w:rPr>
          <w:rFonts w:hint="default" w:ascii="Times New Roman" w:hAnsi="Times New Roman" w:eastAsia="仿宋_GB2312" w:cs="Times New Roman"/>
          <w:color w:val="auto"/>
          <w:spacing w:val="0"/>
          <w:sz w:val="32"/>
          <w:szCs w:val="32"/>
          <w:highlight w:val="none"/>
        </w:rPr>
        <w:t>所需用地为村集体建设用地</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建设项目前期已对接市自然资源和规划局、林业局等部门，不占用林地及耕地。项目周边资源环境要素保障到位，不涉及地下水污染不存在对水资源环境的影响。项目所在地区域环境空气质量达标，可满足项目建设期、运营期中关于空气质量的要求保障。项目区不在自然保护区、风景区、饮用水源保护区内，周边水资源、大气环境等承载能力及其保障条件较好,可保障项目有序建设和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黑体" w:hAnsi="黑体" w:eastAsia="黑体" w:cs="黑体"/>
          <w:sz w:val="32"/>
          <w:szCs w:val="32"/>
          <w:highlight w:val="none"/>
          <w:lang w:val="en-US" w:eastAsia="zh-CN"/>
        </w:rPr>
        <w:t>九、项目位置示意图</w:t>
      </w:r>
    </w:p>
    <w:p>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606415" cy="4900295"/>
            <wp:effectExtent l="0" t="0" r="13335" b="14605"/>
            <wp:docPr id="1" name="图片 1" descr="a273a12949eaf305daef479202491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73a12949eaf305daef4792024911ab"/>
                    <pic:cNvPicPr>
                      <a:picLocks noChangeAspect="1"/>
                    </pic:cNvPicPr>
                  </pic:nvPicPr>
                  <pic:blipFill>
                    <a:blip r:embed="rId4"/>
                    <a:stretch>
                      <a:fillRect/>
                    </a:stretch>
                  </pic:blipFill>
                  <pic:spPr>
                    <a:xfrm>
                      <a:off x="0" y="0"/>
                      <a:ext cx="5606415" cy="4900295"/>
                    </a:xfrm>
                    <a:prstGeom prst="rect">
                      <a:avLst/>
                    </a:prstGeom>
                  </pic:spPr>
                </pic:pic>
              </a:graphicData>
            </a:graphic>
          </wp:inline>
        </w:drawing>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ViYjE5MGQwMTJlNWU5OTVhMTExOWRmZmExOGQifQ=="/>
    <w:docVar w:name="KSO_WPS_MARK_KEY" w:val="a368f1df-fbc2-4ad2-81b0-7e83983bb30c"/>
  </w:docVars>
  <w:rsids>
    <w:rsidRoot w:val="00000000"/>
    <w:rsid w:val="09491D65"/>
    <w:rsid w:val="0B1421DA"/>
    <w:rsid w:val="0CCE0E97"/>
    <w:rsid w:val="0D7756CD"/>
    <w:rsid w:val="0FCD0DAB"/>
    <w:rsid w:val="12DB35B4"/>
    <w:rsid w:val="1B58053E"/>
    <w:rsid w:val="1DC253C9"/>
    <w:rsid w:val="242A3165"/>
    <w:rsid w:val="25111708"/>
    <w:rsid w:val="26BA1B7B"/>
    <w:rsid w:val="26D444E5"/>
    <w:rsid w:val="2C347278"/>
    <w:rsid w:val="300B75A0"/>
    <w:rsid w:val="33B90210"/>
    <w:rsid w:val="350B22A4"/>
    <w:rsid w:val="361D0E68"/>
    <w:rsid w:val="405F03A0"/>
    <w:rsid w:val="40AD420F"/>
    <w:rsid w:val="43CE7CCA"/>
    <w:rsid w:val="46AA3EAE"/>
    <w:rsid w:val="47557DF6"/>
    <w:rsid w:val="48846C5E"/>
    <w:rsid w:val="4A651F7C"/>
    <w:rsid w:val="4A7D1DFB"/>
    <w:rsid w:val="4DA1243B"/>
    <w:rsid w:val="50716066"/>
    <w:rsid w:val="547516FD"/>
    <w:rsid w:val="54D02978"/>
    <w:rsid w:val="553C2A77"/>
    <w:rsid w:val="55E53FF3"/>
    <w:rsid w:val="57D14A37"/>
    <w:rsid w:val="591F79BB"/>
    <w:rsid w:val="5E455DA7"/>
    <w:rsid w:val="5F3840C2"/>
    <w:rsid w:val="61E11616"/>
    <w:rsid w:val="64B4277D"/>
    <w:rsid w:val="64E11FE4"/>
    <w:rsid w:val="6BB724B9"/>
    <w:rsid w:val="6DAA410D"/>
    <w:rsid w:val="6EE940EA"/>
    <w:rsid w:val="724562E4"/>
    <w:rsid w:val="73DB45E1"/>
    <w:rsid w:val="7D6BE005"/>
    <w:rsid w:val="7E22591C"/>
    <w:rsid w:val="F7FB0491"/>
    <w:rsid w:val="FBF5943E"/>
    <w:rsid w:val="FC8E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0" w:beforeAutospacing="0" w:after="120" w:afterLines="0" w:afterAutospacing="0"/>
      <w:ind w:left="420" w:leftChars="200" w:right="0" w:firstLine="420" w:firstLineChars="200"/>
      <w:jc w:val="left"/>
    </w:pPr>
    <w:rPr>
      <w:rFonts w:hint="eastAsia" w:ascii="宋体" w:hAnsi="宋体" w:eastAsia="宋体" w:cs="宋体"/>
      <w:kern w:val="0"/>
      <w:sz w:val="24"/>
      <w:szCs w:val="24"/>
      <w:lang w:val="en-US" w:eastAsia="zh-CN" w:bidi="ar"/>
    </w:rPr>
  </w:style>
  <w:style w:type="paragraph" w:styleId="3">
    <w:name w:val="Body Text Indent"/>
    <w:basedOn w:val="1"/>
    <w:next w:val="4"/>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header"/>
    <w:basedOn w:val="1"/>
    <w:next w:val="5"/>
    <w:qFormat/>
    <w:uiPriority w:val="0"/>
    <w:pPr>
      <w:tabs>
        <w:tab w:val="center" w:pos="4153"/>
        <w:tab w:val="right" w:pos="8306"/>
      </w:tabs>
      <w:snapToGrid w:val="0"/>
      <w:jc w:val="center"/>
    </w:pPr>
    <w:rPr>
      <w:sz w:val="18"/>
      <w:szCs w:val="18"/>
    </w:rPr>
  </w:style>
  <w:style w:type="paragraph" w:styleId="5">
    <w:name w:val="footer"/>
    <w:basedOn w:val="1"/>
    <w:next w:val="1"/>
    <w:qFormat/>
    <w:uiPriority w:val="99"/>
    <w:pPr>
      <w:tabs>
        <w:tab w:val="center" w:pos="4153"/>
        <w:tab w:val="right" w:pos="8306"/>
      </w:tabs>
      <w:snapToGrid w:val="0"/>
    </w:pPr>
    <w:rPr>
      <w:sz w:val="18"/>
      <w:szCs w:val="18"/>
    </w:rPr>
  </w:style>
  <w:style w:type="paragraph" w:styleId="7">
    <w:name w:val="Body Text"/>
    <w:basedOn w:val="1"/>
    <w:next w:val="1"/>
    <w:qFormat/>
    <w:uiPriority w:val="1"/>
    <w:pPr>
      <w:autoSpaceDE w:val="0"/>
      <w:autoSpaceDN w:val="0"/>
      <w:spacing w:before="160"/>
      <w:ind w:left="240"/>
      <w:jc w:val="left"/>
    </w:pPr>
    <w:rPr>
      <w:rFonts w:ascii="宋体" w:hAnsi="宋体" w:eastAsia="宋体" w:cs="宋体"/>
      <w:kern w:val="0"/>
      <w:sz w:val="24"/>
      <w:lang w:eastAsia="en-US"/>
    </w:rPr>
  </w:style>
  <w:style w:type="paragraph" w:customStyle="1" w:styleId="10">
    <w:name w:val="Body Text First Indent1"/>
    <w:basedOn w:val="7"/>
    <w:qFormat/>
    <w:uiPriority w:val="0"/>
    <w:pPr>
      <w:ind w:firstLine="420" w:firstLineChars="100"/>
    </w:pPr>
  </w:style>
  <w:style w:type="character" w:customStyle="1" w:styleId="11">
    <w:name w:val="NormalCharacter"/>
    <w:qFormat/>
    <w:uiPriority w:val="0"/>
    <w:rPr>
      <w:rFonts w:ascii="Calibri" w:hAnsi="Calibri" w:eastAsia="宋体"/>
    </w:rPr>
  </w:style>
  <w:style w:type="paragraph" w:customStyle="1" w:styleId="12">
    <w:name w:val="Table Paragraph"/>
    <w:basedOn w:val="1"/>
    <w:qFormat/>
    <w:uiPriority w:val="0"/>
    <w:pPr>
      <w:keepNext w:val="0"/>
      <w:keepLines w:val="0"/>
      <w:widowControl w:val="0"/>
      <w:suppressLineNumbers w:val="0"/>
      <w:autoSpaceDE w:val="0"/>
      <w:autoSpaceDN w:val="0"/>
      <w:spacing w:before="0" w:beforeAutospacing="0" w:after="0" w:afterAutospacing="0" w:line="240" w:lineRule="auto"/>
      <w:ind w:left="0" w:firstLine="0"/>
      <w:jc w:val="center"/>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3069</Words>
  <Characters>3143</Characters>
  <Lines>0</Lines>
  <Paragraphs>0</Paragraphs>
  <TotalTime>4</TotalTime>
  <ScaleCrop>false</ScaleCrop>
  <LinksUpToDate>false</LinksUpToDate>
  <CharactersWithSpaces>3162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2024-12-05T22:30:00Z</dcterms:created>
  <dc:creator>Administrator</dc:creator>
  <cp:lastModifiedBy>huawei</cp:lastModifiedBy>
  <dcterms:modified xsi:type="dcterms:W3CDTF">2026-03-17T09:54:20Z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69487DD397E44333B77847B4C9CF8797_13</vt:lpwstr>
  </property>
</Properties>
</file>