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b/>
          <w:bCs/>
          <w:i w:val="0"/>
          <w:iCs w:val="0"/>
          <w:sz w:val="40"/>
          <w:szCs w:val="40"/>
          <w:lang w:val="en-US" w:eastAsia="zh-CN"/>
        </w:rPr>
      </w:pPr>
    </w:p>
    <w:p>
      <w:pPr>
        <w:jc w:val="both"/>
        <w:rPr>
          <w:rFonts w:hint="default"/>
          <w:b/>
          <w:bCs/>
          <w:i w:val="0"/>
          <w:iCs w:val="0"/>
          <w:sz w:val="40"/>
          <w:szCs w:val="40"/>
          <w:lang w:val="en-US" w:eastAsia="zh-CN"/>
        </w:rPr>
      </w:pPr>
    </w:p>
    <w:p>
      <w:pPr>
        <w:jc w:val="center"/>
        <w:rPr>
          <w:rFonts w:hint="default"/>
          <w:b/>
          <w:bCs/>
          <w:i w:val="0"/>
          <w:iCs w:val="0"/>
          <w:sz w:val="40"/>
          <w:szCs w:val="40"/>
          <w:lang w:val="en-US" w:eastAsia="zh-CN"/>
        </w:rPr>
      </w:pPr>
      <w:r>
        <w:rPr>
          <w:rFonts w:hint="default"/>
          <w:b/>
          <w:bCs/>
          <w:i w:val="0"/>
          <w:iCs w:val="0"/>
          <w:sz w:val="40"/>
          <w:szCs w:val="40"/>
          <w:lang w:val="en-US" w:eastAsia="zh-CN"/>
        </w:rPr>
        <w:t>新密市农业农村局</w:t>
      </w:r>
    </w:p>
    <w:p>
      <w:pPr>
        <w:jc w:val="center"/>
        <w:rPr>
          <w:rFonts w:hint="default"/>
          <w:b/>
          <w:bCs/>
          <w:i w:val="0"/>
          <w:iCs w:val="0"/>
          <w:sz w:val="40"/>
          <w:szCs w:val="40"/>
          <w:lang w:val="en-US" w:eastAsia="zh-CN"/>
        </w:rPr>
      </w:pPr>
      <w:r>
        <w:rPr>
          <w:rFonts w:hint="default"/>
          <w:b/>
          <w:bCs/>
          <w:i w:val="0"/>
          <w:iCs w:val="0"/>
          <w:sz w:val="40"/>
          <w:szCs w:val="40"/>
          <w:lang w:val="en-US" w:eastAsia="zh-CN"/>
        </w:rPr>
        <w:t>新密市2024年新型经营主体设施种植条件改善项目</w:t>
      </w:r>
    </w:p>
    <w:p>
      <w:pPr>
        <w:jc w:val="center"/>
        <w:rPr>
          <w:rFonts w:hint="default"/>
          <w:b/>
          <w:bCs/>
          <w:i w:val="0"/>
          <w:iCs w:val="0"/>
          <w:sz w:val="40"/>
          <w:szCs w:val="40"/>
          <w:lang w:val="en-US" w:eastAsia="zh-CN"/>
        </w:rPr>
      </w:pPr>
      <w:r>
        <w:rPr>
          <w:rFonts w:hint="default"/>
          <w:b/>
          <w:bCs/>
          <w:i w:val="0"/>
          <w:iCs w:val="0"/>
          <w:sz w:val="40"/>
          <w:szCs w:val="40"/>
          <w:lang w:val="en-US" w:eastAsia="zh-CN"/>
        </w:rPr>
        <w:t>（</w:t>
      </w:r>
      <w:r>
        <w:rPr>
          <w:rFonts w:hint="eastAsia"/>
          <w:b/>
          <w:bCs/>
          <w:i w:val="0"/>
          <w:iCs w:val="0"/>
          <w:sz w:val="40"/>
          <w:szCs w:val="40"/>
          <w:lang w:val="en-US" w:eastAsia="zh-CN"/>
        </w:rPr>
        <w:t>第一</w:t>
      </w:r>
      <w:r>
        <w:rPr>
          <w:rFonts w:hint="default"/>
          <w:b/>
          <w:bCs/>
          <w:i w:val="0"/>
          <w:iCs w:val="0"/>
          <w:sz w:val="40"/>
          <w:szCs w:val="40"/>
          <w:lang w:val="en-US" w:eastAsia="zh-CN"/>
        </w:rPr>
        <w:t>标段）</w:t>
      </w:r>
    </w:p>
    <w:p>
      <w:pPr>
        <w:jc w:val="center"/>
        <w:rPr>
          <w:rFonts w:hint="default"/>
          <w:i w:val="0"/>
          <w:iCs w:val="0"/>
          <w:lang w:val="en-US" w:eastAsia="zh-CN"/>
        </w:rPr>
      </w:pPr>
    </w:p>
    <w:p>
      <w:pPr>
        <w:spacing w:line="360" w:lineRule="auto"/>
        <w:jc w:val="center"/>
        <w:rPr>
          <w:rFonts w:hint="default"/>
          <w:b/>
          <w:bCs/>
          <w:i w:val="0"/>
          <w:iCs w:val="0"/>
          <w:sz w:val="44"/>
          <w:szCs w:val="44"/>
          <w:lang w:val="en-US" w:eastAsia="zh-CN"/>
        </w:rPr>
      </w:pPr>
      <w:r>
        <w:rPr>
          <w:rFonts w:hint="default"/>
          <w:b/>
          <w:bCs/>
          <w:i w:val="0"/>
          <w:iCs w:val="0"/>
          <w:sz w:val="44"/>
          <w:szCs w:val="44"/>
          <w:lang w:val="en-US" w:eastAsia="zh-CN"/>
        </w:rPr>
        <w:t>竞争性磋商文件</w:t>
      </w:r>
    </w:p>
    <w:p>
      <w:pPr>
        <w:jc w:val="center"/>
        <w:rPr>
          <w:rFonts w:hint="default"/>
          <w:i w:val="0"/>
          <w:iCs w:val="0"/>
          <w:lang w:val="en-US" w:eastAsia="zh-CN"/>
        </w:rPr>
      </w:pPr>
      <w:r>
        <w:rPr>
          <w:rFonts w:hint="default"/>
          <w:i w:val="0"/>
          <w:iCs w:val="0"/>
          <w:lang w:val="en-US" w:eastAsia="zh-CN"/>
        </w:rPr>
        <w:t>项目编号：新密磋商采购-2025-</w:t>
      </w:r>
      <w:r>
        <w:rPr>
          <w:rFonts w:hint="eastAsia"/>
          <w:i w:val="0"/>
          <w:iCs w:val="0"/>
          <w:lang w:val="en-US" w:eastAsia="zh-CN"/>
        </w:rPr>
        <w:t>13</w:t>
      </w:r>
    </w:p>
    <w:p>
      <w:pPr>
        <w:rPr>
          <w:rFonts w:hint="default"/>
          <w:i/>
          <w:iCs/>
          <w:lang w:val="en-US" w:eastAsia="zh-CN"/>
        </w:rPr>
      </w:pPr>
    </w:p>
    <w:p>
      <w:pPr>
        <w:rPr>
          <w:rFonts w:hint="default"/>
          <w:i/>
          <w:iCs/>
          <w:lang w:val="en-US" w:eastAsia="zh-CN"/>
        </w:rPr>
      </w:pPr>
    </w:p>
    <w:p>
      <w:pPr>
        <w:rPr>
          <w:rFonts w:hint="default"/>
          <w:i/>
          <w:iCs/>
          <w:lang w:val="en-US" w:eastAsia="zh-CN"/>
        </w:rPr>
      </w:pPr>
      <w:r>
        <w:rPr>
          <w:rFonts w:hint="default"/>
          <w:i/>
          <w:iCs/>
          <w:lang w:val="en-US" w:eastAsia="zh-CN"/>
        </w:rPr>
        <w:drawing>
          <wp:anchor distT="0" distB="0" distL="114300" distR="114300" simplePos="0" relativeHeight="251659264" behindDoc="0" locked="0" layoutInCell="1" allowOverlap="1">
            <wp:simplePos x="0" y="0"/>
            <wp:positionH relativeFrom="column">
              <wp:posOffset>2052955</wp:posOffset>
            </wp:positionH>
            <wp:positionV relativeFrom="paragraph">
              <wp:posOffset>71120</wp:posOffset>
            </wp:positionV>
            <wp:extent cx="1947545" cy="1755140"/>
            <wp:effectExtent l="0" t="0" r="8255" b="1016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tretch>
                      <a:fillRect/>
                    </a:stretch>
                  </pic:blipFill>
                  <pic:spPr>
                    <a:xfrm>
                      <a:off x="0" y="0"/>
                      <a:ext cx="1947545" cy="1755140"/>
                    </a:xfrm>
                    <a:prstGeom prst="rect">
                      <a:avLst/>
                    </a:prstGeom>
                    <a:noFill/>
                    <a:ln>
                      <a:noFill/>
                    </a:ln>
                  </pic:spPr>
                </pic:pic>
              </a:graphicData>
            </a:graphic>
          </wp:anchor>
        </w:drawing>
      </w:r>
    </w:p>
    <w:p>
      <w:pPr>
        <w:rPr>
          <w:rFonts w:hint="default"/>
          <w:i/>
          <w:iCs/>
          <w:lang w:val="en-US" w:eastAsia="zh-CN"/>
        </w:rPr>
      </w:pPr>
    </w:p>
    <w:p>
      <w:pPr>
        <w:rPr>
          <w:rFonts w:hint="default"/>
          <w:i/>
          <w:iCs/>
          <w:lang w:val="en-US" w:eastAsia="zh-CN"/>
        </w:rPr>
      </w:pPr>
    </w:p>
    <w:p>
      <w:pPr>
        <w:rPr>
          <w:rFonts w:hint="default"/>
          <w:i/>
          <w:iCs/>
          <w:lang w:val="en-US" w:eastAsia="zh-CN"/>
        </w:rPr>
      </w:pPr>
      <w:r>
        <w:rPr>
          <w:rFonts w:hint="default"/>
          <w:i/>
          <w:iCs/>
          <w:lang w:val="en-US" w:eastAsia="zh-CN"/>
        </w:rPr>
        <w:t xml:space="preserve">                  </w:t>
      </w:r>
    </w:p>
    <w:p>
      <w:pPr>
        <w:rPr>
          <w:rFonts w:hint="default"/>
          <w:i/>
          <w:iCs/>
          <w:lang w:val="en-US" w:eastAsia="zh-CN"/>
        </w:rPr>
      </w:pPr>
    </w:p>
    <w:p>
      <w:pPr>
        <w:rPr>
          <w:rFonts w:hint="default"/>
          <w:i/>
          <w:iCs/>
          <w:lang w:val="en-US" w:eastAsia="zh-CN"/>
        </w:rPr>
      </w:pPr>
    </w:p>
    <w:p>
      <w:pPr>
        <w:rPr>
          <w:rFonts w:hint="default"/>
          <w:i/>
          <w:iCs/>
          <w:lang w:val="en-US" w:eastAsia="zh-CN"/>
        </w:rPr>
      </w:pPr>
      <w:r>
        <w:rPr>
          <w:rFonts w:hint="default"/>
          <w:i/>
          <w:iCs/>
          <w:lang w:val="en-US" w:eastAsia="zh-CN"/>
        </w:rPr>
        <w:tab/>
      </w:r>
    </w:p>
    <w:p>
      <w:pPr>
        <w:rPr>
          <w:rFonts w:hint="default"/>
          <w:i/>
          <w:iCs/>
          <w:lang w:val="en-US" w:eastAsia="zh-CN"/>
        </w:rPr>
      </w:pPr>
      <w:r>
        <w:rPr>
          <w:rFonts w:hint="default"/>
          <w:i/>
          <w:iCs/>
          <w:lang w:val="en-US" w:eastAsia="zh-CN"/>
        </w:rPr>
        <w:t xml:space="preserve">         </w:t>
      </w:r>
    </w:p>
    <w:p>
      <w:pPr>
        <w:rPr>
          <w:rFonts w:hint="default"/>
          <w:i/>
          <w:iCs/>
          <w:lang w:val="en-US" w:eastAsia="zh-CN"/>
        </w:rPr>
      </w:pPr>
    </w:p>
    <w:p>
      <w:pPr>
        <w:pStyle w:val="2"/>
        <w:rPr>
          <w:rFonts w:hint="default"/>
          <w:lang w:val="en-US" w:eastAsia="zh-CN"/>
        </w:rPr>
      </w:pPr>
    </w:p>
    <w:tbl>
      <w:tblPr>
        <w:tblStyle w:val="29"/>
        <w:tblW w:w="0" w:type="auto"/>
        <w:jc w:val="center"/>
        <w:tblLayout w:type="fixed"/>
        <w:tblCellMar>
          <w:top w:w="0" w:type="dxa"/>
          <w:left w:w="108" w:type="dxa"/>
          <w:bottom w:w="0" w:type="dxa"/>
          <w:right w:w="108" w:type="dxa"/>
        </w:tblCellMar>
      </w:tblPr>
      <w:tblGrid>
        <w:gridCol w:w="2069"/>
        <w:gridCol w:w="5205"/>
      </w:tblGrid>
      <w:tr>
        <w:trPr>
          <w:jc w:val="center"/>
        </w:trPr>
        <w:tc>
          <w:tcPr>
            <w:tcW w:w="2069" w:type="dxa"/>
            <w:noWrap w:val="0"/>
            <w:vAlign w:val="top"/>
          </w:tcPr>
          <w:p>
            <w:pPr>
              <w:pStyle w:val="15"/>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采 购 人：</w:t>
            </w:r>
          </w:p>
        </w:tc>
        <w:tc>
          <w:tcPr>
            <w:tcW w:w="5205" w:type="dxa"/>
            <w:noWrap w:val="0"/>
            <w:vAlign w:val="top"/>
          </w:tcPr>
          <w:p>
            <w:pPr>
              <w:pStyle w:val="15"/>
              <w:spacing w:line="360" w:lineRule="auto"/>
              <w:jc w:val="distribute"/>
              <w:rPr>
                <w:rFonts w:ascii="Times New Roman" w:hAnsi="Times New Roman" w:eastAsia="楷体"/>
                <w:b/>
                <w:bCs/>
                <w:color w:val="000000"/>
                <w:sz w:val="28"/>
                <w:highlight w:val="none"/>
              </w:rPr>
            </w:pPr>
            <w:r>
              <w:rPr>
                <w:rFonts w:hint="eastAsia" w:ascii="Times New Roman" w:hAnsi="Times New Roman" w:eastAsia="楷体"/>
                <w:b/>
                <w:bCs/>
                <w:color w:val="000000"/>
                <w:sz w:val="28"/>
                <w:highlight w:val="none"/>
                <w:lang w:eastAsia="zh-CN"/>
              </w:rPr>
              <w:t>新密市农业农村局</w:t>
            </w:r>
          </w:p>
        </w:tc>
      </w:tr>
      <w:tr>
        <w:tblPrEx>
          <w:tblCellMar>
            <w:top w:w="0" w:type="dxa"/>
            <w:left w:w="108" w:type="dxa"/>
            <w:bottom w:w="0" w:type="dxa"/>
            <w:right w:w="108" w:type="dxa"/>
          </w:tblCellMar>
        </w:tblPrEx>
        <w:trPr>
          <w:jc w:val="center"/>
        </w:trPr>
        <w:tc>
          <w:tcPr>
            <w:tcW w:w="2069" w:type="dxa"/>
            <w:noWrap w:val="0"/>
            <w:vAlign w:val="top"/>
          </w:tcPr>
          <w:p>
            <w:pPr>
              <w:pStyle w:val="15"/>
              <w:spacing w:line="360" w:lineRule="auto"/>
              <w:jc w:val="distribute"/>
              <w:rPr>
                <w:rFonts w:ascii="Times New Roman" w:hAnsi="Times New Roman" w:eastAsia="楷体"/>
                <w:b/>
                <w:bCs/>
                <w:color w:val="000000"/>
                <w:sz w:val="28"/>
                <w:highlight w:val="none"/>
              </w:rPr>
            </w:pPr>
            <w:r>
              <w:rPr>
                <w:rFonts w:hint="eastAsia" w:ascii="Times New Roman" w:hAnsi="Times New Roman" w:eastAsia="楷体"/>
                <w:b/>
                <w:bCs/>
                <w:color w:val="000000"/>
                <w:sz w:val="28"/>
                <w:highlight w:val="none"/>
              </w:rPr>
              <w:t>采购</w:t>
            </w:r>
            <w:r>
              <w:rPr>
                <w:rFonts w:ascii="Times New Roman" w:hAnsi="Times New Roman" w:eastAsia="楷体"/>
                <w:b/>
                <w:bCs/>
                <w:color w:val="000000"/>
                <w:sz w:val="28"/>
                <w:highlight w:val="none"/>
              </w:rPr>
              <w:t>代理机构：</w:t>
            </w:r>
          </w:p>
        </w:tc>
        <w:tc>
          <w:tcPr>
            <w:tcW w:w="5205" w:type="dxa"/>
            <w:noWrap w:val="0"/>
            <w:vAlign w:val="top"/>
          </w:tcPr>
          <w:p>
            <w:pPr>
              <w:spacing w:line="360" w:lineRule="auto"/>
              <w:jc w:val="distribute"/>
              <w:rPr>
                <w:rFonts w:hint="eastAsia" w:ascii="Times New Roman" w:eastAsia="楷体"/>
                <w:b/>
                <w:bCs/>
                <w:color w:val="000000"/>
                <w:sz w:val="28"/>
                <w:highlight w:val="none"/>
                <w:lang w:eastAsia="zh-CN"/>
              </w:rPr>
            </w:pPr>
            <w:r>
              <w:rPr>
                <w:rFonts w:hint="eastAsia" w:ascii="Times New Roman" w:eastAsia="楷体"/>
                <w:b/>
                <w:bCs/>
                <w:color w:val="000000"/>
                <w:sz w:val="28"/>
                <w:highlight w:val="none"/>
                <w:lang w:eastAsia="zh-CN"/>
              </w:rPr>
              <w:t>河南省亿达工程管理咨询有限公司</w:t>
            </w:r>
          </w:p>
        </w:tc>
      </w:tr>
      <w:tr>
        <w:tblPrEx>
          <w:tblCellMar>
            <w:top w:w="0" w:type="dxa"/>
            <w:left w:w="108" w:type="dxa"/>
            <w:bottom w:w="0" w:type="dxa"/>
            <w:right w:w="108" w:type="dxa"/>
          </w:tblCellMar>
        </w:tblPrEx>
        <w:trPr>
          <w:jc w:val="center"/>
        </w:trPr>
        <w:tc>
          <w:tcPr>
            <w:tcW w:w="2069" w:type="dxa"/>
            <w:noWrap w:val="0"/>
            <w:vAlign w:val="top"/>
          </w:tcPr>
          <w:p>
            <w:pPr>
              <w:pStyle w:val="15"/>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日    期：</w:t>
            </w:r>
          </w:p>
        </w:tc>
        <w:tc>
          <w:tcPr>
            <w:tcW w:w="5205" w:type="dxa"/>
            <w:noWrap w:val="0"/>
            <w:vAlign w:val="top"/>
          </w:tcPr>
          <w:p>
            <w:pPr>
              <w:pStyle w:val="15"/>
              <w:spacing w:line="360" w:lineRule="auto"/>
              <w:jc w:val="distribute"/>
              <w:rPr>
                <w:rFonts w:ascii="Times New Roman" w:hAnsi="Times New Roman" w:eastAsia="楷体"/>
                <w:b/>
                <w:bCs/>
                <w:color w:val="000000"/>
                <w:sz w:val="28"/>
                <w:highlight w:val="none"/>
              </w:rPr>
            </w:pPr>
            <w:r>
              <w:rPr>
                <w:rFonts w:ascii="Times New Roman" w:hAnsi="Times New Roman" w:eastAsia="楷体"/>
                <w:b/>
                <w:bCs/>
                <w:color w:val="000000"/>
                <w:sz w:val="28"/>
                <w:highlight w:val="none"/>
              </w:rPr>
              <w:t>二零</w:t>
            </w:r>
            <w:r>
              <w:rPr>
                <w:rFonts w:hint="eastAsia" w:ascii="Times New Roman" w:hAnsi="Times New Roman" w:eastAsia="楷体"/>
                <w:b/>
                <w:bCs/>
                <w:color w:val="000000"/>
                <w:sz w:val="28"/>
                <w:highlight w:val="none"/>
              </w:rPr>
              <w:t>二</w:t>
            </w:r>
            <w:r>
              <w:rPr>
                <w:rFonts w:hint="eastAsia" w:ascii="Times New Roman" w:hAnsi="Times New Roman" w:eastAsia="楷体"/>
                <w:b/>
                <w:bCs/>
                <w:color w:val="000000"/>
                <w:sz w:val="28"/>
                <w:highlight w:val="none"/>
                <w:lang w:val="en-US" w:eastAsia="zh-CN"/>
              </w:rPr>
              <w:t>五</w:t>
            </w:r>
            <w:r>
              <w:rPr>
                <w:rFonts w:ascii="Times New Roman" w:hAnsi="Times New Roman" w:eastAsia="楷体"/>
                <w:b/>
                <w:bCs/>
                <w:color w:val="000000"/>
                <w:sz w:val="28"/>
                <w:highlight w:val="none"/>
              </w:rPr>
              <w:t>年</w:t>
            </w:r>
            <w:r>
              <w:rPr>
                <w:rFonts w:hint="eastAsia" w:ascii="Times New Roman" w:hAnsi="Times New Roman" w:eastAsia="楷体"/>
                <w:b/>
                <w:bCs/>
                <w:color w:val="000000"/>
                <w:sz w:val="28"/>
                <w:highlight w:val="none"/>
                <w:lang w:val="en-US" w:eastAsia="zh-CN"/>
              </w:rPr>
              <w:t>三</w:t>
            </w:r>
            <w:r>
              <w:rPr>
                <w:rFonts w:ascii="Times New Roman" w:hAnsi="Times New Roman" w:eastAsia="楷体"/>
                <w:b/>
                <w:bCs/>
                <w:color w:val="000000"/>
                <w:sz w:val="28"/>
                <w:highlight w:val="none"/>
              </w:rPr>
              <w:t>月</w:t>
            </w:r>
          </w:p>
        </w:tc>
      </w:tr>
    </w:tbl>
    <w:p>
      <w:pPr>
        <w:rPr>
          <w:rFonts w:hint="default"/>
          <w:i/>
          <w:iCs/>
          <w:lang w:val="en-US" w:eastAsia="zh-CN"/>
        </w:rPr>
      </w:pPr>
    </w:p>
    <w:p>
      <w:pPr>
        <w:jc w:val="center"/>
        <w:rPr>
          <w:rFonts w:hint="default"/>
          <w:b/>
          <w:bCs/>
          <w:lang w:val="en-US" w:eastAsia="zh-CN"/>
        </w:rPr>
      </w:pPr>
    </w:p>
    <w:sdt>
      <w:sdtPr>
        <w:rPr>
          <w:b/>
          <w:bCs/>
          <w:lang w:val="en-US" w:eastAsia="zh-CN"/>
        </w:rPr>
        <w:id w:val="147475590"/>
        <w15:color w:val="DBDBDB"/>
        <w:docPartObj>
          <w:docPartGallery w:val="Table of Contents"/>
          <w:docPartUnique/>
        </w:docPartObj>
      </w:sdtPr>
      <w:sdtEndPr>
        <w:rPr>
          <w:b/>
          <w:bCs/>
          <w:lang w:val="en-US" w:eastAsia="zh-CN"/>
        </w:rPr>
      </w:sdtEndPr>
      <w:sdtContent>
        <w:p>
          <w:pPr>
            <w:jc w:val="center"/>
            <w:rPr>
              <w:b/>
              <w:bCs/>
            </w:rPr>
          </w:pPr>
          <w:bookmarkStart w:id="0" w:name="_Toc31023"/>
          <w:r>
            <w:rPr>
              <w:b/>
              <w:bCs/>
            </w:rPr>
            <w:t>目录</w:t>
          </w:r>
        </w:p>
        <w:p>
          <w:pPr>
            <w:pStyle w:val="20"/>
            <w:tabs>
              <w:tab w:val="right" w:leader="dot" w:pos="9740"/>
            </w:tabs>
          </w:pPr>
          <w:r>
            <w:fldChar w:fldCharType="begin"/>
          </w:r>
          <w:r>
            <w:instrText xml:space="preserve">TOC \o "1-3" \h \u </w:instrText>
          </w:r>
          <w:r>
            <w:fldChar w:fldCharType="separate"/>
          </w:r>
          <w:r>
            <w:fldChar w:fldCharType="begin"/>
          </w:r>
          <w:r>
            <w:instrText xml:space="preserve"> HYPERLINK \l _Toc12944 </w:instrText>
          </w:r>
          <w:r>
            <w:fldChar w:fldCharType="separate"/>
          </w:r>
          <w:r>
            <w:rPr>
              <w:rFonts w:hint="default"/>
              <w:bCs/>
              <w:lang w:val="en-US" w:eastAsia="zh-CN"/>
            </w:rPr>
            <w:t>第一章 竞争性磋商公告</w:t>
          </w:r>
          <w:r>
            <w:tab/>
          </w:r>
          <w:r>
            <w:fldChar w:fldCharType="begin"/>
          </w:r>
          <w:r>
            <w:instrText xml:space="preserve"> PAGEREF _Toc12944 \h </w:instrText>
          </w:r>
          <w:r>
            <w:fldChar w:fldCharType="separate"/>
          </w:r>
          <w:r>
            <w:t>- 3 -</w:t>
          </w:r>
          <w:r>
            <w:fldChar w:fldCharType="end"/>
          </w:r>
          <w:r>
            <w:fldChar w:fldCharType="end"/>
          </w:r>
        </w:p>
        <w:p>
          <w:pPr>
            <w:pStyle w:val="20"/>
            <w:tabs>
              <w:tab w:val="right" w:leader="dot" w:pos="9740"/>
            </w:tabs>
          </w:pPr>
          <w:r>
            <w:fldChar w:fldCharType="begin"/>
          </w:r>
          <w:r>
            <w:instrText xml:space="preserve"> HYPERLINK \l _Toc14684 </w:instrText>
          </w:r>
          <w:r>
            <w:fldChar w:fldCharType="separate"/>
          </w:r>
          <w:r>
            <w:rPr>
              <w:rFonts w:hint="default"/>
              <w:bCs/>
              <w:lang w:val="en-US" w:eastAsia="zh-CN"/>
            </w:rPr>
            <w:t>第二章 供应商须知</w:t>
          </w:r>
          <w:r>
            <w:tab/>
          </w:r>
          <w:r>
            <w:fldChar w:fldCharType="begin"/>
          </w:r>
          <w:r>
            <w:instrText xml:space="preserve"> PAGEREF _Toc14684 \h </w:instrText>
          </w:r>
          <w:r>
            <w:fldChar w:fldCharType="separate"/>
          </w:r>
          <w:r>
            <w:t>- 11 -</w:t>
          </w:r>
          <w:r>
            <w:fldChar w:fldCharType="end"/>
          </w:r>
          <w:r>
            <w:fldChar w:fldCharType="end"/>
          </w:r>
        </w:p>
        <w:p>
          <w:pPr>
            <w:pStyle w:val="20"/>
            <w:tabs>
              <w:tab w:val="right" w:leader="dot" w:pos="9740"/>
            </w:tabs>
          </w:pPr>
          <w:r>
            <w:fldChar w:fldCharType="begin"/>
          </w:r>
          <w:r>
            <w:instrText xml:space="preserve"> HYPERLINK \l _Toc31537 </w:instrText>
          </w:r>
          <w:r>
            <w:fldChar w:fldCharType="separate"/>
          </w:r>
          <w:r>
            <w:rPr>
              <w:rFonts w:hint="default"/>
              <w:bCs/>
              <w:lang w:val="en-US" w:eastAsia="zh-CN"/>
            </w:rPr>
            <w:t>第三章 评审办法（综合评分法）</w:t>
          </w:r>
          <w:r>
            <w:tab/>
          </w:r>
          <w:r>
            <w:fldChar w:fldCharType="begin"/>
          </w:r>
          <w:r>
            <w:instrText xml:space="preserve"> PAGEREF _Toc31537 \h </w:instrText>
          </w:r>
          <w:r>
            <w:fldChar w:fldCharType="separate"/>
          </w:r>
          <w:r>
            <w:t>- 30 -</w:t>
          </w:r>
          <w:r>
            <w:fldChar w:fldCharType="end"/>
          </w:r>
          <w:r>
            <w:fldChar w:fldCharType="end"/>
          </w:r>
        </w:p>
        <w:p>
          <w:pPr>
            <w:pStyle w:val="20"/>
            <w:tabs>
              <w:tab w:val="right" w:leader="dot" w:pos="9740"/>
            </w:tabs>
          </w:pPr>
          <w:r>
            <w:fldChar w:fldCharType="begin"/>
          </w:r>
          <w:r>
            <w:instrText xml:space="preserve"> HYPERLINK \l _Toc12219 </w:instrText>
          </w:r>
          <w:r>
            <w:fldChar w:fldCharType="separate"/>
          </w:r>
          <w:r>
            <w:rPr>
              <w:spacing w:val="-3"/>
              <w:highlight w:val="none"/>
            </w:rPr>
            <w:t>第四章 合同条款及格式</w:t>
          </w:r>
          <w:r>
            <w:tab/>
          </w:r>
          <w:r>
            <w:fldChar w:fldCharType="begin"/>
          </w:r>
          <w:r>
            <w:instrText xml:space="preserve"> PAGEREF _Toc12219 \h </w:instrText>
          </w:r>
          <w:r>
            <w:fldChar w:fldCharType="separate"/>
          </w:r>
          <w:r>
            <w:t>- 40 -</w:t>
          </w:r>
          <w:r>
            <w:fldChar w:fldCharType="end"/>
          </w:r>
          <w:r>
            <w:fldChar w:fldCharType="end"/>
          </w:r>
        </w:p>
        <w:p>
          <w:pPr>
            <w:pStyle w:val="22"/>
            <w:tabs>
              <w:tab w:val="right" w:leader="dot" w:pos="9740"/>
            </w:tabs>
          </w:pPr>
          <w:r>
            <w:fldChar w:fldCharType="begin"/>
          </w:r>
          <w:r>
            <w:instrText xml:space="preserve"> HYPERLINK \l _Toc28143 </w:instrText>
          </w:r>
          <w:r>
            <w:fldChar w:fldCharType="separate"/>
          </w:r>
          <w:r>
            <w:rPr>
              <w:rFonts w:hint="eastAsia" w:ascii="仿宋" w:hAnsi="仿宋" w:eastAsia="仿宋" w:cs="仿宋"/>
              <w:szCs w:val="28"/>
              <w:highlight w:val="none"/>
            </w:rPr>
            <w:t>第一部分 合同协议书</w:t>
          </w:r>
          <w:r>
            <w:tab/>
          </w:r>
          <w:r>
            <w:fldChar w:fldCharType="begin"/>
          </w:r>
          <w:r>
            <w:instrText xml:space="preserve"> PAGEREF _Toc28143 \h </w:instrText>
          </w:r>
          <w:r>
            <w:fldChar w:fldCharType="separate"/>
          </w:r>
          <w:r>
            <w:t>- 40 -</w:t>
          </w:r>
          <w:r>
            <w:fldChar w:fldCharType="end"/>
          </w:r>
          <w:r>
            <w:fldChar w:fldCharType="end"/>
          </w:r>
        </w:p>
        <w:p>
          <w:pPr>
            <w:pStyle w:val="22"/>
            <w:tabs>
              <w:tab w:val="right" w:leader="dot" w:pos="9740"/>
            </w:tabs>
          </w:pPr>
          <w:r>
            <w:fldChar w:fldCharType="begin"/>
          </w:r>
          <w:r>
            <w:instrText xml:space="preserve"> HYPERLINK \l _Toc523 </w:instrText>
          </w:r>
          <w:r>
            <w:fldChar w:fldCharType="separate"/>
          </w:r>
          <w:r>
            <w:rPr>
              <w:rFonts w:hint="eastAsia" w:ascii="仿宋" w:hAnsi="仿宋" w:eastAsia="仿宋" w:cs="仿宋"/>
              <w:szCs w:val="28"/>
              <w:highlight w:val="none"/>
            </w:rPr>
            <w:t>第二部分 通用合同条款</w:t>
          </w:r>
          <w:r>
            <w:tab/>
          </w:r>
          <w:r>
            <w:fldChar w:fldCharType="begin"/>
          </w:r>
          <w:r>
            <w:instrText xml:space="preserve"> PAGEREF _Toc523 \h </w:instrText>
          </w:r>
          <w:r>
            <w:fldChar w:fldCharType="separate"/>
          </w:r>
          <w:r>
            <w:t>- 44 -</w:t>
          </w:r>
          <w:r>
            <w:fldChar w:fldCharType="end"/>
          </w:r>
          <w:r>
            <w:fldChar w:fldCharType="end"/>
          </w:r>
        </w:p>
        <w:p>
          <w:pPr>
            <w:pStyle w:val="22"/>
            <w:tabs>
              <w:tab w:val="right" w:leader="dot" w:pos="9740"/>
            </w:tabs>
          </w:pPr>
          <w:r>
            <w:fldChar w:fldCharType="begin"/>
          </w:r>
          <w:r>
            <w:instrText xml:space="preserve"> HYPERLINK \l _Toc29439 </w:instrText>
          </w:r>
          <w:r>
            <w:fldChar w:fldCharType="separate"/>
          </w:r>
          <w:r>
            <w:rPr>
              <w:rFonts w:hint="eastAsia" w:ascii="仿宋" w:hAnsi="仿宋" w:eastAsia="仿宋" w:cs="仿宋"/>
              <w:szCs w:val="28"/>
              <w:highlight w:val="none"/>
            </w:rPr>
            <w:t>第三部分 专用合同条款</w:t>
          </w:r>
          <w:r>
            <w:tab/>
          </w:r>
          <w:r>
            <w:fldChar w:fldCharType="begin"/>
          </w:r>
          <w:r>
            <w:instrText xml:space="preserve"> PAGEREF _Toc29439 \h </w:instrText>
          </w:r>
          <w:r>
            <w:fldChar w:fldCharType="separate"/>
          </w:r>
          <w:r>
            <w:t>- 45 -</w:t>
          </w:r>
          <w:r>
            <w:fldChar w:fldCharType="end"/>
          </w:r>
          <w:r>
            <w:fldChar w:fldCharType="end"/>
          </w:r>
        </w:p>
        <w:p>
          <w:pPr>
            <w:pStyle w:val="20"/>
            <w:tabs>
              <w:tab w:val="right" w:leader="dot" w:pos="9740"/>
            </w:tabs>
          </w:pPr>
          <w:r>
            <w:fldChar w:fldCharType="begin"/>
          </w:r>
          <w:r>
            <w:instrText xml:space="preserve"> HYPERLINK \l _Toc3065 </w:instrText>
          </w:r>
          <w:r>
            <w:fldChar w:fldCharType="separate"/>
          </w:r>
          <w:r>
            <w:rPr>
              <w:rFonts w:hint="default"/>
              <w:bCs/>
              <w:lang w:val="en-US" w:eastAsia="zh-CN"/>
            </w:rPr>
            <w:t>第五章 工程量清单</w:t>
          </w:r>
          <w:r>
            <w:rPr>
              <w:rFonts w:hint="eastAsia"/>
              <w:bCs/>
              <w:lang w:val="en-US" w:eastAsia="zh-CN"/>
            </w:rPr>
            <w:t>及图纸</w:t>
          </w:r>
          <w:r>
            <w:tab/>
          </w:r>
          <w:r>
            <w:fldChar w:fldCharType="begin"/>
          </w:r>
          <w:r>
            <w:instrText xml:space="preserve"> PAGEREF _Toc3065 \h </w:instrText>
          </w:r>
          <w:r>
            <w:fldChar w:fldCharType="separate"/>
          </w:r>
          <w:r>
            <w:t>- 67 -</w:t>
          </w:r>
          <w:r>
            <w:fldChar w:fldCharType="end"/>
          </w:r>
          <w:r>
            <w:fldChar w:fldCharType="end"/>
          </w:r>
        </w:p>
        <w:p>
          <w:pPr>
            <w:pStyle w:val="20"/>
            <w:tabs>
              <w:tab w:val="right" w:leader="dot" w:pos="9740"/>
            </w:tabs>
          </w:pPr>
          <w:r>
            <w:fldChar w:fldCharType="begin"/>
          </w:r>
          <w:r>
            <w:instrText xml:space="preserve"> HYPERLINK \l _Toc25214 </w:instrText>
          </w:r>
          <w:r>
            <w:fldChar w:fldCharType="separate"/>
          </w:r>
          <w:r>
            <w:rPr>
              <w:rFonts w:hint="default"/>
              <w:bCs/>
              <w:szCs w:val="32"/>
              <w:lang w:val="en-US" w:eastAsia="zh-CN"/>
            </w:rPr>
            <w:t>第六章 响应文件格式</w:t>
          </w:r>
          <w:r>
            <w:tab/>
          </w:r>
          <w:r>
            <w:fldChar w:fldCharType="begin"/>
          </w:r>
          <w:r>
            <w:instrText xml:space="preserve"> PAGEREF _Toc25214 \h </w:instrText>
          </w:r>
          <w:r>
            <w:fldChar w:fldCharType="separate"/>
          </w:r>
          <w:r>
            <w:t>- 68 -</w:t>
          </w:r>
          <w:r>
            <w:fldChar w:fldCharType="end"/>
          </w:r>
          <w:r>
            <w:fldChar w:fldCharType="end"/>
          </w:r>
        </w:p>
        <w:p>
          <w:r>
            <w:fldChar w:fldCharType="end"/>
          </w:r>
        </w:p>
      </w:sdtContent>
    </w:sdt>
    <w:p/>
    <w:p>
      <w:pPr>
        <w:rPr>
          <w:rFonts w:hint="default"/>
          <w:b/>
          <w:bCs/>
          <w:lang w:val="en-US" w:eastAsia="zh-CN"/>
        </w:rPr>
      </w:pPr>
      <w:r>
        <w:rPr>
          <w:rFonts w:hint="default"/>
          <w:b/>
          <w:bCs/>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lang w:val="en-US" w:eastAsia="zh-CN"/>
        </w:rPr>
      </w:pPr>
      <w:bookmarkStart w:id="1" w:name="_Toc12944"/>
      <w:r>
        <w:rPr>
          <w:rFonts w:hint="default"/>
          <w:b/>
          <w:bCs/>
          <w:lang w:val="en-US" w:eastAsia="zh-CN"/>
        </w:rPr>
        <w:t xml:space="preserve">第一章 </w:t>
      </w:r>
      <w:bookmarkEnd w:id="0"/>
      <w:r>
        <w:rPr>
          <w:rFonts w:hint="default"/>
          <w:b/>
          <w:bCs/>
          <w:lang w:val="en-US" w:eastAsia="zh-CN"/>
        </w:rPr>
        <w:t>竞争性磋商公告</w:t>
      </w:r>
      <w:bookmarkEnd w:id="1"/>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562" w:firstLineChars="200"/>
        <w:jc w:val="center"/>
        <w:textAlignment w:val="auto"/>
        <w:rPr>
          <w:rFonts w:hint="default" w:ascii="仿宋" w:hAnsi="仿宋" w:eastAsia="仿宋" w:cs="仿宋"/>
          <w:b/>
          <w:bCs/>
          <w:sz w:val="24"/>
          <w:szCs w:val="24"/>
          <w:lang w:val="en-US" w:eastAsia="zh-CN"/>
        </w:rPr>
      </w:pPr>
      <w:bookmarkStart w:id="2" w:name="_Toc19492"/>
      <w:r>
        <w:rPr>
          <w:rFonts w:hint="default" w:ascii="仿宋" w:hAnsi="仿宋" w:eastAsia="仿宋" w:cs="仿宋"/>
          <w:b/>
          <w:bCs/>
          <w:sz w:val="28"/>
          <w:szCs w:val="28"/>
          <w:lang w:val="en-US" w:eastAsia="zh-CN"/>
        </w:rPr>
        <w:t>新密市农业农村局新密市2024年新型经营主体设施种植条件改善项目竞争性磋商公告</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项目概况</w:t>
      </w:r>
      <w:bookmarkEnd w:id="2"/>
    </w:p>
    <w:p>
      <w:pPr>
        <w:keepNext w:val="0"/>
        <w:keepLines w:val="0"/>
        <w:pageBreakBefore w:val="0"/>
        <w:widowControl w:val="0"/>
        <w:kinsoku/>
        <w:wordWrap w:val="0"/>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新密市农业农村局新密市2024年新型经营主体设施种植条件改善项目招标项目的潜在投标人应在新密市公共资源交易中心网站（http://ggzyjy.xinmi.gov.cn/）获取招标文件，并于2025年04月14日10时00分（北京时间）前递交响应文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 w:name="_Toc20002"/>
      <w:r>
        <w:rPr>
          <w:rFonts w:hint="default"/>
          <w:b/>
          <w:bCs/>
          <w:lang w:val="en-US" w:eastAsia="zh-CN"/>
        </w:rPr>
        <w:t>一、项目基本情况</w:t>
      </w:r>
      <w:bookmarkEnd w:id="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4" w:name="_Toc22340"/>
      <w:r>
        <w:rPr>
          <w:rFonts w:hint="default"/>
          <w:lang w:val="en-US" w:eastAsia="zh-CN"/>
        </w:rPr>
        <w:t>1、项目编号：</w:t>
      </w:r>
      <w:bookmarkEnd w:id="4"/>
      <w:r>
        <w:rPr>
          <w:rFonts w:hint="default"/>
          <w:lang w:val="en-US" w:eastAsia="zh-CN"/>
        </w:rPr>
        <w:t>新密磋商采购-2025-</w:t>
      </w:r>
      <w:r>
        <w:rPr>
          <w:rFonts w:hint="eastAsia"/>
          <w:lang w:val="en-US" w:eastAsia="zh-CN"/>
        </w:rPr>
        <w:t>13</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5" w:name="_Toc20347"/>
      <w:r>
        <w:rPr>
          <w:rFonts w:hint="default"/>
          <w:lang w:val="en-US" w:eastAsia="zh-CN"/>
        </w:rPr>
        <w:t>2、项目名称：</w:t>
      </w:r>
      <w:bookmarkEnd w:id="5"/>
      <w:r>
        <w:rPr>
          <w:rFonts w:hint="default"/>
          <w:lang w:val="en-US" w:eastAsia="zh-CN"/>
        </w:rPr>
        <w:t>新密市农业农村局新密市2024年新型经营主体设施种植条件改善项目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6" w:name="_Toc10543"/>
      <w:r>
        <w:rPr>
          <w:rFonts w:hint="default"/>
          <w:lang w:val="en-US" w:eastAsia="zh-CN"/>
        </w:rPr>
        <w:t>3、采购方式：竞争性磋商</w:t>
      </w:r>
      <w:bookmarkEnd w:id="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7" w:name="_Toc7550"/>
      <w:r>
        <w:rPr>
          <w:rFonts w:hint="default"/>
          <w:lang w:val="en-US" w:eastAsia="zh-CN"/>
        </w:rPr>
        <w:t>4、预算金额：</w:t>
      </w:r>
      <w:r>
        <w:rPr>
          <w:rFonts w:hint="eastAsia"/>
          <w:lang w:val="en-US" w:eastAsia="zh-CN"/>
        </w:rPr>
        <w:t>1494016</w:t>
      </w:r>
      <w:r>
        <w:rPr>
          <w:rFonts w:hint="default"/>
          <w:lang w:val="en-US" w:eastAsia="zh-CN"/>
        </w:rPr>
        <w:t>元；</w:t>
      </w:r>
      <w:bookmarkEnd w:id="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最高限价：</w:t>
      </w:r>
      <w:r>
        <w:rPr>
          <w:rFonts w:hint="eastAsia"/>
          <w:lang w:val="en-US" w:eastAsia="zh-CN"/>
        </w:rPr>
        <w:t>1494016</w:t>
      </w:r>
      <w:r>
        <w:rPr>
          <w:rFonts w:hint="default"/>
          <w:lang w:val="en-US" w:eastAsia="zh-CN"/>
        </w:rPr>
        <w:t>元；</w:t>
      </w:r>
    </w:p>
    <w:tbl>
      <w:tblPr>
        <w:tblStyle w:val="90"/>
        <w:tblW w:w="96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2106"/>
        <w:gridCol w:w="1530"/>
        <w:gridCol w:w="1190"/>
        <w:gridCol w:w="1290"/>
        <w:gridCol w:w="1590"/>
        <w:gridCol w:w="11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trPr>
        <w:tc>
          <w:tcPr>
            <w:tcW w:w="774" w:type="dxa"/>
            <w:noWrap w:val="0"/>
            <w:vAlign w:val="center"/>
          </w:tcPr>
          <w:p>
            <w:pPr>
              <w:jc w:val="center"/>
              <w:rPr>
                <w:rFonts w:hint="default"/>
                <w:lang w:val="en-US" w:eastAsia="zh-CN"/>
              </w:rPr>
            </w:pPr>
            <w:r>
              <w:rPr>
                <w:rFonts w:hint="default"/>
                <w:lang w:val="en-US" w:eastAsia="zh-CN"/>
              </w:rPr>
              <w:t>序号</w:t>
            </w:r>
          </w:p>
        </w:tc>
        <w:tc>
          <w:tcPr>
            <w:tcW w:w="2106" w:type="dxa"/>
            <w:noWrap w:val="0"/>
            <w:vAlign w:val="center"/>
          </w:tcPr>
          <w:p>
            <w:pPr>
              <w:jc w:val="center"/>
              <w:rPr>
                <w:rFonts w:hint="default"/>
                <w:lang w:val="en-US" w:eastAsia="zh-CN"/>
              </w:rPr>
            </w:pPr>
            <w:r>
              <w:rPr>
                <w:rFonts w:hint="default"/>
                <w:lang w:val="en-US" w:eastAsia="zh-CN"/>
              </w:rPr>
              <w:t>包号</w:t>
            </w:r>
          </w:p>
        </w:tc>
        <w:tc>
          <w:tcPr>
            <w:tcW w:w="1530" w:type="dxa"/>
            <w:noWrap w:val="0"/>
            <w:vAlign w:val="center"/>
          </w:tcPr>
          <w:p>
            <w:pPr>
              <w:jc w:val="center"/>
              <w:rPr>
                <w:rFonts w:hint="default"/>
                <w:lang w:val="en-US" w:eastAsia="zh-CN"/>
              </w:rPr>
            </w:pPr>
            <w:r>
              <w:rPr>
                <w:rFonts w:hint="default"/>
                <w:lang w:val="en-US" w:eastAsia="zh-CN"/>
              </w:rPr>
              <w:t>包名称</w:t>
            </w:r>
          </w:p>
        </w:tc>
        <w:tc>
          <w:tcPr>
            <w:tcW w:w="1190" w:type="dxa"/>
            <w:noWrap w:val="0"/>
            <w:vAlign w:val="center"/>
          </w:tcPr>
          <w:p>
            <w:pPr>
              <w:jc w:val="center"/>
              <w:rPr>
                <w:rFonts w:hint="default"/>
                <w:lang w:val="en-US" w:eastAsia="zh-CN"/>
              </w:rPr>
            </w:pPr>
            <w:r>
              <w:rPr>
                <w:rFonts w:hint="default"/>
                <w:lang w:val="en-US" w:eastAsia="zh-CN"/>
              </w:rPr>
              <w:t>包预算（元）</w:t>
            </w:r>
          </w:p>
        </w:tc>
        <w:tc>
          <w:tcPr>
            <w:tcW w:w="1290" w:type="dxa"/>
            <w:noWrap w:val="0"/>
            <w:vAlign w:val="center"/>
          </w:tcPr>
          <w:p>
            <w:pPr>
              <w:jc w:val="center"/>
              <w:rPr>
                <w:rFonts w:hint="default"/>
                <w:lang w:val="en-US" w:eastAsia="zh-CN"/>
              </w:rPr>
            </w:pPr>
            <w:r>
              <w:rPr>
                <w:rFonts w:hint="default"/>
                <w:lang w:val="en-US" w:eastAsia="zh-CN"/>
              </w:rPr>
              <w:t>包最高限价（元）</w:t>
            </w:r>
          </w:p>
        </w:tc>
        <w:tc>
          <w:tcPr>
            <w:tcW w:w="1590" w:type="dxa"/>
            <w:noWrap w:val="0"/>
            <w:vAlign w:val="center"/>
          </w:tcPr>
          <w:p>
            <w:pPr>
              <w:jc w:val="center"/>
              <w:rPr>
                <w:rFonts w:hint="default"/>
                <w:lang w:val="en-US" w:eastAsia="zh-CN"/>
              </w:rPr>
            </w:pPr>
            <w:r>
              <w:rPr>
                <w:rFonts w:hint="default"/>
                <w:lang w:val="en-US" w:eastAsia="zh-CN"/>
              </w:rPr>
              <w:t>是否专门面向中小企业</w:t>
            </w:r>
          </w:p>
        </w:tc>
        <w:tc>
          <w:tcPr>
            <w:tcW w:w="1177" w:type="dxa"/>
            <w:noWrap w:val="0"/>
            <w:vAlign w:val="center"/>
          </w:tcPr>
          <w:p>
            <w:pPr>
              <w:jc w:val="center"/>
              <w:rPr>
                <w:rFonts w:hint="default"/>
                <w:lang w:val="en-US" w:eastAsia="zh-CN"/>
              </w:rPr>
            </w:pPr>
            <w:r>
              <w:rPr>
                <w:rFonts w:hint="default"/>
                <w:lang w:val="en-US" w:eastAsia="zh-CN"/>
              </w:rPr>
              <w:t>采购预留金额（元）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774" w:type="dxa"/>
            <w:noWrap w:val="0"/>
            <w:vAlign w:val="center"/>
          </w:tcPr>
          <w:p>
            <w:pPr>
              <w:jc w:val="center"/>
              <w:rPr>
                <w:rFonts w:hint="default"/>
                <w:lang w:val="en-US" w:eastAsia="zh-CN"/>
              </w:rPr>
            </w:pPr>
            <w:r>
              <w:rPr>
                <w:rFonts w:hint="default"/>
                <w:lang w:val="en-US" w:eastAsia="zh-CN"/>
              </w:rPr>
              <w:t>1</w:t>
            </w:r>
          </w:p>
        </w:tc>
        <w:tc>
          <w:tcPr>
            <w:tcW w:w="2106" w:type="dxa"/>
            <w:noWrap w:val="0"/>
            <w:vAlign w:val="center"/>
          </w:tcPr>
          <w:p>
            <w:pPr>
              <w:jc w:val="center"/>
              <w:rPr>
                <w:rFonts w:hint="default"/>
                <w:lang w:val="en-US" w:eastAsia="zh-CN"/>
              </w:rPr>
            </w:pPr>
            <w:r>
              <w:rPr>
                <w:rFonts w:hint="eastAsia"/>
                <w:lang w:val="en-US" w:eastAsia="zh-CN"/>
              </w:rPr>
              <w:t>新密磋商采购-2025-13-1</w:t>
            </w:r>
          </w:p>
        </w:tc>
        <w:tc>
          <w:tcPr>
            <w:tcW w:w="1530" w:type="dxa"/>
            <w:noWrap w:val="0"/>
            <w:vAlign w:val="center"/>
          </w:tcPr>
          <w:p>
            <w:pPr>
              <w:jc w:val="center"/>
              <w:rPr>
                <w:rFonts w:hint="default"/>
                <w:lang w:val="en-US" w:eastAsia="zh-CN"/>
              </w:rPr>
            </w:pPr>
            <w:r>
              <w:rPr>
                <w:rFonts w:hint="default"/>
                <w:lang w:val="en-US" w:eastAsia="zh-CN"/>
              </w:rPr>
              <w:t>第一标段</w:t>
            </w:r>
          </w:p>
        </w:tc>
        <w:tc>
          <w:tcPr>
            <w:tcW w:w="1190" w:type="dxa"/>
            <w:noWrap w:val="0"/>
            <w:vAlign w:val="center"/>
          </w:tcPr>
          <w:p>
            <w:pPr>
              <w:jc w:val="center"/>
              <w:rPr>
                <w:rFonts w:hint="default"/>
                <w:lang w:val="en-US" w:eastAsia="zh-CN"/>
              </w:rPr>
            </w:pPr>
            <w:r>
              <w:rPr>
                <w:rFonts w:hint="default"/>
                <w:lang w:val="en-US" w:eastAsia="zh-CN"/>
              </w:rPr>
              <w:t>454956</w:t>
            </w:r>
          </w:p>
        </w:tc>
        <w:tc>
          <w:tcPr>
            <w:tcW w:w="1290" w:type="dxa"/>
            <w:noWrap w:val="0"/>
            <w:vAlign w:val="center"/>
          </w:tcPr>
          <w:p>
            <w:pPr>
              <w:jc w:val="center"/>
              <w:rPr>
                <w:rFonts w:hint="default"/>
                <w:lang w:val="en-US" w:eastAsia="zh-CN"/>
              </w:rPr>
            </w:pPr>
            <w:r>
              <w:rPr>
                <w:rFonts w:hint="default"/>
                <w:lang w:val="en-US" w:eastAsia="zh-CN"/>
              </w:rPr>
              <w:t>454956</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454956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6" w:hRule="atLeast"/>
        </w:trPr>
        <w:tc>
          <w:tcPr>
            <w:tcW w:w="774" w:type="dxa"/>
            <w:noWrap w:val="0"/>
            <w:vAlign w:val="center"/>
          </w:tcPr>
          <w:p>
            <w:pPr>
              <w:jc w:val="center"/>
              <w:rPr>
                <w:rFonts w:hint="default"/>
                <w:lang w:val="en-US" w:eastAsia="zh-CN"/>
              </w:rPr>
            </w:pPr>
            <w:bookmarkStart w:id="8" w:name="_Toc8963"/>
            <w:r>
              <w:rPr>
                <w:rFonts w:hint="default"/>
                <w:lang w:val="en-US" w:eastAsia="zh-CN"/>
              </w:rPr>
              <w:t>2</w:t>
            </w:r>
          </w:p>
        </w:tc>
        <w:tc>
          <w:tcPr>
            <w:tcW w:w="2106" w:type="dxa"/>
            <w:noWrap w:val="0"/>
            <w:vAlign w:val="center"/>
          </w:tcPr>
          <w:p>
            <w:pPr>
              <w:jc w:val="center"/>
              <w:rPr>
                <w:rFonts w:hint="default"/>
                <w:lang w:val="en-US" w:eastAsia="zh-CN"/>
              </w:rPr>
            </w:pPr>
            <w:r>
              <w:rPr>
                <w:rFonts w:hint="eastAsia"/>
                <w:lang w:val="en-US" w:eastAsia="zh-CN"/>
              </w:rPr>
              <w:t>新密磋商采购-2025-13-2</w:t>
            </w:r>
          </w:p>
        </w:tc>
        <w:tc>
          <w:tcPr>
            <w:tcW w:w="1530" w:type="dxa"/>
            <w:noWrap w:val="0"/>
            <w:vAlign w:val="center"/>
          </w:tcPr>
          <w:p>
            <w:pPr>
              <w:jc w:val="center"/>
              <w:rPr>
                <w:rFonts w:hint="default"/>
                <w:lang w:val="en-US" w:eastAsia="zh-CN"/>
              </w:rPr>
            </w:pPr>
            <w:r>
              <w:rPr>
                <w:rFonts w:hint="default"/>
                <w:lang w:val="en-US" w:eastAsia="zh-CN"/>
              </w:rPr>
              <w:t>第二标段</w:t>
            </w:r>
          </w:p>
        </w:tc>
        <w:tc>
          <w:tcPr>
            <w:tcW w:w="1190" w:type="dxa"/>
            <w:noWrap w:val="0"/>
            <w:vAlign w:val="center"/>
          </w:tcPr>
          <w:p>
            <w:pPr>
              <w:jc w:val="center"/>
              <w:rPr>
                <w:rFonts w:hint="default"/>
                <w:lang w:val="en-US" w:eastAsia="zh-CN"/>
              </w:rPr>
            </w:pPr>
            <w:r>
              <w:rPr>
                <w:rFonts w:hint="default"/>
                <w:lang w:val="en-US" w:eastAsia="zh-CN"/>
              </w:rPr>
              <w:t>303688</w:t>
            </w:r>
          </w:p>
        </w:tc>
        <w:tc>
          <w:tcPr>
            <w:tcW w:w="1290" w:type="dxa"/>
            <w:noWrap w:val="0"/>
            <w:vAlign w:val="center"/>
          </w:tcPr>
          <w:p>
            <w:pPr>
              <w:jc w:val="center"/>
              <w:rPr>
                <w:rFonts w:hint="default"/>
                <w:lang w:val="en-US" w:eastAsia="zh-CN"/>
              </w:rPr>
            </w:pPr>
            <w:r>
              <w:rPr>
                <w:rFonts w:hint="default"/>
                <w:lang w:val="en-US" w:eastAsia="zh-CN"/>
              </w:rPr>
              <w:t>303688</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303688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trPr>
        <w:tc>
          <w:tcPr>
            <w:tcW w:w="774" w:type="dxa"/>
            <w:noWrap w:val="0"/>
            <w:vAlign w:val="center"/>
          </w:tcPr>
          <w:p>
            <w:pPr>
              <w:jc w:val="center"/>
              <w:rPr>
                <w:rFonts w:hint="default"/>
                <w:lang w:val="en-US" w:eastAsia="zh-CN"/>
              </w:rPr>
            </w:pPr>
            <w:r>
              <w:rPr>
                <w:rFonts w:hint="default"/>
                <w:lang w:val="en-US" w:eastAsia="zh-CN"/>
              </w:rPr>
              <w:t>3</w:t>
            </w:r>
          </w:p>
        </w:tc>
        <w:tc>
          <w:tcPr>
            <w:tcW w:w="2106" w:type="dxa"/>
            <w:noWrap w:val="0"/>
            <w:vAlign w:val="center"/>
          </w:tcPr>
          <w:p>
            <w:pPr>
              <w:jc w:val="center"/>
              <w:rPr>
                <w:rFonts w:hint="default"/>
                <w:lang w:val="en-US" w:eastAsia="zh-CN"/>
              </w:rPr>
            </w:pPr>
            <w:r>
              <w:rPr>
                <w:rFonts w:hint="eastAsia"/>
                <w:lang w:val="en-US" w:eastAsia="zh-CN"/>
              </w:rPr>
              <w:t>新密磋商采购-2025-13-3</w:t>
            </w:r>
          </w:p>
        </w:tc>
        <w:tc>
          <w:tcPr>
            <w:tcW w:w="1530" w:type="dxa"/>
            <w:noWrap w:val="0"/>
            <w:vAlign w:val="center"/>
          </w:tcPr>
          <w:p>
            <w:pPr>
              <w:jc w:val="center"/>
              <w:rPr>
                <w:rFonts w:hint="default"/>
                <w:lang w:val="en-US" w:eastAsia="zh-CN"/>
              </w:rPr>
            </w:pPr>
            <w:r>
              <w:rPr>
                <w:rFonts w:hint="default"/>
                <w:lang w:val="en-US" w:eastAsia="zh-CN"/>
              </w:rPr>
              <w:t>第三标段</w:t>
            </w:r>
          </w:p>
        </w:tc>
        <w:tc>
          <w:tcPr>
            <w:tcW w:w="1190" w:type="dxa"/>
            <w:noWrap w:val="0"/>
            <w:vAlign w:val="center"/>
          </w:tcPr>
          <w:p>
            <w:pPr>
              <w:jc w:val="center"/>
              <w:rPr>
                <w:rFonts w:hint="default"/>
                <w:lang w:val="en-US" w:eastAsia="zh-CN"/>
              </w:rPr>
            </w:pPr>
            <w:r>
              <w:rPr>
                <w:rFonts w:hint="default"/>
                <w:lang w:val="en-US" w:eastAsia="zh-CN"/>
              </w:rPr>
              <w:t>714164</w:t>
            </w:r>
          </w:p>
        </w:tc>
        <w:tc>
          <w:tcPr>
            <w:tcW w:w="1290" w:type="dxa"/>
            <w:noWrap w:val="0"/>
            <w:vAlign w:val="center"/>
          </w:tcPr>
          <w:p>
            <w:pPr>
              <w:jc w:val="center"/>
              <w:rPr>
                <w:rFonts w:hint="default"/>
                <w:lang w:val="en-US" w:eastAsia="zh-CN"/>
              </w:rPr>
            </w:pPr>
            <w:r>
              <w:rPr>
                <w:rFonts w:hint="default"/>
                <w:lang w:val="en-US" w:eastAsia="zh-CN"/>
              </w:rPr>
              <w:t>714164</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714164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74" w:type="dxa"/>
            <w:noWrap w:val="0"/>
            <w:vAlign w:val="center"/>
          </w:tcPr>
          <w:p>
            <w:pPr>
              <w:jc w:val="center"/>
              <w:rPr>
                <w:rFonts w:hint="default"/>
                <w:lang w:val="en-US" w:eastAsia="zh-CN"/>
              </w:rPr>
            </w:pPr>
            <w:r>
              <w:rPr>
                <w:rFonts w:hint="default"/>
                <w:lang w:val="en-US" w:eastAsia="zh-CN"/>
              </w:rPr>
              <w:t>4</w:t>
            </w:r>
          </w:p>
        </w:tc>
        <w:tc>
          <w:tcPr>
            <w:tcW w:w="2106" w:type="dxa"/>
            <w:noWrap w:val="0"/>
            <w:vAlign w:val="center"/>
          </w:tcPr>
          <w:p>
            <w:pPr>
              <w:jc w:val="center"/>
              <w:rPr>
                <w:rFonts w:hint="default"/>
                <w:lang w:val="en-US" w:eastAsia="zh-CN"/>
              </w:rPr>
            </w:pPr>
            <w:r>
              <w:rPr>
                <w:rFonts w:hint="eastAsia"/>
                <w:lang w:val="en-US" w:eastAsia="zh-CN"/>
              </w:rPr>
              <w:t>新密磋商采购-2025-13-4</w:t>
            </w:r>
          </w:p>
        </w:tc>
        <w:tc>
          <w:tcPr>
            <w:tcW w:w="1530" w:type="dxa"/>
            <w:noWrap w:val="0"/>
            <w:vAlign w:val="center"/>
          </w:tcPr>
          <w:p>
            <w:pPr>
              <w:jc w:val="center"/>
              <w:rPr>
                <w:rFonts w:hint="default"/>
                <w:lang w:val="en-US" w:eastAsia="zh-CN"/>
              </w:rPr>
            </w:pPr>
            <w:r>
              <w:rPr>
                <w:rFonts w:hint="default"/>
                <w:lang w:val="en-US" w:eastAsia="zh-CN"/>
              </w:rPr>
              <w:t>监理标段</w:t>
            </w:r>
          </w:p>
        </w:tc>
        <w:tc>
          <w:tcPr>
            <w:tcW w:w="1190" w:type="dxa"/>
            <w:noWrap w:val="0"/>
            <w:vAlign w:val="center"/>
          </w:tcPr>
          <w:p>
            <w:pPr>
              <w:jc w:val="center"/>
              <w:rPr>
                <w:rFonts w:hint="default"/>
                <w:lang w:val="en-US" w:eastAsia="zh-CN"/>
              </w:rPr>
            </w:pPr>
            <w:r>
              <w:rPr>
                <w:rFonts w:hint="default"/>
                <w:lang w:val="en-US" w:eastAsia="zh-CN"/>
              </w:rPr>
              <w:t>21208</w:t>
            </w:r>
          </w:p>
        </w:tc>
        <w:tc>
          <w:tcPr>
            <w:tcW w:w="1290" w:type="dxa"/>
            <w:noWrap w:val="0"/>
            <w:vAlign w:val="center"/>
          </w:tcPr>
          <w:p>
            <w:pPr>
              <w:jc w:val="center"/>
              <w:rPr>
                <w:rFonts w:hint="default"/>
                <w:lang w:val="en-US" w:eastAsia="zh-CN"/>
              </w:rPr>
            </w:pPr>
            <w:r>
              <w:rPr>
                <w:rFonts w:hint="default"/>
                <w:lang w:val="en-US" w:eastAsia="zh-CN"/>
              </w:rPr>
              <w:t>21208</w:t>
            </w:r>
          </w:p>
        </w:tc>
        <w:tc>
          <w:tcPr>
            <w:tcW w:w="1590" w:type="dxa"/>
            <w:noWrap w:val="0"/>
            <w:vAlign w:val="center"/>
          </w:tcPr>
          <w:p>
            <w:pPr>
              <w:jc w:val="center"/>
              <w:rPr>
                <w:rFonts w:hint="default"/>
                <w:lang w:val="en-US" w:eastAsia="zh-CN"/>
              </w:rPr>
            </w:pPr>
            <w:r>
              <w:rPr>
                <w:rFonts w:hint="eastAsia"/>
                <w:lang w:val="en-US" w:eastAsia="zh-CN"/>
              </w:rPr>
              <w:t>是</w:t>
            </w:r>
          </w:p>
        </w:tc>
        <w:tc>
          <w:tcPr>
            <w:tcW w:w="1177" w:type="dxa"/>
            <w:noWrap w:val="0"/>
            <w:vAlign w:val="center"/>
          </w:tcPr>
          <w:p>
            <w:pPr>
              <w:jc w:val="center"/>
              <w:rPr>
                <w:rFonts w:hint="default"/>
                <w:lang w:val="en-US" w:eastAsia="zh-CN"/>
              </w:rPr>
            </w:pPr>
            <w:r>
              <w:rPr>
                <w:rFonts w:hint="default"/>
                <w:lang w:val="en-US" w:eastAsia="zh-CN"/>
              </w:rPr>
              <w:t>21208</w:t>
            </w:r>
          </w:p>
        </w:tc>
      </w:tr>
    </w:tbl>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5、采购需求（包括但不限于标的的名称、数量、简要技术需求或服务要求等）</w:t>
      </w:r>
      <w:bookmarkEnd w:id="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5.1 项目概况：本项目新密市农业农村局新密市2024年新型经营主体设施种植条件改善项目包括：郑州市富坤种植专业合作社、新密市田丰种植专业合作社、郑州市红石岩种植专业合作社等3家合作社主要建设内容为新建钢骨架联栋设施大棚3栋，提升改造老旧日光温室2栋，及施工阶段及缺陷责任期全过程监理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5.2 标段划分及采购范围：共划分为4个标段</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施工标段：</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第一标段：新密市田丰种植专业合作社联栋薄膜大棚(两个)工程图纸及工程量清单所含全部内容；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第二标段：郑州市红石岩种植专业合作社日光温室大棚(两个)工程图纸及工程量清单所含全部内容；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第三标段：郑州市富坤种植专业合作社联栋薄膜大棚工程图纸及工程量清单所含全部内容；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监理标段：新密市农业农村局新密市2024年新型经营主体设施种植条件改善项目施工阶段及缺陷责任期全过程监理工作。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5.3 建设地点：新密市境内；</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5.4 资金来源：财政资金</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highlight w:val="none"/>
          <w:lang w:val="en-US" w:eastAsia="zh-CN"/>
        </w:rPr>
      </w:pPr>
      <w:r>
        <w:rPr>
          <w:rFonts w:hint="default"/>
          <w:highlight w:val="none"/>
          <w:lang w:val="en-US" w:eastAsia="zh-CN"/>
        </w:rPr>
        <w:t>5.5 工期要求：</w:t>
      </w:r>
      <w:r>
        <w:rPr>
          <w:rFonts w:hint="eastAsia"/>
          <w:highlight w:val="none"/>
          <w:lang w:val="en-US" w:eastAsia="zh-CN"/>
        </w:rPr>
        <w:t>60</w:t>
      </w:r>
      <w:r>
        <w:rPr>
          <w:rFonts w:hint="default"/>
          <w:highlight w:val="none"/>
          <w:lang w:val="en-US" w:eastAsia="zh-CN"/>
        </w:rPr>
        <w:t>日历天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5.6 质量要求：合格</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5.7 缺陷责任期：12 个月</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9" w:name="_Toc30477"/>
      <w:r>
        <w:rPr>
          <w:rFonts w:hint="default"/>
          <w:lang w:val="en-US" w:eastAsia="zh-CN"/>
        </w:rPr>
        <w:t>6、合同履行期限：同工期要求</w:t>
      </w:r>
      <w:bookmarkEnd w:id="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10" w:name="_Toc26961"/>
      <w:r>
        <w:rPr>
          <w:rFonts w:hint="default"/>
          <w:lang w:val="en-US" w:eastAsia="zh-CN"/>
        </w:rPr>
        <w:t>7、本项目是否接受联合体投标：否</w:t>
      </w:r>
      <w:bookmarkEnd w:id="10"/>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11" w:name="_Toc13001"/>
      <w:r>
        <w:rPr>
          <w:rFonts w:hint="default"/>
          <w:lang w:val="en-US" w:eastAsia="zh-CN"/>
        </w:rPr>
        <w:t>8、是否接受进口产品：否</w:t>
      </w:r>
      <w:bookmarkEnd w:id="1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9、是否专门面向中小企业：是</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2" w:name="_Toc29511"/>
      <w:r>
        <w:rPr>
          <w:rFonts w:hint="default"/>
          <w:b/>
          <w:bCs/>
          <w:lang w:val="en-US" w:eastAsia="zh-CN"/>
        </w:rPr>
        <w:t>二、</w:t>
      </w:r>
      <w:bookmarkEnd w:id="12"/>
      <w:r>
        <w:rPr>
          <w:rFonts w:hint="default"/>
          <w:b/>
          <w:bCs/>
          <w:lang w:val="en-US" w:eastAsia="zh-CN"/>
        </w:rPr>
        <w:t>申请人资格要求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2、落实政府采购政策满足的资格要求：本项目为专门面向中小企业采购的项目；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3.1 </w:t>
      </w:r>
      <w:r>
        <w:rPr>
          <w:rFonts w:hint="eastAsia"/>
          <w:b/>
          <w:bCs/>
          <w:lang w:val="en-US" w:eastAsia="zh-CN"/>
        </w:rPr>
        <w:t>第一</w:t>
      </w:r>
      <w:r>
        <w:rPr>
          <w:rFonts w:hint="default"/>
          <w:b/>
          <w:bCs/>
          <w:lang w:val="en-US" w:eastAsia="zh-CN"/>
        </w:rPr>
        <w:t>标段</w:t>
      </w:r>
      <w:r>
        <w:rPr>
          <w:rFonts w:hint="eastAsia"/>
          <w:b/>
          <w:bCs/>
          <w:lang w:val="en-US" w:eastAsia="zh-CN"/>
        </w:rPr>
        <w:t>-第三标段</w:t>
      </w:r>
      <w:r>
        <w:rPr>
          <w:rFonts w:hint="default"/>
          <w:b/>
          <w:bCs/>
          <w:lang w:val="en-US" w:eastAsia="zh-CN"/>
        </w:rPr>
        <w:t>：</w:t>
      </w:r>
      <w:r>
        <w:rPr>
          <w:rFonts w:hint="default"/>
          <w:lang w:val="en-US" w:eastAsia="zh-CN"/>
        </w:rPr>
        <w:t>响应人具有建设行政主管部门核发的房屋建筑工程施工总承包叁级（含）及以上资质，并具有有效的安全生产许可证，并在人员、设备、资金等方面具有相应的施工能力。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拟派项目经理须具备建筑工程专业贰级（含）及以上注册建造师执业资格（不含临时），具备有效的安全生产考核合格证书，项目经理出具无在建证明。项目经理为本单位员工，并具有劳动合同和本单位缴纳的养老保险证明。</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r>
        <w:rPr>
          <w:rFonts w:hint="default"/>
          <w:b/>
          <w:bCs/>
          <w:lang w:val="en-US" w:eastAsia="zh-CN"/>
        </w:rPr>
        <w:t>监理标段：</w:t>
      </w:r>
      <w:r>
        <w:rPr>
          <w:rFonts w:hint="default"/>
          <w:lang w:val="en-US" w:eastAsia="zh-CN"/>
        </w:rPr>
        <w:t>响应人须具备建设行政主管部门核发的房屋建筑工程监理丙级（含）及以上资质或工程监理综合资质。拟派项目总监为本单位注册的房屋建筑工程专业国家注册监理工程师职业资格，并具有劳动合同和本单位缴纳的养老保险证明。</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3.2 根据《关于在政府采购活动中查询及使用信用记录有关问题的通知》(财库[2016]125号)的规定，采购人或采购代理机构将在开标后至评标结束前通过“信用中国”网站（www.creditchina.gov.cn）、“中国执行信息公开网”网站（zxgk.court.gov.cn）和“中国政府采购网”网站（www.ccgp.gov.cn）查询企业的信用记录，列入“中国执行信息公开网”网站的“失信被执行人”、“信用中国”网站的“重大税收违法案件当事人”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3.3 单位负责人为同一人或者存在直接控股、管理关系的不同供应商，不得参加同一合同项下的政府采购活动；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3" w:name="_Toc8718"/>
      <w:r>
        <w:rPr>
          <w:rFonts w:hint="default"/>
          <w:b/>
          <w:bCs/>
          <w:lang w:val="en-US" w:eastAsia="zh-CN"/>
        </w:rPr>
        <w:t>三、获取采购文件</w:t>
      </w:r>
      <w:bookmarkEnd w:id="1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1、时间：2025年</w:t>
      </w:r>
      <w:r>
        <w:rPr>
          <w:rFonts w:hint="eastAsia"/>
          <w:lang w:val="en-US" w:eastAsia="zh-CN"/>
        </w:rPr>
        <w:t>4</w:t>
      </w:r>
      <w:r>
        <w:rPr>
          <w:rFonts w:hint="default"/>
          <w:lang w:val="en-US" w:eastAsia="zh-CN"/>
        </w:rPr>
        <w:t>月</w:t>
      </w:r>
      <w:r>
        <w:rPr>
          <w:rFonts w:hint="eastAsia"/>
          <w:lang w:val="en-US" w:eastAsia="zh-CN"/>
        </w:rPr>
        <w:t>1</w:t>
      </w:r>
      <w:r>
        <w:rPr>
          <w:rFonts w:hint="default"/>
          <w:lang w:val="en-US" w:eastAsia="zh-CN"/>
        </w:rPr>
        <w:t>日至2025年</w:t>
      </w:r>
      <w:r>
        <w:rPr>
          <w:rFonts w:hint="eastAsia"/>
          <w:lang w:val="en-US" w:eastAsia="zh-CN"/>
        </w:rPr>
        <w:t>4</w:t>
      </w:r>
      <w:r>
        <w:rPr>
          <w:rFonts w:hint="default"/>
          <w:lang w:val="en-US" w:eastAsia="zh-CN"/>
        </w:rPr>
        <w:t>月</w:t>
      </w:r>
      <w:r>
        <w:rPr>
          <w:rFonts w:hint="eastAsia"/>
          <w:lang w:val="en-US" w:eastAsia="zh-CN"/>
        </w:rPr>
        <w:t>8</w:t>
      </w:r>
      <w:r>
        <w:rPr>
          <w:rFonts w:hint="default"/>
          <w:lang w:val="en-US" w:eastAsia="zh-CN"/>
        </w:rPr>
        <w:t>日，每天上午 00:00 至 12:00，下午 12:00 至 23:59（北京时间）。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2、地点：新密市公共资源交易中心网站（</w:t>
      </w:r>
      <w:r>
        <w:rPr>
          <w:rFonts w:hint="default"/>
          <w:lang w:val="en-US" w:eastAsia="zh-CN"/>
        </w:rPr>
        <w:fldChar w:fldCharType="begin"/>
      </w:r>
      <w:r>
        <w:rPr>
          <w:rFonts w:hint="default"/>
          <w:lang w:val="en-US" w:eastAsia="zh-CN"/>
        </w:rPr>
        <w:instrText xml:space="preserve"> HYPERLINK "http://www.xmggzy.cn/" \h </w:instrText>
      </w:r>
      <w:r>
        <w:rPr>
          <w:rFonts w:hint="default"/>
          <w:lang w:val="en-US" w:eastAsia="zh-CN"/>
        </w:rPr>
        <w:fldChar w:fldCharType="separate"/>
      </w:r>
      <w:r>
        <w:rPr>
          <w:rFonts w:hint="default"/>
          <w:lang w:val="en-US" w:eastAsia="zh-CN"/>
        </w:rPr>
        <w:t>http://ggzyjy.xinmi.gov.cn/</w:t>
      </w:r>
      <w:r>
        <w:rPr>
          <w:rFonts w:hint="default"/>
          <w:lang w:val="en-US" w:eastAsia="zh-CN"/>
        </w:rPr>
        <w:fldChar w:fldCharType="end"/>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3、方式：潜在供应商在新密市公共资源交易中心网站下载电子竞争性磋商文件（egp 格式文件）。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4、售价：0 元</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4" w:name="_Toc12327"/>
      <w:r>
        <w:rPr>
          <w:rFonts w:hint="default"/>
          <w:b/>
          <w:bCs/>
          <w:lang w:val="en-US" w:eastAsia="zh-CN"/>
        </w:rPr>
        <w:t>四、响应文件提交</w:t>
      </w:r>
      <w:bookmarkEnd w:id="1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1、时间：2025年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 10 时 00 分（北京时间）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2、地点：新密市公共资源交易中心电子交易平台。加密电子响应文件逾期上传或未上传指定位置的，采购人不予受理。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5" w:name="_Toc13573"/>
      <w:r>
        <w:rPr>
          <w:rFonts w:hint="default"/>
          <w:b/>
          <w:bCs/>
          <w:lang w:val="en-US" w:eastAsia="zh-CN"/>
        </w:rPr>
        <w:t>五、响应文件开启</w:t>
      </w:r>
      <w:bookmarkEnd w:id="1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1、时间：2025年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 10 时 00 分（北京时间）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2、地点：新密市公共资源交易中心第</w:t>
      </w:r>
      <w:r>
        <w:rPr>
          <w:rFonts w:hint="eastAsia"/>
          <w:lang w:val="en-US" w:eastAsia="zh-CN"/>
        </w:rPr>
        <w:t>一</w:t>
      </w:r>
      <w:r>
        <w:rPr>
          <w:rFonts w:hint="default"/>
          <w:lang w:val="en-US" w:eastAsia="zh-CN"/>
        </w:rPr>
        <w:t>开标室</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6" w:name="_Toc23966"/>
      <w:r>
        <w:rPr>
          <w:rFonts w:hint="default"/>
          <w:b/>
          <w:bCs/>
          <w:lang w:val="en-US" w:eastAsia="zh-CN"/>
        </w:rPr>
        <w:t>六、发布公告的媒介及公告期限</w:t>
      </w:r>
      <w:bookmarkEnd w:id="1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本次公告在《河南省政府采购网》、《郑州市政府采购网》、《新密市政府采购网》、《新密市公共资源交易中心》上发布。招标公告期限为三个工作日。</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17" w:name="_Toc12329"/>
      <w:r>
        <w:rPr>
          <w:rFonts w:hint="default"/>
          <w:b/>
          <w:bCs/>
          <w:lang w:val="en-US" w:eastAsia="zh-CN"/>
        </w:rPr>
        <w:t>七、其他补充事宜</w:t>
      </w:r>
      <w:bookmarkEnd w:id="1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1、本项目采用“远程不见面”开标方式，供应商无需到现场提交原件资料、无需到新密市公共资源交易中心现场参加开标会议；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2、响应人应当在响应文件提交截止时间前，登录开标会议大厅，在线准时参加开标会议活动并进行电子版响应文件解密，解密时间40分钟；</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3、落实以下政府采购政策：</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3.1 《财政部司法部关于政府采购支持监狱企业发展有关问题的通知》（财库〔2014〕68号）；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3.2 《财政部民政部中国残疾人联合会关于促进残疾人就业政府采购政策的通知》（财库〔2017〕141号）；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3.3 《政府采购促进中小企业发展管理办法》（财库〔2020〕46号）；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3.4 《关于进一步加大政府采购支持中小企业力度的通知》（财库〔2022〕19号）等；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3.5 本项目执行支持创新、节约能源、保护环境、扶持不发达地区和少数民族地区，促进中小企业、监狱企业、残疾人福利性企业发展等相关政策；</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4、招标代理服务费的收取：招标代理服务费由成交人支付，招标代理服务费参照河南省招标投标协会《河南省招标代理服务收费指导意见》（豫招协【2023】002号）文件规定的收费标准收取。</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5、监督部门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bookmarkStart w:id="18" w:name="_Toc15801"/>
      <w:r>
        <w:rPr>
          <w:rFonts w:hint="default"/>
          <w:b w:val="0"/>
          <w:bCs w:val="0"/>
          <w:lang w:val="en-US" w:eastAsia="zh-CN"/>
        </w:rPr>
        <w:t>监督部门：新密市农业农村局</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r>
        <w:rPr>
          <w:rFonts w:hint="default"/>
          <w:b w:val="0"/>
          <w:bCs w:val="0"/>
          <w:lang w:val="en-US" w:eastAsia="zh-CN"/>
        </w:rPr>
        <w:t>统一社会信用代码：11410183005307386C</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r>
        <w:rPr>
          <w:rFonts w:hint="default"/>
          <w:b w:val="0"/>
          <w:bCs w:val="0"/>
          <w:lang w:val="en-US" w:eastAsia="zh-CN"/>
        </w:rPr>
        <w:t>联系人：</w:t>
      </w:r>
      <w:r>
        <w:rPr>
          <w:rFonts w:hint="eastAsia"/>
          <w:b w:val="0"/>
          <w:bCs w:val="0"/>
          <w:lang w:val="en-US" w:eastAsia="zh-CN"/>
        </w:rPr>
        <w:t>高杨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b w:val="0"/>
          <w:bCs w:val="0"/>
          <w:lang w:val="en-US" w:eastAsia="zh-CN"/>
        </w:rPr>
      </w:pPr>
      <w:r>
        <w:rPr>
          <w:rFonts w:hint="default"/>
          <w:b w:val="0"/>
          <w:bCs w:val="0"/>
          <w:lang w:val="en-US" w:eastAsia="zh-CN"/>
        </w:rPr>
        <w:t>联系电话：</w:t>
      </w:r>
      <w:r>
        <w:rPr>
          <w:rFonts w:hint="eastAsia"/>
          <w:b w:val="0"/>
          <w:bCs w:val="0"/>
          <w:lang w:val="en-US" w:eastAsia="zh-CN"/>
        </w:rPr>
        <w:t>17838326880</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八、凡对本次招标提出询问，请按照以下方式联系</w:t>
      </w:r>
      <w:bookmarkEnd w:id="1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19" w:name="_Toc1763"/>
      <w:r>
        <w:rPr>
          <w:rFonts w:hint="default"/>
          <w:lang w:val="en-US" w:eastAsia="zh-CN"/>
        </w:rPr>
        <w:t>1、采购人信息</w:t>
      </w:r>
      <w:bookmarkEnd w:id="1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名称：新密市农业农村局</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地址：河南省新密市青屏大街35号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联系人：王</w:t>
      </w:r>
      <w:r>
        <w:rPr>
          <w:rFonts w:hint="eastAsia"/>
          <w:lang w:val="en-US" w:eastAsia="zh-CN"/>
        </w:rPr>
        <w:t>先生</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联系方式：</w:t>
      </w:r>
      <w:r>
        <w:rPr>
          <w:rFonts w:hint="default"/>
          <w:b w:val="0"/>
          <w:bCs w:val="0"/>
          <w:lang w:val="en-US" w:eastAsia="zh-CN"/>
        </w:rPr>
        <w:t>0371-60882699</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20" w:name="_Toc4484"/>
      <w:r>
        <w:rPr>
          <w:rFonts w:hint="default"/>
          <w:lang w:val="en-US" w:eastAsia="zh-CN"/>
        </w:rPr>
        <w:t>2、采购代理机构信息（如有）</w:t>
      </w:r>
      <w:bookmarkEnd w:id="2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名称:河南省亿达工程管理咨询有限公司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地址：郑州市金水区青年路玉凤路升龙环球大厦C座26楼</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 系 人：</w:t>
      </w:r>
      <w:r>
        <w:rPr>
          <w:rFonts w:hint="eastAsia"/>
          <w:lang w:val="en-US" w:eastAsia="zh-CN"/>
        </w:rPr>
        <w:t>石春彦</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联系电话：</w:t>
      </w:r>
      <w:bookmarkStart w:id="21" w:name="_Toc19508"/>
      <w:r>
        <w:rPr>
          <w:rFonts w:hint="default"/>
          <w:lang w:val="en-US" w:eastAsia="zh-CN"/>
        </w:rPr>
        <w:t>15565055093</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3、项目联系方式</w:t>
      </w:r>
      <w:bookmarkEnd w:id="2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 系 人：</w:t>
      </w:r>
      <w:r>
        <w:rPr>
          <w:rFonts w:hint="eastAsia"/>
          <w:lang w:val="en-US" w:eastAsia="zh-CN"/>
        </w:rPr>
        <w:t>石春彦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联系电话：15565055093</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b/>
          <w:bCs/>
          <w:lang w:val="en-US" w:eastAsia="zh-CN"/>
        </w:rPr>
      </w:pPr>
      <w:r>
        <w:rPr>
          <w:rFonts w:hint="default"/>
          <w:b/>
          <w:bCs/>
          <w:lang w:val="en-US" w:eastAsia="zh-CN"/>
        </w:rPr>
        <w:br w:type="page"/>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温馨提示：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本项目为全流程电子化交易项目，请认真阅读竞争性磋商文件，并注意以下事项：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1.供应商应按竞争性磋商文件规定下载、制作、提交电子响应文件。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2.电子文件下载、制作、递交期间和开标（电子响应文件的解密）环节，供应商须使用CA数字证书（CA数字证书必须在有效期内）。</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3.电子响应文件的制作：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3.1 供应商登录新密市公共资源交易中心交易系统，在“组件下载”中下载电子响应文件制作工具及其他相关软件，并按竞争性磋商文件要求制作电子响应文件。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电子响应文件的制作，请参考《全流程电子化交易项目供应商操作手册（投标人）》，或直接访问</w:t>
      </w:r>
      <w:r>
        <w:rPr>
          <w:rFonts w:hint="default"/>
          <w:lang w:val="en-US" w:eastAsia="zh-CN"/>
        </w:rPr>
        <w:fldChar w:fldCharType="begin"/>
      </w:r>
      <w:r>
        <w:rPr>
          <w:rFonts w:hint="default"/>
          <w:lang w:val="en-US" w:eastAsia="zh-CN"/>
        </w:rPr>
        <w:instrText xml:space="preserve"> HYPERLINK "http://www.xmggzy.gov.cn/zcsc/17438.jhtml" </w:instrText>
      </w:r>
      <w:r>
        <w:rPr>
          <w:rFonts w:hint="default"/>
          <w:lang w:val="en-US" w:eastAsia="zh-CN"/>
        </w:rPr>
        <w:fldChar w:fldCharType="separate"/>
      </w:r>
      <w:r>
        <w:rPr>
          <w:rFonts w:hint="default"/>
          <w:lang w:val="en-US" w:eastAsia="zh-CN"/>
        </w:rPr>
        <w:t>http://ggzyjy.xinmi.gov.cn//zcsc/17438.jhtml</w:t>
      </w:r>
      <w:r>
        <w:rPr>
          <w:rFonts w:hint="default"/>
          <w:lang w:val="en-US" w:eastAsia="zh-CN"/>
        </w:rPr>
        <w:fldChar w:fldCharType="end"/>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3.2 供应商须将竞争性磋商文件要求的资质、业绩、荣誉及相关人员证明材料等资料扫描件（或图片）制作到所提交的电子响应文件中。</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3.3供应商应下载所投标段的竞争性磋商文件，按标段制作电子响应文件，并按竞争性磋商文件要求在相应位置加盖供应商电子印章和法定代表人电子印章。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对应生成一个文件夹（名字为：xxxx项目）文件夹, 后缀名为“.file”的文件为电子响应文件，供系统上传。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4.电子响应文件的提交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4.1 供应商应在响应文件提交截止时间前，通过互联网使用CA 数字证书登录新密市公共资源交易中心网站，将加密的电子响应文件上传至新密市公共资源交易系统指定位置，上传成功后将得到上传成功的确认。供应商应充分考虑上传电子响应文件时的不可预见因素，未在响应文件提交截止时间前完成上传的，视为逾期上传，新密市公共资源交易系统将拒绝接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4.2 供应商对同一项目多个标段进行投标的，电子响应文件应按标段分别提交。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5.开标</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5.1本项目采用远程不见面交易的模式。开标当日，供应商无需到开标现场参加开标会议，供应商应当在响应文件开启时间前，登录选择新密市公共资源交易中心系统（网址为http://ggzyjy.xinmi.gov.cn//）进入不见面开标大厅，在线准时参加开标活动并进行电子响应文件解密等。因供应商原因未能解密、解密失败或解密超时的将被拒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5.2除电子响应文件外，投标时不再接受任何纸质文件、资料等。逾期上传的或者未上传指定地点的电子响应文件，采购人不予受理。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6.评标依据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6.1</w:t>
      </w:r>
      <w:bookmarkStart w:id="22" w:name="OLE_LINK7"/>
      <w:bookmarkEnd w:id="22"/>
      <w:bookmarkStart w:id="23" w:name="OLE_LINK8"/>
      <w:bookmarkEnd w:id="23"/>
      <w:bookmarkStart w:id="24" w:name="OLE_LINK6"/>
      <w:r>
        <w:rPr>
          <w:rFonts w:hint="default"/>
          <w:lang w:val="en-US" w:eastAsia="zh-CN"/>
        </w:rPr>
        <w:t>采用全流程电子化交易评标时，评标委员会以电子响应文件为依据评标。</w:t>
      </w:r>
      <w:bookmarkEnd w:id="24"/>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lang w:val="en-US" w:eastAsia="zh-CN"/>
        </w:rPr>
      </w:pPr>
      <w:bookmarkStart w:id="25" w:name="_Toc14684"/>
      <w:r>
        <w:rPr>
          <w:rFonts w:hint="default"/>
          <w:b/>
          <w:bCs/>
          <w:lang w:val="en-US" w:eastAsia="zh-CN"/>
        </w:rPr>
        <w:t>第二章 供应商须知</w:t>
      </w:r>
      <w:bookmarkEnd w:id="25"/>
    </w:p>
    <w:p>
      <w:pPr>
        <w:jc w:val="center"/>
        <w:rPr>
          <w:rFonts w:hint="default"/>
          <w:b/>
          <w:bCs/>
          <w:lang w:val="en-US" w:eastAsia="zh-CN"/>
        </w:rPr>
      </w:pPr>
      <w:bookmarkStart w:id="26" w:name="_Toc29062"/>
      <w:r>
        <w:rPr>
          <w:rFonts w:hint="default"/>
          <w:b/>
          <w:bCs/>
          <w:lang w:val="en-US" w:eastAsia="zh-CN"/>
        </w:rPr>
        <w:t>供应商须知前附表</w:t>
      </w:r>
      <w:bookmarkEnd w:id="26"/>
    </w:p>
    <w:tbl>
      <w:tblPr>
        <w:tblStyle w:val="90"/>
        <w:tblW w:w="9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9"/>
        <w:gridCol w:w="2289"/>
        <w:gridCol w:w="65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0" w:type="auto"/>
            <w:noWrap w:val="0"/>
            <w:vAlign w:val="top"/>
          </w:tcPr>
          <w:p>
            <w:pPr>
              <w:jc w:val="center"/>
              <w:rPr>
                <w:rFonts w:hint="default"/>
                <w:b/>
                <w:bCs/>
                <w:lang w:val="en-US" w:eastAsia="zh-CN"/>
              </w:rPr>
            </w:pPr>
            <w:r>
              <w:rPr>
                <w:rFonts w:hint="default"/>
                <w:b/>
                <w:bCs/>
                <w:lang w:val="en-US" w:eastAsia="zh-CN"/>
              </w:rPr>
              <w:t>条款号</w:t>
            </w:r>
          </w:p>
        </w:tc>
        <w:tc>
          <w:tcPr>
            <w:tcW w:w="2289" w:type="dxa"/>
            <w:noWrap w:val="0"/>
            <w:vAlign w:val="top"/>
          </w:tcPr>
          <w:p>
            <w:pPr>
              <w:jc w:val="center"/>
              <w:rPr>
                <w:rFonts w:hint="default"/>
                <w:b/>
                <w:bCs/>
                <w:lang w:val="en-US" w:eastAsia="zh-CN"/>
              </w:rPr>
            </w:pPr>
            <w:r>
              <w:rPr>
                <w:rFonts w:hint="default"/>
                <w:b/>
                <w:bCs/>
                <w:lang w:val="en-US" w:eastAsia="zh-CN"/>
              </w:rPr>
              <w:t>条款名称</w:t>
            </w:r>
          </w:p>
        </w:tc>
        <w:tc>
          <w:tcPr>
            <w:tcW w:w="6548" w:type="dxa"/>
            <w:noWrap w:val="0"/>
            <w:vAlign w:val="top"/>
          </w:tcPr>
          <w:p>
            <w:pPr>
              <w:jc w:val="center"/>
              <w:rPr>
                <w:rFonts w:hint="default"/>
                <w:b/>
                <w:bCs/>
                <w:lang w:val="en-US" w:eastAsia="zh-CN"/>
              </w:rPr>
            </w:pPr>
            <w:r>
              <w:rPr>
                <w:rFonts w:hint="default"/>
                <w:b/>
                <w:bCs/>
                <w:lang w:val="en-US" w:eastAsia="zh-CN"/>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atLeast"/>
        </w:trPr>
        <w:tc>
          <w:tcPr>
            <w:tcW w:w="0" w:type="auto"/>
            <w:noWrap w:val="0"/>
            <w:vAlign w:val="center"/>
          </w:tcPr>
          <w:p>
            <w:pPr>
              <w:jc w:val="center"/>
              <w:rPr>
                <w:rFonts w:hint="default"/>
                <w:lang w:val="en-US" w:eastAsia="zh-CN"/>
              </w:rPr>
            </w:pPr>
            <w:r>
              <w:rPr>
                <w:rFonts w:hint="default"/>
                <w:lang w:val="en-US" w:eastAsia="zh-CN"/>
              </w:rPr>
              <w:t>1.1.2</w:t>
            </w:r>
          </w:p>
        </w:tc>
        <w:tc>
          <w:tcPr>
            <w:tcW w:w="2289" w:type="dxa"/>
            <w:noWrap w:val="0"/>
            <w:vAlign w:val="center"/>
          </w:tcPr>
          <w:p>
            <w:pPr>
              <w:jc w:val="center"/>
              <w:rPr>
                <w:rFonts w:hint="default"/>
                <w:lang w:val="en-US" w:eastAsia="zh-CN"/>
              </w:rPr>
            </w:pPr>
            <w:r>
              <w:rPr>
                <w:rFonts w:hint="default"/>
                <w:lang w:val="en-US" w:eastAsia="zh-CN"/>
              </w:rPr>
              <w:t>采购人</w:t>
            </w:r>
          </w:p>
        </w:tc>
        <w:tc>
          <w:tcPr>
            <w:tcW w:w="6548" w:type="dxa"/>
            <w:noWrap w:val="0"/>
            <w:vAlign w:val="center"/>
          </w:tcPr>
          <w:p>
            <w:pPr>
              <w:jc w:val="left"/>
              <w:rPr>
                <w:rFonts w:hint="eastAsia"/>
                <w:lang w:val="en-US" w:eastAsia="zh-CN"/>
              </w:rPr>
            </w:pPr>
            <w:r>
              <w:rPr>
                <w:rFonts w:hint="eastAsia"/>
                <w:lang w:val="en-US" w:eastAsia="zh-CN"/>
              </w:rPr>
              <w:t>名称：新密市农业农村局</w:t>
            </w:r>
          </w:p>
          <w:p>
            <w:pPr>
              <w:jc w:val="left"/>
              <w:rPr>
                <w:rFonts w:hint="eastAsia"/>
                <w:lang w:val="en-US" w:eastAsia="zh-CN"/>
              </w:rPr>
            </w:pPr>
            <w:r>
              <w:rPr>
                <w:rFonts w:hint="eastAsia"/>
                <w:lang w:val="en-US" w:eastAsia="zh-CN"/>
              </w:rPr>
              <w:t>地址：河南省新密市青屏大街35号</w:t>
            </w:r>
          </w:p>
          <w:p>
            <w:pPr>
              <w:jc w:val="left"/>
              <w:rPr>
                <w:rFonts w:hint="eastAsia"/>
                <w:lang w:val="en-US" w:eastAsia="zh-CN"/>
              </w:rPr>
            </w:pPr>
            <w:r>
              <w:rPr>
                <w:rFonts w:hint="eastAsia"/>
                <w:lang w:val="en-US" w:eastAsia="zh-CN"/>
              </w:rPr>
              <w:t>联系人：</w:t>
            </w:r>
            <w:r>
              <w:rPr>
                <w:rFonts w:hint="default"/>
                <w:lang w:val="en-US" w:eastAsia="zh-CN"/>
              </w:rPr>
              <w:t>王</w:t>
            </w:r>
            <w:r>
              <w:rPr>
                <w:rFonts w:hint="eastAsia"/>
                <w:lang w:val="en-US" w:eastAsia="zh-CN"/>
              </w:rPr>
              <w:t xml:space="preserve">先生    </w:t>
            </w:r>
          </w:p>
          <w:p>
            <w:pPr>
              <w:jc w:val="left"/>
              <w:rPr>
                <w:rFonts w:hint="default"/>
                <w:lang w:val="en-US" w:eastAsia="zh-CN"/>
              </w:rPr>
            </w:pPr>
            <w:r>
              <w:rPr>
                <w:rFonts w:hint="eastAsia"/>
                <w:lang w:val="en-US" w:eastAsia="zh-CN"/>
              </w:rPr>
              <w:t>联系方式：</w:t>
            </w:r>
            <w:r>
              <w:rPr>
                <w:rFonts w:hint="default"/>
                <w:b w:val="0"/>
                <w:bCs w:val="0"/>
                <w:lang w:val="en-US" w:eastAsia="zh-CN"/>
              </w:rPr>
              <w:t>0371-60882699</w:t>
            </w:r>
            <w:r>
              <w:rPr>
                <w:rFonts w:hint="eastAsia"/>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0" w:type="auto"/>
            <w:noWrap w:val="0"/>
            <w:vAlign w:val="center"/>
          </w:tcPr>
          <w:p>
            <w:pPr>
              <w:jc w:val="center"/>
              <w:rPr>
                <w:rFonts w:hint="default"/>
                <w:lang w:val="en-US" w:eastAsia="zh-CN"/>
              </w:rPr>
            </w:pPr>
            <w:r>
              <w:rPr>
                <w:rFonts w:hint="default"/>
                <w:lang w:val="en-US" w:eastAsia="zh-CN"/>
              </w:rPr>
              <w:t>1.1.3</w:t>
            </w:r>
          </w:p>
        </w:tc>
        <w:tc>
          <w:tcPr>
            <w:tcW w:w="2289" w:type="dxa"/>
            <w:noWrap w:val="0"/>
            <w:vAlign w:val="center"/>
          </w:tcPr>
          <w:p>
            <w:pPr>
              <w:jc w:val="center"/>
              <w:rPr>
                <w:rFonts w:hint="default"/>
                <w:lang w:val="en-US" w:eastAsia="zh-CN"/>
              </w:rPr>
            </w:pPr>
            <w:r>
              <w:rPr>
                <w:rFonts w:hint="default"/>
                <w:lang w:val="en-US" w:eastAsia="zh-CN"/>
              </w:rPr>
              <w:t>采购代理机构</w:t>
            </w:r>
          </w:p>
        </w:tc>
        <w:tc>
          <w:tcPr>
            <w:tcW w:w="6548" w:type="dxa"/>
            <w:noWrap w:val="0"/>
            <w:vAlign w:val="center"/>
          </w:tcPr>
          <w:p>
            <w:pPr>
              <w:jc w:val="left"/>
              <w:rPr>
                <w:rFonts w:hint="eastAsia"/>
                <w:lang w:val="en-US" w:eastAsia="zh-CN"/>
              </w:rPr>
            </w:pPr>
            <w:r>
              <w:rPr>
                <w:rFonts w:hint="eastAsia"/>
                <w:lang w:val="en-US" w:eastAsia="zh-CN"/>
              </w:rPr>
              <w:t xml:space="preserve">名称:河南省亿达工程管理咨询有限公司 </w:t>
            </w:r>
          </w:p>
          <w:p>
            <w:pPr>
              <w:jc w:val="left"/>
              <w:rPr>
                <w:rFonts w:hint="eastAsia"/>
                <w:lang w:val="en-US" w:eastAsia="zh-CN"/>
              </w:rPr>
            </w:pPr>
            <w:r>
              <w:rPr>
                <w:rFonts w:hint="eastAsia"/>
                <w:lang w:val="en-US" w:eastAsia="zh-CN"/>
              </w:rPr>
              <w:t>地址：郑州市金水区青年路玉凤路升龙环球大厦C座26楼</w:t>
            </w:r>
          </w:p>
          <w:p>
            <w:pPr>
              <w:jc w:val="left"/>
              <w:rPr>
                <w:rFonts w:hint="eastAsia"/>
                <w:lang w:val="en-US" w:eastAsia="zh-CN"/>
              </w:rPr>
            </w:pPr>
            <w:r>
              <w:rPr>
                <w:rFonts w:hint="eastAsia"/>
                <w:lang w:val="en-US" w:eastAsia="zh-CN"/>
              </w:rPr>
              <w:t xml:space="preserve">联 系 人：石春彦 </w:t>
            </w:r>
          </w:p>
          <w:p>
            <w:pPr>
              <w:jc w:val="left"/>
              <w:rPr>
                <w:rFonts w:hint="default"/>
                <w:lang w:val="en-US" w:eastAsia="zh-CN"/>
              </w:rPr>
            </w:pPr>
            <w:r>
              <w:rPr>
                <w:rFonts w:hint="eastAsia"/>
                <w:lang w:val="en-US" w:eastAsia="zh-CN"/>
              </w:rPr>
              <w:t>联系电话：15565055093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0" w:type="auto"/>
            <w:noWrap w:val="0"/>
            <w:vAlign w:val="top"/>
          </w:tcPr>
          <w:p>
            <w:pPr>
              <w:jc w:val="center"/>
              <w:rPr>
                <w:rFonts w:hint="default"/>
                <w:lang w:val="en-US" w:eastAsia="zh-CN"/>
              </w:rPr>
            </w:pPr>
            <w:r>
              <w:rPr>
                <w:rFonts w:hint="default"/>
                <w:lang w:val="en-US" w:eastAsia="zh-CN"/>
              </w:rPr>
              <w:t>1.1.4</w:t>
            </w:r>
          </w:p>
        </w:tc>
        <w:tc>
          <w:tcPr>
            <w:tcW w:w="2289" w:type="dxa"/>
            <w:noWrap w:val="0"/>
            <w:vAlign w:val="top"/>
          </w:tcPr>
          <w:p>
            <w:pPr>
              <w:jc w:val="center"/>
              <w:rPr>
                <w:rFonts w:hint="default"/>
                <w:lang w:val="en-US" w:eastAsia="zh-CN"/>
              </w:rPr>
            </w:pPr>
            <w:r>
              <w:rPr>
                <w:rFonts w:hint="default"/>
                <w:lang w:val="en-US" w:eastAsia="zh-CN"/>
              </w:rPr>
              <w:t>项目名称</w:t>
            </w:r>
          </w:p>
        </w:tc>
        <w:tc>
          <w:tcPr>
            <w:tcW w:w="6548" w:type="dxa"/>
            <w:noWrap w:val="0"/>
            <w:vAlign w:val="top"/>
          </w:tcPr>
          <w:p>
            <w:pPr>
              <w:rPr>
                <w:rFonts w:hint="default"/>
                <w:lang w:val="en-US" w:eastAsia="zh-CN"/>
              </w:rPr>
            </w:pPr>
            <w:r>
              <w:rPr>
                <w:rFonts w:hint="default"/>
                <w:lang w:val="en-US" w:eastAsia="zh-CN"/>
              </w:rPr>
              <w:t>新密市农业农村局新密市2024年新型经营主体设施种植条件改善项目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1.1.5</w:t>
            </w:r>
          </w:p>
        </w:tc>
        <w:tc>
          <w:tcPr>
            <w:tcW w:w="2289" w:type="dxa"/>
            <w:noWrap w:val="0"/>
            <w:vAlign w:val="top"/>
          </w:tcPr>
          <w:p>
            <w:pPr>
              <w:jc w:val="center"/>
              <w:rPr>
                <w:rFonts w:hint="default"/>
                <w:lang w:val="en-US" w:eastAsia="zh-CN"/>
              </w:rPr>
            </w:pPr>
            <w:r>
              <w:rPr>
                <w:rFonts w:hint="default"/>
                <w:lang w:val="en-US" w:eastAsia="zh-CN"/>
              </w:rPr>
              <w:t>建设地点</w:t>
            </w:r>
          </w:p>
        </w:tc>
        <w:tc>
          <w:tcPr>
            <w:tcW w:w="6548" w:type="dxa"/>
            <w:noWrap w:val="0"/>
            <w:vAlign w:val="top"/>
          </w:tcPr>
          <w:p>
            <w:pPr>
              <w:rPr>
                <w:rFonts w:hint="default"/>
                <w:lang w:val="en-US" w:eastAsia="zh-CN"/>
              </w:rPr>
            </w:pPr>
            <w:r>
              <w:rPr>
                <w:rFonts w:hint="default"/>
                <w:lang w:val="en-US" w:eastAsia="zh-CN"/>
              </w:rPr>
              <w:t>新密市境内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top"/>
          </w:tcPr>
          <w:p>
            <w:pPr>
              <w:jc w:val="center"/>
              <w:rPr>
                <w:rFonts w:hint="default"/>
                <w:lang w:val="en-US" w:eastAsia="zh-CN"/>
              </w:rPr>
            </w:pPr>
            <w:r>
              <w:rPr>
                <w:rFonts w:hint="default"/>
                <w:lang w:val="en-US" w:eastAsia="zh-CN"/>
              </w:rPr>
              <w:t>1.1.6</w:t>
            </w:r>
          </w:p>
        </w:tc>
        <w:tc>
          <w:tcPr>
            <w:tcW w:w="2289" w:type="dxa"/>
            <w:noWrap w:val="0"/>
            <w:vAlign w:val="top"/>
          </w:tcPr>
          <w:p>
            <w:pPr>
              <w:jc w:val="center"/>
              <w:rPr>
                <w:rFonts w:hint="default"/>
                <w:lang w:val="en-US" w:eastAsia="zh-CN"/>
              </w:rPr>
            </w:pPr>
            <w:r>
              <w:rPr>
                <w:rFonts w:hint="default"/>
                <w:lang w:val="en-US" w:eastAsia="zh-CN"/>
              </w:rPr>
              <w:t>标段名称</w:t>
            </w:r>
          </w:p>
        </w:tc>
        <w:tc>
          <w:tcPr>
            <w:tcW w:w="6548" w:type="dxa"/>
            <w:noWrap w:val="0"/>
            <w:vAlign w:val="top"/>
          </w:tcPr>
          <w:p>
            <w:pPr>
              <w:rPr>
                <w:rFonts w:hint="default"/>
                <w:lang w:val="en-US" w:eastAsia="zh-CN"/>
              </w:rPr>
            </w:pPr>
            <w:r>
              <w:rPr>
                <w:rFonts w:hint="eastAsia"/>
                <w:lang w:val="en-US" w:eastAsia="zh-CN"/>
              </w:rPr>
              <w:t>第一</w:t>
            </w:r>
            <w:r>
              <w:rPr>
                <w:rFonts w:hint="default"/>
                <w:lang w:val="en-US" w:eastAsia="zh-CN"/>
              </w:rPr>
              <w:t>标段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1.2.1</w:t>
            </w:r>
          </w:p>
        </w:tc>
        <w:tc>
          <w:tcPr>
            <w:tcW w:w="2289" w:type="dxa"/>
            <w:noWrap w:val="0"/>
            <w:vAlign w:val="top"/>
          </w:tcPr>
          <w:p>
            <w:pPr>
              <w:jc w:val="center"/>
              <w:rPr>
                <w:rFonts w:hint="default"/>
                <w:lang w:val="en-US" w:eastAsia="zh-CN"/>
              </w:rPr>
            </w:pPr>
            <w:r>
              <w:rPr>
                <w:rFonts w:hint="default"/>
                <w:lang w:val="en-US" w:eastAsia="zh-CN"/>
              </w:rPr>
              <w:t>资金来源及比例</w:t>
            </w:r>
          </w:p>
        </w:tc>
        <w:tc>
          <w:tcPr>
            <w:tcW w:w="6548" w:type="dxa"/>
            <w:noWrap w:val="0"/>
            <w:vAlign w:val="top"/>
          </w:tcPr>
          <w:p>
            <w:pPr>
              <w:rPr>
                <w:rFonts w:hint="default"/>
                <w:lang w:val="en-US" w:eastAsia="zh-CN"/>
              </w:rPr>
            </w:pPr>
            <w:r>
              <w:rPr>
                <w:rFonts w:hint="default"/>
                <w:lang w:val="en-US" w:eastAsia="zh-CN"/>
              </w:rPr>
              <w:t>财政资金，100%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0" w:type="auto"/>
            <w:noWrap w:val="0"/>
            <w:vAlign w:val="top"/>
          </w:tcPr>
          <w:p>
            <w:pPr>
              <w:jc w:val="center"/>
              <w:rPr>
                <w:rFonts w:hint="default"/>
                <w:lang w:val="en-US" w:eastAsia="zh-CN"/>
              </w:rPr>
            </w:pPr>
            <w:r>
              <w:rPr>
                <w:rFonts w:hint="default"/>
                <w:lang w:val="en-US" w:eastAsia="zh-CN"/>
              </w:rPr>
              <w:t>1.2.2</w:t>
            </w:r>
          </w:p>
        </w:tc>
        <w:tc>
          <w:tcPr>
            <w:tcW w:w="2289" w:type="dxa"/>
            <w:noWrap w:val="0"/>
            <w:vAlign w:val="top"/>
          </w:tcPr>
          <w:p>
            <w:pPr>
              <w:jc w:val="center"/>
              <w:rPr>
                <w:rFonts w:hint="default"/>
                <w:lang w:val="en-US" w:eastAsia="zh-CN"/>
              </w:rPr>
            </w:pPr>
            <w:r>
              <w:rPr>
                <w:rFonts w:hint="default"/>
                <w:lang w:val="en-US" w:eastAsia="zh-CN"/>
              </w:rPr>
              <w:t>资金落实情况</w:t>
            </w:r>
          </w:p>
        </w:tc>
        <w:tc>
          <w:tcPr>
            <w:tcW w:w="6548" w:type="dxa"/>
            <w:noWrap w:val="0"/>
            <w:vAlign w:val="top"/>
          </w:tcPr>
          <w:p>
            <w:pPr>
              <w:rPr>
                <w:rFonts w:hint="default"/>
                <w:lang w:val="en-US" w:eastAsia="zh-CN"/>
              </w:rPr>
            </w:pPr>
            <w:r>
              <w:rPr>
                <w:rFonts w:hint="default"/>
                <w:lang w:val="en-US" w:eastAsia="zh-CN"/>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center"/>
          </w:tcPr>
          <w:p>
            <w:pPr>
              <w:jc w:val="center"/>
              <w:rPr>
                <w:rFonts w:hint="default"/>
                <w:lang w:val="en-US" w:eastAsia="zh-CN"/>
              </w:rPr>
            </w:pPr>
            <w:r>
              <w:rPr>
                <w:rFonts w:hint="default"/>
                <w:lang w:val="en-US" w:eastAsia="zh-CN"/>
              </w:rPr>
              <w:t>1.3.1</w:t>
            </w:r>
          </w:p>
        </w:tc>
        <w:tc>
          <w:tcPr>
            <w:tcW w:w="2289" w:type="dxa"/>
            <w:noWrap w:val="0"/>
            <w:vAlign w:val="center"/>
          </w:tcPr>
          <w:p>
            <w:pPr>
              <w:jc w:val="center"/>
              <w:rPr>
                <w:rFonts w:hint="default"/>
                <w:lang w:val="en-US" w:eastAsia="zh-CN"/>
              </w:rPr>
            </w:pPr>
            <w:r>
              <w:rPr>
                <w:rFonts w:hint="default"/>
                <w:lang w:val="en-US" w:eastAsia="zh-CN"/>
              </w:rPr>
              <w:t>采购内容</w:t>
            </w:r>
          </w:p>
        </w:tc>
        <w:tc>
          <w:tcPr>
            <w:tcW w:w="6548" w:type="dxa"/>
            <w:noWrap w:val="0"/>
            <w:vAlign w:val="top"/>
          </w:tcPr>
          <w:p>
            <w:pPr>
              <w:rPr>
                <w:rFonts w:hint="default"/>
                <w:lang w:val="en-US" w:eastAsia="zh-CN"/>
              </w:rPr>
            </w:pPr>
            <w:r>
              <w:rPr>
                <w:rFonts w:hint="default"/>
                <w:lang w:val="en-US" w:eastAsia="zh-CN"/>
              </w:rPr>
              <w:t>新密市田丰种植专业合作社联栋薄膜大棚(两个)工程图纸及工程量清单所含全部内容；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1.3.2</w:t>
            </w:r>
          </w:p>
        </w:tc>
        <w:tc>
          <w:tcPr>
            <w:tcW w:w="2289" w:type="dxa"/>
            <w:noWrap w:val="0"/>
            <w:vAlign w:val="top"/>
          </w:tcPr>
          <w:p>
            <w:pPr>
              <w:jc w:val="center"/>
              <w:rPr>
                <w:rFonts w:hint="default"/>
                <w:highlight w:val="none"/>
                <w:lang w:val="en-US" w:eastAsia="zh-CN"/>
              </w:rPr>
            </w:pPr>
            <w:r>
              <w:rPr>
                <w:rFonts w:hint="default"/>
                <w:highlight w:val="none"/>
                <w:lang w:val="en-US" w:eastAsia="zh-CN"/>
              </w:rPr>
              <w:t>计划工期</w:t>
            </w:r>
          </w:p>
        </w:tc>
        <w:tc>
          <w:tcPr>
            <w:tcW w:w="6548" w:type="dxa"/>
            <w:noWrap w:val="0"/>
            <w:vAlign w:val="top"/>
          </w:tcPr>
          <w:p>
            <w:pPr>
              <w:rPr>
                <w:rFonts w:hint="default"/>
                <w:highlight w:val="none"/>
                <w:lang w:val="en-US" w:eastAsia="zh-CN"/>
              </w:rPr>
            </w:pPr>
            <w:r>
              <w:rPr>
                <w:rFonts w:hint="eastAsia"/>
                <w:highlight w:val="none"/>
                <w:lang w:val="en-US" w:eastAsia="zh-CN"/>
              </w:rPr>
              <w:t>60</w:t>
            </w:r>
            <w:r>
              <w:rPr>
                <w:rFonts w:hint="default"/>
                <w:highlight w:val="none"/>
                <w:lang w:val="en-US"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top"/>
          </w:tcPr>
          <w:p>
            <w:pPr>
              <w:jc w:val="center"/>
              <w:rPr>
                <w:rFonts w:hint="default"/>
                <w:lang w:val="en-US" w:eastAsia="zh-CN"/>
              </w:rPr>
            </w:pPr>
            <w:r>
              <w:rPr>
                <w:rFonts w:hint="default"/>
                <w:lang w:val="en-US" w:eastAsia="zh-CN"/>
              </w:rPr>
              <w:t>1.3.3</w:t>
            </w:r>
          </w:p>
        </w:tc>
        <w:tc>
          <w:tcPr>
            <w:tcW w:w="2289" w:type="dxa"/>
            <w:noWrap w:val="0"/>
            <w:vAlign w:val="top"/>
          </w:tcPr>
          <w:p>
            <w:pPr>
              <w:jc w:val="center"/>
              <w:rPr>
                <w:rFonts w:hint="default"/>
                <w:lang w:val="en-US" w:eastAsia="zh-CN"/>
              </w:rPr>
            </w:pPr>
            <w:r>
              <w:rPr>
                <w:rFonts w:hint="default"/>
                <w:lang w:val="en-US" w:eastAsia="zh-CN"/>
              </w:rPr>
              <w:t>质量要求</w:t>
            </w:r>
          </w:p>
        </w:tc>
        <w:tc>
          <w:tcPr>
            <w:tcW w:w="6548" w:type="dxa"/>
            <w:noWrap w:val="0"/>
            <w:vAlign w:val="top"/>
          </w:tcPr>
          <w:p>
            <w:pPr>
              <w:rPr>
                <w:rFonts w:hint="default"/>
                <w:lang w:val="en-US" w:eastAsia="zh-CN"/>
              </w:rPr>
            </w:pPr>
            <w:r>
              <w:rPr>
                <w:rFonts w:hint="default"/>
                <w:lang w:val="en-US" w:eastAsia="zh-CN"/>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0" w:type="auto"/>
            <w:noWrap w:val="0"/>
            <w:vAlign w:val="top"/>
          </w:tcPr>
          <w:p>
            <w:pPr>
              <w:jc w:val="center"/>
              <w:rPr>
                <w:rFonts w:hint="default"/>
                <w:lang w:val="en-US" w:eastAsia="zh-CN"/>
              </w:rPr>
            </w:pPr>
            <w:r>
              <w:rPr>
                <w:rFonts w:hint="default"/>
                <w:lang w:val="en-US" w:eastAsia="zh-CN"/>
              </w:rPr>
              <w:t>1.3.4</w:t>
            </w:r>
          </w:p>
        </w:tc>
        <w:tc>
          <w:tcPr>
            <w:tcW w:w="2289" w:type="dxa"/>
            <w:noWrap w:val="0"/>
            <w:vAlign w:val="top"/>
          </w:tcPr>
          <w:p>
            <w:pPr>
              <w:jc w:val="center"/>
              <w:rPr>
                <w:rFonts w:hint="default"/>
                <w:lang w:val="en-US" w:eastAsia="zh-CN"/>
              </w:rPr>
            </w:pPr>
            <w:r>
              <w:rPr>
                <w:rFonts w:hint="default"/>
                <w:lang w:val="en-US" w:eastAsia="zh-CN"/>
              </w:rPr>
              <w:t>缺陷责任期</w:t>
            </w:r>
          </w:p>
        </w:tc>
        <w:tc>
          <w:tcPr>
            <w:tcW w:w="6548" w:type="dxa"/>
            <w:noWrap w:val="0"/>
            <w:vAlign w:val="top"/>
          </w:tcPr>
          <w:p>
            <w:pPr>
              <w:rPr>
                <w:rFonts w:hint="default"/>
                <w:lang w:val="en-US" w:eastAsia="zh-CN"/>
              </w:rPr>
            </w:pPr>
            <w:r>
              <w:rPr>
                <w:rFonts w:hint="default"/>
                <w:lang w:val="en-US" w:eastAsia="zh-CN"/>
              </w:rPr>
              <w:t>12 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0" w:type="auto"/>
            <w:noWrap w:val="0"/>
            <w:vAlign w:val="center"/>
          </w:tcPr>
          <w:p>
            <w:pPr>
              <w:jc w:val="center"/>
              <w:rPr>
                <w:rFonts w:hint="default"/>
                <w:lang w:val="en-US" w:eastAsia="zh-CN"/>
              </w:rPr>
            </w:pPr>
            <w:r>
              <w:rPr>
                <w:rFonts w:hint="default"/>
                <w:lang w:val="en-US" w:eastAsia="zh-CN"/>
              </w:rPr>
              <w:t>1.4.1</w:t>
            </w:r>
          </w:p>
        </w:tc>
        <w:tc>
          <w:tcPr>
            <w:tcW w:w="2289" w:type="dxa"/>
            <w:noWrap w:val="0"/>
            <w:vAlign w:val="center"/>
          </w:tcPr>
          <w:p>
            <w:pPr>
              <w:jc w:val="center"/>
              <w:rPr>
                <w:rFonts w:hint="default"/>
                <w:lang w:val="en-US" w:eastAsia="zh-CN"/>
              </w:rPr>
            </w:pPr>
            <w:r>
              <w:rPr>
                <w:rFonts w:hint="default"/>
                <w:lang w:val="en-US" w:eastAsia="zh-CN"/>
              </w:rPr>
              <w:t>供应商资格要求</w:t>
            </w:r>
          </w:p>
        </w:tc>
        <w:tc>
          <w:tcPr>
            <w:tcW w:w="6548" w:type="dxa"/>
            <w:noWrap w:val="0"/>
            <w:vAlign w:val="top"/>
          </w:tcPr>
          <w:p>
            <w:pPr>
              <w:rPr>
                <w:rFonts w:hint="default"/>
                <w:lang w:val="en-US" w:eastAsia="zh-CN"/>
              </w:rPr>
            </w:pPr>
            <w:r>
              <w:rPr>
                <w:rFonts w:hint="default"/>
                <w:lang w:val="en-US" w:eastAsia="zh-CN"/>
              </w:rPr>
              <w:t>1、满足《中华人民共和国政府采购法》第二十二条规定；(供应商参加竞争性磋商时，1.2-1.5项内容按照规定提供相关声明函，详见响应文件格式 ）</w:t>
            </w:r>
          </w:p>
          <w:p>
            <w:pPr>
              <w:rPr>
                <w:rFonts w:hint="default"/>
                <w:lang w:val="en-US" w:eastAsia="zh-CN"/>
              </w:rPr>
            </w:pPr>
            <w:r>
              <w:rPr>
                <w:rFonts w:hint="default"/>
                <w:lang w:val="en-US" w:eastAsia="zh-CN"/>
              </w:rPr>
              <w:t>1.1 具有独立承担民事责任的能力。</w:t>
            </w:r>
          </w:p>
          <w:p>
            <w:pPr>
              <w:rPr>
                <w:rFonts w:hint="default"/>
                <w:lang w:val="en-US" w:eastAsia="zh-CN"/>
              </w:rPr>
            </w:pPr>
            <w:r>
              <w:rPr>
                <w:rFonts w:hint="default"/>
                <w:lang w:val="en-US" w:eastAsia="zh-CN"/>
              </w:rPr>
              <w:t>1.2 具有良好的商业信誉和健全的财务会计制度。</w:t>
            </w:r>
          </w:p>
          <w:p>
            <w:pPr>
              <w:rPr>
                <w:rFonts w:hint="default"/>
                <w:lang w:val="en-US" w:eastAsia="zh-CN"/>
              </w:rPr>
            </w:pPr>
            <w:r>
              <w:rPr>
                <w:rFonts w:hint="default"/>
                <w:lang w:val="en-US" w:eastAsia="zh-CN"/>
              </w:rPr>
              <w:t>1.3 具有履行合同所必需的设备和专业技术能力。</w:t>
            </w:r>
          </w:p>
          <w:p>
            <w:pPr>
              <w:rPr>
                <w:rFonts w:hint="default"/>
                <w:lang w:val="en-US" w:eastAsia="zh-CN"/>
              </w:rPr>
            </w:pPr>
            <w:r>
              <w:rPr>
                <w:rFonts w:hint="default"/>
                <w:lang w:val="en-US" w:eastAsia="zh-CN"/>
              </w:rPr>
              <w:t>1.4 有依法缴纳税收和社会保障资金的良好记录。</w:t>
            </w:r>
          </w:p>
          <w:p>
            <w:pPr>
              <w:rPr>
                <w:rFonts w:hint="default"/>
                <w:lang w:val="en-US" w:eastAsia="zh-CN"/>
              </w:rPr>
            </w:pPr>
            <w:r>
              <w:rPr>
                <w:rFonts w:hint="default"/>
                <w:lang w:val="en-US" w:eastAsia="zh-CN"/>
              </w:rPr>
              <w:t>1.5 参加政府采购活动前三年内，在经营活动中没有重大违法记录。</w:t>
            </w:r>
          </w:p>
          <w:p>
            <w:pPr>
              <w:rPr>
                <w:rFonts w:hint="default"/>
                <w:lang w:val="en-US" w:eastAsia="zh-CN"/>
              </w:rPr>
            </w:pPr>
            <w:r>
              <w:rPr>
                <w:rFonts w:hint="default"/>
                <w:lang w:val="en-US" w:eastAsia="zh-CN"/>
              </w:rPr>
              <w:t>2、落实政府采购政策满足的资格要求：本项目为专门面向中小企业采购的采购项目。</w:t>
            </w:r>
          </w:p>
          <w:p>
            <w:pPr>
              <w:rPr>
                <w:rFonts w:hint="default"/>
                <w:lang w:val="en-US" w:eastAsia="zh-CN"/>
              </w:rPr>
            </w:pPr>
            <w:r>
              <w:rPr>
                <w:rFonts w:hint="default"/>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default"/>
                <w:lang w:val="en-US" w:eastAsia="zh-CN"/>
              </w:rPr>
              <w:t>3.1 响应人具有建设行政主管部门核发的房屋建筑工程施工总承包叁级（含）及以上资质，并具有有效的安全生产许可证，并在人员、设备、资金等方面具有相应的施工能力。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default"/>
                <w:lang w:val="en-US" w:eastAsia="zh-CN"/>
              </w:rPr>
              <w:t>拟派项目经理须具备建筑工程专业贰级（含）及以上注册建造师执业资格（不含临时），具备有效的安全生产考核合格证书，项目经理出具无在建证明。项目经理为本单位员工，并具有劳动合同和本单位缴纳的养老保险证明。</w:t>
            </w:r>
          </w:p>
          <w:p>
            <w:pPr>
              <w:rPr>
                <w:rFonts w:hint="default"/>
                <w:lang w:val="en-US" w:eastAsia="zh-CN"/>
              </w:rPr>
            </w:pPr>
            <w:r>
              <w:rPr>
                <w:rFonts w:hint="default"/>
                <w:lang w:val="en-US" w:eastAsia="zh-CN"/>
              </w:rPr>
              <w:t>3.2 根据《关于在政府采购活动中查询及使用信用记录有关问题的通知》(财库[2016]125号)的规定，采购人或采购代理机构将在开标后至评标结束前通过“信用中国”网站（www.creditchina.gov.cn）、“中国执行信息公开网”网站（zxgk.court.gov.cn）和“中国政府采购网”网站（www.ccgp.gov.cn）查询企业的信用记录，列入“中国执行信息公开网”网站的“失信被执行人”、“信用中国”网站的“重大税收违法案件当事人”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rPr>
                <w:rFonts w:hint="default"/>
                <w:lang w:val="en-US" w:eastAsia="zh-CN"/>
              </w:rPr>
            </w:pPr>
            <w:r>
              <w:rPr>
                <w:rFonts w:hint="default"/>
                <w:lang w:val="en-US" w:eastAsia="zh-CN"/>
              </w:rPr>
              <w:t>3.3 单位负责人为同一人或者存在直接控股、管理关系的不同供应商，不得参加同一合同项下的政府采购活动（提供国家企业信用信息公示系统截图或相关承诺书）；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center"/>
          </w:tcPr>
          <w:p>
            <w:pPr>
              <w:jc w:val="center"/>
              <w:rPr>
                <w:rFonts w:hint="default"/>
                <w:lang w:val="en-US" w:eastAsia="zh-CN"/>
              </w:rPr>
            </w:pPr>
            <w:r>
              <w:rPr>
                <w:rFonts w:hint="default"/>
                <w:lang w:val="en-US" w:eastAsia="zh-CN"/>
              </w:rPr>
              <w:t>1.4.2</w:t>
            </w:r>
          </w:p>
        </w:tc>
        <w:tc>
          <w:tcPr>
            <w:tcW w:w="2289" w:type="dxa"/>
            <w:noWrap w:val="0"/>
            <w:vAlign w:val="center"/>
          </w:tcPr>
          <w:p>
            <w:pPr>
              <w:jc w:val="center"/>
              <w:rPr>
                <w:rFonts w:hint="default"/>
                <w:lang w:val="en-US" w:eastAsia="zh-CN"/>
              </w:rPr>
            </w:pPr>
            <w:r>
              <w:rPr>
                <w:rFonts w:hint="default"/>
                <w:lang w:val="en-US" w:eastAsia="zh-CN"/>
              </w:rPr>
              <w:t>是否接受联合体投标</w:t>
            </w:r>
          </w:p>
        </w:tc>
        <w:tc>
          <w:tcPr>
            <w:tcW w:w="6548" w:type="dxa"/>
            <w:noWrap w:val="0"/>
            <w:vAlign w:val="center"/>
          </w:tcPr>
          <w:p>
            <w:pPr>
              <w:rPr>
                <w:rFonts w:hint="default"/>
                <w:lang w:val="en-US" w:eastAsia="zh-CN"/>
              </w:rPr>
            </w:pPr>
            <w:r>
              <w:rPr>
                <w:rFonts w:hint="default"/>
                <w:lang w:val="en-US" w:eastAsia="zh-CN"/>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center"/>
          </w:tcPr>
          <w:p>
            <w:pPr>
              <w:jc w:val="center"/>
              <w:rPr>
                <w:rFonts w:hint="default"/>
                <w:lang w:val="en-US" w:eastAsia="zh-CN"/>
              </w:rPr>
            </w:pPr>
            <w:r>
              <w:rPr>
                <w:rFonts w:hint="default"/>
                <w:lang w:val="en-US" w:eastAsia="zh-CN"/>
              </w:rPr>
              <w:t>1.9.1</w:t>
            </w:r>
          </w:p>
        </w:tc>
        <w:tc>
          <w:tcPr>
            <w:tcW w:w="2289" w:type="dxa"/>
            <w:noWrap w:val="0"/>
            <w:vAlign w:val="center"/>
          </w:tcPr>
          <w:p>
            <w:pPr>
              <w:jc w:val="center"/>
              <w:rPr>
                <w:rFonts w:hint="default"/>
                <w:lang w:val="en-US" w:eastAsia="zh-CN"/>
              </w:rPr>
            </w:pPr>
            <w:r>
              <w:rPr>
                <w:rFonts w:hint="default"/>
                <w:lang w:val="en-US" w:eastAsia="zh-CN"/>
              </w:rPr>
              <w:t>踏勘现场</w:t>
            </w:r>
          </w:p>
        </w:tc>
        <w:tc>
          <w:tcPr>
            <w:tcW w:w="6548" w:type="dxa"/>
            <w:noWrap w:val="0"/>
            <w:vAlign w:val="center"/>
          </w:tcPr>
          <w:p>
            <w:pPr>
              <w:rPr>
                <w:rFonts w:hint="default"/>
                <w:lang w:val="en-US" w:eastAsia="zh-CN"/>
              </w:rPr>
            </w:pPr>
            <w:r>
              <w:rPr>
                <w:rFonts w:hint="default"/>
                <w:lang w:val="en-US" w:eastAsia="zh-CN"/>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0" w:type="auto"/>
            <w:noWrap w:val="0"/>
            <w:vAlign w:val="center"/>
          </w:tcPr>
          <w:p>
            <w:pPr>
              <w:jc w:val="center"/>
              <w:rPr>
                <w:rFonts w:hint="default"/>
                <w:lang w:val="en-US" w:eastAsia="zh-CN"/>
              </w:rPr>
            </w:pPr>
            <w:r>
              <w:rPr>
                <w:rFonts w:hint="default"/>
                <w:lang w:val="en-US" w:eastAsia="zh-CN"/>
              </w:rPr>
              <w:t>1.10</w:t>
            </w:r>
          </w:p>
        </w:tc>
        <w:tc>
          <w:tcPr>
            <w:tcW w:w="2289" w:type="dxa"/>
            <w:noWrap w:val="0"/>
            <w:vAlign w:val="center"/>
          </w:tcPr>
          <w:p>
            <w:pPr>
              <w:jc w:val="center"/>
              <w:rPr>
                <w:rFonts w:hint="default"/>
                <w:lang w:val="en-US" w:eastAsia="zh-CN"/>
              </w:rPr>
            </w:pPr>
            <w:r>
              <w:rPr>
                <w:rFonts w:hint="default"/>
                <w:lang w:val="en-US" w:eastAsia="zh-CN"/>
              </w:rPr>
              <w:t>答疑会</w:t>
            </w:r>
          </w:p>
        </w:tc>
        <w:tc>
          <w:tcPr>
            <w:tcW w:w="6548" w:type="dxa"/>
            <w:noWrap w:val="0"/>
            <w:vAlign w:val="center"/>
          </w:tcPr>
          <w:p>
            <w:pPr>
              <w:rPr>
                <w:rFonts w:hint="default"/>
                <w:lang w:val="en-US" w:eastAsia="zh-CN"/>
              </w:rPr>
            </w:pPr>
            <w:r>
              <w:rPr>
                <w:rFonts w:hint="default"/>
                <w:lang w:val="en-US" w:eastAsia="zh-CN"/>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center"/>
          </w:tcPr>
          <w:p>
            <w:pPr>
              <w:jc w:val="center"/>
              <w:rPr>
                <w:rFonts w:hint="default"/>
                <w:lang w:val="en-US" w:eastAsia="zh-CN"/>
              </w:rPr>
            </w:pPr>
            <w:r>
              <w:rPr>
                <w:rFonts w:hint="default"/>
                <w:lang w:val="en-US" w:eastAsia="zh-CN"/>
              </w:rPr>
              <w:t>1.11</w:t>
            </w:r>
          </w:p>
        </w:tc>
        <w:tc>
          <w:tcPr>
            <w:tcW w:w="2289" w:type="dxa"/>
            <w:noWrap w:val="0"/>
            <w:vAlign w:val="center"/>
          </w:tcPr>
          <w:p>
            <w:pPr>
              <w:jc w:val="center"/>
              <w:rPr>
                <w:rFonts w:hint="default"/>
                <w:lang w:val="en-US" w:eastAsia="zh-CN"/>
              </w:rPr>
            </w:pPr>
            <w:r>
              <w:rPr>
                <w:rFonts w:hint="default"/>
                <w:lang w:val="en-US" w:eastAsia="zh-CN"/>
              </w:rPr>
              <w:t>分包</w:t>
            </w:r>
          </w:p>
        </w:tc>
        <w:tc>
          <w:tcPr>
            <w:tcW w:w="6548" w:type="dxa"/>
            <w:noWrap w:val="0"/>
            <w:vAlign w:val="center"/>
          </w:tcPr>
          <w:p>
            <w:pPr>
              <w:rPr>
                <w:rFonts w:hint="default"/>
                <w:lang w:val="en-US" w:eastAsia="zh-CN"/>
              </w:rPr>
            </w:pPr>
            <w:r>
              <w:rPr>
                <w:rFonts w:hint="default"/>
                <w:lang w:val="en-US" w:eastAsia="zh-CN"/>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0" w:type="auto"/>
            <w:noWrap w:val="0"/>
            <w:vAlign w:val="center"/>
          </w:tcPr>
          <w:p>
            <w:pPr>
              <w:jc w:val="center"/>
              <w:rPr>
                <w:rFonts w:hint="default"/>
                <w:lang w:val="en-US" w:eastAsia="zh-CN"/>
              </w:rPr>
            </w:pPr>
            <w:r>
              <w:rPr>
                <w:rFonts w:hint="default"/>
                <w:lang w:val="en-US" w:eastAsia="zh-CN"/>
              </w:rPr>
              <w:t>1.12</w:t>
            </w:r>
          </w:p>
        </w:tc>
        <w:tc>
          <w:tcPr>
            <w:tcW w:w="2289" w:type="dxa"/>
            <w:noWrap w:val="0"/>
            <w:vAlign w:val="center"/>
          </w:tcPr>
          <w:p>
            <w:pPr>
              <w:jc w:val="center"/>
              <w:rPr>
                <w:rFonts w:hint="default"/>
                <w:lang w:val="en-US" w:eastAsia="zh-CN"/>
              </w:rPr>
            </w:pPr>
            <w:r>
              <w:rPr>
                <w:rFonts w:hint="default"/>
                <w:lang w:val="en-US" w:eastAsia="zh-CN"/>
              </w:rPr>
              <w:t>偏离</w:t>
            </w:r>
          </w:p>
        </w:tc>
        <w:tc>
          <w:tcPr>
            <w:tcW w:w="6548" w:type="dxa"/>
            <w:noWrap w:val="0"/>
            <w:vAlign w:val="center"/>
          </w:tcPr>
          <w:p>
            <w:pPr>
              <w:rPr>
                <w:rFonts w:hint="default"/>
                <w:lang w:val="en-US" w:eastAsia="zh-CN"/>
              </w:rPr>
            </w:pPr>
            <w:r>
              <w:rPr>
                <w:rFonts w:hint="default"/>
                <w:lang w:val="en-US" w:eastAsia="zh-CN"/>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0" w:type="auto"/>
            <w:noWrap w:val="0"/>
            <w:vAlign w:val="center"/>
          </w:tcPr>
          <w:p>
            <w:pPr>
              <w:jc w:val="center"/>
              <w:rPr>
                <w:rFonts w:hint="default"/>
                <w:lang w:val="en-US" w:eastAsia="zh-CN"/>
              </w:rPr>
            </w:pPr>
            <w:r>
              <w:rPr>
                <w:rFonts w:hint="default"/>
                <w:lang w:val="en-US" w:eastAsia="zh-CN"/>
              </w:rPr>
              <w:t>2.1</w:t>
            </w:r>
          </w:p>
        </w:tc>
        <w:tc>
          <w:tcPr>
            <w:tcW w:w="2289" w:type="dxa"/>
            <w:noWrap w:val="0"/>
            <w:vAlign w:val="center"/>
          </w:tcPr>
          <w:p>
            <w:pPr>
              <w:jc w:val="center"/>
              <w:rPr>
                <w:rFonts w:hint="default"/>
                <w:lang w:val="en-US" w:eastAsia="zh-CN"/>
              </w:rPr>
            </w:pPr>
            <w:r>
              <w:rPr>
                <w:rFonts w:hint="default"/>
                <w:lang w:val="en-US" w:eastAsia="zh-CN"/>
              </w:rPr>
              <w:t>构成竞争性磋商文件的其他材料</w:t>
            </w:r>
          </w:p>
        </w:tc>
        <w:tc>
          <w:tcPr>
            <w:tcW w:w="6548" w:type="dxa"/>
            <w:noWrap w:val="0"/>
            <w:vAlign w:val="center"/>
          </w:tcPr>
          <w:p>
            <w:pPr>
              <w:rPr>
                <w:rFonts w:hint="default"/>
                <w:lang w:val="en-US" w:eastAsia="zh-CN"/>
              </w:rPr>
            </w:pPr>
            <w:r>
              <w:rPr>
                <w:rFonts w:hint="default"/>
                <w:lang w:val="en-US" w:eastAsia="zh-CN"/>
              </w:rPr>
              <w:t>竞争性磋商文件的补充文件（如有）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1" w:hRule="atLeast"/>
        </w:trPr>
        <w:tc>
          <w:tcPr>
            <w:tcW w:w="0" w:type="auto"/>
            <w:noWrap w:val="0"/>
            <w:vAlign w:val="center"/>
          </w:tcPr>
          <w:p>
            <w:pPr>
              <w:jc w:val="center"/>
              <w:rPr>
                <w:rFonts w:hint="default"/>
                <w:lang w:val="en-US" w:eastAsia="zh-CN"/>
              </w:rPr>
            </w:pPr>
            <w:r>
              <w:rPr>
                <w:rFonts w:hint="default"/>
                <w:lang w:val="en-US" w:eastAsia="zh-CN"/>
              </w:rPr>
              <w:t>2.2.2</w:t>
            </w:r>
          </w:p>
        </w:tc>
        <w:tc>
          <w:tcPr>
            <w:tcW w:w="2289" w:type="dxa"/>
            <w:noWrap w:val="0"/>
            <w:vAlign w:val="center"/>
          </w:tcPr>
          <w:p>
            <w:pPr>
              <w:jc w:val="center"/>
              <w:rPr>
                <w:rFonts w:hint="default"/>
                <w:lang w:val="en-US" w:eastAsia="zh-CN"/>
              </w:rPr>
            </w:pPr>
            <w:r>
              <w:rPr>
                <w:rFonts w:hint="default"/>
                <w:lang w:val="en-US" w:eastAsia="zh-CN"/>
              </w:rPr>
              <w:t>竞争性磋商文件的澄清或修改</w:t>
            </w:r>
          </w:p>
        </w:tc>
        <w:tc>
          <w:tcPr>
            <w:tcW w:w="6548" w:type="dxa"/>
            <w:noWrap w:val="0"/>
            <w:vAlign w:val="center"/>
          </w:tcPr>
          <w:p>
            <w:pPr>
              <w:rPr>
                <w:rFonts w:hint="default"/>
                <w:lang w:val="en-US" w:eastAsia="zh-CN"/>
              </w:rPr>
            </w:pPr>
            <w:r>
              <w:rPr>
                <w:rFonts w:hint="default"/>
                <w:lang w:val="en-US" w:eastAsia="zh-CN"/>
              </w:rPr>
              <w:t>提交竞争性磋商响应文件截止之日5日前。</w:t>
            </w:r>
          </w:p>
          <w:p>
            <w:pPr>
              <w:rPr>
                <w:rFonts w:hint="default"/>
                <w:lang w:val="en-US" w:eastAsia="zh-CN"/>
              </w:rPr>
            </w:pPr>
            <w:r>
              <w:rPr>
                <w:rFonts w:hint="default"/>
                <w:lang w:val="en-US" w:eastAsia="zh-CN"/>
              </w:rPr>
              <w:t>在新密市公共资源交易中心电子交易平台上发出，供应商应随时关注并及时下载，不再另行通知所有供应商。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0" w:type="auto"/>
            <w:noWrap w:val="0"/>
            <w:vAlign w:val="center"/>
          </w:tcPr>
          <w:p>
            <w:pPr>
              <w:jc w:val="center"/>
              <w:rPr>
                <w:rFonts w:hint="default"/>
                <w:lang w:val="en-US" w:eastAsia="zh-CN"/>
              </w:rPr>
            </w:pPr>
            <w:r>
              <w:rPr>
                <w:rFonts w:hint="default"/>
                <w:lang w:val="en-US" w:eastAsia="zh-CN"/>
              </w:rPr>
              <w:t>3.1.1</w:t>
            </w:r>
          </w:p>
        </w:tc>
        <w:tc>
          <w:tcPr>
            <w:tcW w:w="2289" w:type="dxa"/>
            <w:noWrap w:val="0"/>
            <w:vAlign w:val="center"/>
          </w:tcPr>
          <w:p>
            <w:pPr>
              <w:jc w:val="center"/>
              <w:rPr>
                <w:rFonts w:hint="default"/>
                <w:lang w:val="en-US" w:eastAsia="zh-CN"/>
              </w:rPr>
            </w:pPr>
            <w:r>
              <w:rPr>
                <w:rFonts w:hint="default"/>
                <w:lang w:val="en-US" w:eastAsia="zh-CN"/>
              </w:rPr>
              <w:t>构成响应性文件的其他材料</w:t>
            </w:r>
          </w:p>
        </w:tc>
        <w:tc>
          <w:tcPr>
            <w:tcW w:w="6548" w:type="dxa"/>
            <w:noWrap w:val="0"/>
            <w:vAlign w:val="center"/>
          </w:tcPr>
          <w:p>
            <w:pPr>
              <w:rPr>
                <w:rFonts w:hint="default"/>
                <w:lang w:val="en-US" w:eastAsia="zh-CN"/>
              </w:rPr>
            </w:pPr>
            <w:r>
              <w:rPr>
                <w:rFonts w:hint="default"/>
                <w:lang w:val="en-US" w:eastAsia="zh-CN"/>
              </w:rPr>
              <w:t>供应商认为应附的其他材料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0" w:type="auto"/>
            <w:noWrap w:val="0"/>
            <w:vAlign w:val="center"/>
          </w:tcPr>
          <w:p>
            <w:pPr>
              <w:jc w:val="center"/>
              <w:rPr>
                <w:rFonts w:hint="default"/>
                <w:lang w:val="en-US" w:eastAsia="zh-CN"/>
              </w:rPr>
            </w:pPr>
            <w:r>
              <w:rPr>
                <w:rFonts w:hint="default"/>
                <w:lang w:val="en-US" w:eastAsia="zh-CN"/>
              </w:rPr>
              <w:t>3.2.3</w:t>
            </w:r>
          </w:p>
        </w:tc>
        <w:tc>
          <w:tcPr>
            <w:tcW w:w="2289" w:type="dxa"/>
            <w:noWrap w:val="0"/>
            <w:vAlign w:val="center"/>
          </w:tcPr>
          <w:p>
            <w:pPr>
              <w:jc w:val="center"/>
              <w:rPr>
                <w:rFonts w:hint="default"/>
                <w:lang w:val="en-US" w:eastAsia="zh-CN"/>
              </w:rPr>
            </w:pPr>
            <w:r>
              <w:rPr>
                <w:rFonts w:hint="default"/>
                <w:lang w:val="en-US" w:eastAsia="zh-CN"/>
              </w:rPr>
              <w:t>政府采购政策</w:t>
            </w:r>
          </w:p>
        </w:tc>
        <w:tc>
          <w:tcPr>
            <w:tcW w:w="6548" w:type="dxa"/>
            <w:noWrap w:val="0"/>
            <w:vAlign w:val="top"/>
          </w:tcPr>
          <w:p>
            <w:pPr>
              <w:rPr>
                <w:rFonts w:hint="default"/>
                <w:lang w:val="en-US" w:eastAsia="zh-CN"/>
              </w:rPr>
            </w:pPr>
            <w:r>
              <w:rPr>
                <w:rFonts w:hint="default"/>
                <w:lang w:val="en-US" w:eastAsia="zh-CN"/>
              </w:rPr>
              <w:t>本项目属于专门面向中小企业采购，监狱企业、残疾人福利性企业视同小微企业。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0" w:type="auto"/>
            <w:noWrap w:val="0"/>
            <w:vAlign w:val="center"/>
          </w:tcPr>
          <w:p>
            <w:pPr>
              <w:jc w:val="center"/>
              <w:rPr>
                <w:rFonts w:hint="default"/>
                <w:lang w:val="en-US" w:eastAsia="zh-CN"/>
              </w:rPr>
            </w:pPr>
            <w:r>
              <w:rPr>
                <w:rFonts w:hint="default"/>
                <w:lang w:val="en-US" w:eastAsia="zh-CN"/>
              </w:rPr>
              <w:t>3.3.1</w:t>
            </w:r>
          </w:p>
        </w:tc>
        <w:tc>
          <w:tcPr>
            <w:tcW w:w="2289" w:type="dxa"/>
            <w:noWrap w:val="0"/>
            <w:vAlign w:val="center"/>
          </w:tcPr>
          <w:p>
            <w:pPr>
              <w:jc w:val="center"/>
              <w:rPr>
                <w:rFonts w:hint="default"/>
                <w:lang w:val="en-US" w:eastAsia="zh-CN"/>
              </w:rPr>
            </w:pPr>
            <w:r>
              <w:rPr>
                <w:rFonts w:hint="default"/>
                <w:lang w:val="en-US" w:eastAsia="zh-CN"/>
              </w:rPr>
              <w:t>磋商有效期</w:t>
            </w:r>
          </w:p>
        </w:tc>
        <w:tc>
          <w:tcPr>
            <w:tcW w:w="6548" w:type="dxa"/>
            <w:noWrap w:val="0"/>
            <w:vAlign w:val="top"/>
          </w:tcPr>
          <w:p>
            <w:pPr>
              <w:rPr>
                <w:rFonts w:hint="default"/>
                <w:lang w:val="en-US" w:eastAsia="zh-CN"/>
              </w:rPr>
            </w:pPr>
            <w:r>
              <w:rPr>
                <w:rFonts w:hint="default"/>
                <w:lang w:val="en-US" w:eastAsia="zh-CN"/>
              </w:rPr>
              <w:t>60 日历天（从响应文件递交截止之日算起）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0" w:type="auto"/>
            <w:noWrap w:val="0"/>
            <w:vAlign w:val="center"/>
          </w:tcPr>
          <w:p>
            <w:pPr>
              <w:jc w:val="center"/>
              <w:rPr>
                <w:rFonts w:hint="default"/>
                <w:lang w:val="en-US" w:eastAsia="zh-CN"/>
              </w:rPr>
            </w:pPr>
            <w:r>
              <w:rPr>
                <w:rFonts w:hint="default"/>
                <w:lang w:val="en-US" w:eastAsia="zh-CN"/>
              </w:rPr>
              <w:t>3.4.1</w:t>
            </w:r>
          </w:p>
        </w:tc>
        <w:tc>
          <w:tcPr>
            <w:tcW w:w="2289" w:type="dxa"/>
            <w:noWrap w:val="0"/>
            <w:vAlign w:val="center"/>
          </w:tcPr>
          <w:p>
            <w:pPr>
              <w:jc w:val="center"/>
              <w:rPr>
                <w:rFonts w:hint="default"/>
                <w:lang w:val="en-US" w:eastAsia="zh-CN"/>
              </w:rPr>
            </w:pPr>
            <w:r>
              <w:rPr>
                <w:rFonts w:hint="default"/>
                <w:lang w:val="en-US" w:eastAsia="zh-CN"/>
              </w:rPr>
              <w:t>磋商保证金</w:t>
            </w:r>
          </w:p>
        </w:tc>
        <w:tc>
          <w:tcPr>
            <w:tcW w:w="6548" w:type="dxa"/>
            <w:noWrap w:val="0"/>
            <w:vAlign w:val="top"/>
          </w:tcPr>
          <w:p>
            <w:pPr>
              <w:rPr>
                <w:rFonts w:hint="default"/>
                <w:lang w:val="en-US" w:eastAsia="zh-CN"/>
              </w:rPr>
            </w:pPr>
            <w:r>
              <w:rPr>
                <w:rFonts w:hint="default"/>
                <w:lang w:val="en-US" w:eastAsia="zh-CN"/>
              </w:rPr>
              <w:t>根据豫财购[2019]4号文件的相关规定，本项目不收取磋商保证金，需提供磋商承诺函。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0" w:type="auto"/>
            <w:noWrap w:val="0"/>
            <w:vAlign w:val="center"/>
          </w:tcPr>
          <w:p>
            <w:pPr>
              <w:jc w:val="center"/>
              <w:rPr>
                <w:rFonts w:hint="default"/>
                <w:lang w:val="en-US" w:eastAsia="zh-CN"/>
              </w:rPr>
            </w:pPr>
            <w:r>
              <w:rPr>
                <w:rFonts w:hint="default"/>
                <w:lang w:val="en-US" w:eastAsia="zh-CN"/>
              </w:rPr>
              <w:t>3.5</w:t>
            </w:r>
          </w:p>
        </w:tc>
        <w:tc>
          <w:tcPr>
            <w:tcW w:w="2289" w:type="dxa"/>
            <w:noWrap w:val="0"/>
            <w:vAlign w:val="center"/>
          </w:tcPr>
          <w:p>
            <w:pPr>
              <w:jc w:val="center"/>
              <w:rPr>
                <w:rFonts w:hint="default"/>
                <w:lang w:val="en-US" w:eastAsia="zh-CN"/>
              </w:rPr>
            </w:pPr>
            <w:r>
              <w:rPr>
                <w:rFonts w:hint="default"/>
                <w:lang w:val="en-US" w:eastAsia="zh-CN"/>
              </w:rPr>
              <w:t>资格审查资料</w:t>
            </w:r>
          </w:p>
        </w:tc>
        <w:tc>
          <w:tcPr>
            <w:tcW w:w="6548" w:type="dxa"/>
            <w:noWrap w:val="0"/>
            <w:vAlign w:val="top"/>
          </w:tcPr>
          <w:p>
            <w:pPr>
              <w:rPr>
                <w:rFonts w:hint="default"/>
                <w:lang w:val="en-US" w:eastAsia="zh-CN"/>
              </w:rPr>
            </w:pPr>
            <w:r>
              <w:rPr>
                <w:rFonts w:hint="default"/>
                <w:lang w:val="en-US" w:eastAsia="zh-CN"/>
              </w:rPr>
              <w:t>见本章第 1.4.1 项规定的资格审查资料。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0" w:type="auto"/>
            <w:noWrap w:val="0"/>
            <w:vAlign w:val="center"/>
          </w:tcPr>
          <w:p>
            <w:pPr>
              <w:jc w:val="center"/>
              <w:rPr>
                <w:rFonts w:hint="default"/>
                <w:lang w:val="en-US" w:eastAsia="zh-CN"/>
              </w:rPr>
            </w:pPr>
            <w:r>
              <w:rPr>
                <w:rFonts w:hint="default"/>
                <w:lang w:val="en-US" w:eastAsia="zh-CN"/>
              </w:rPr>
              <w:t>3.7.3</w:t>
            </w:r>
          </w:p>
        </w:tc>
        <w:tc>
          <w:tcPr>
            <w:tcW w:w="2289" w:type="dxa"/>
            <w:noWrap w:val="0"/>
            <w:vAlign w:val="center"/>
          </w:tcPr>
          <w:p>
            <w:pPr>
              <w:jc w:val="center"/>
              <w:rPr>
                <w:rFonts w:hint="default"/>
                <w:lang w:val="en-US" w:eastAsia="zh-CN"/>
              </w:rPr>
            </w:pPr>
            <w:r>
              <w:rPr>
                <w:rFonts w:hint="default"/>
                <w:lang w:val="en-US" w:eastAsia="zh-CN"/>
              </w:rPr>
              <w:t>签字或盖章要求</w:t>
            </w:r>
          </w:p>
        </w:tc>
        <w:tc>
          <w:tcPr>
            <w:tcW w:w="6548" w:type="dxa"/>
            <w:noWrap w:val="0"/>
            <w:vAlign w:val="top"/>
          </w:tcPr>
          <w:p>
            <w:pPr>
              <w:rPr>
                <w:rFonts w:hint="default"/>
                <w:lang w:val="en-US" w:eastAsia="zh-CN"/>
              </w:rPr>
            </w:pPr>
            <w:r>
              <w:rPr>
                <w:rFonts w:hint="default"/>
                <w:lang w:val="en-US" w:eastAsia="zh-CN"/>
              </w:rPr>
              <w:t>响应文件应按竞争性磋商文件的响应文件格式要求</w:t>
            </w:r>
          </w:p>
          <w:p>
            <w:pPr>
              <w:rPr>
                <w:rFonts w:hint="default"/>
                <w:lang w:val="en-US" w:eastAsia="zh-CN"/>
              </w:rPr>
            </w:pPr>
            <w:r>
              <w:rPr>
                <w:rFonts w:hint="default"/>
                <w:lang w:val="en-US" w:eastAsia="zh-CN"/>
              </w:rPr>
              <w:t>在相应位置签字、盖章。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0" w:type="auto"/>
            <w:noWrap w:val="0"/>
            <w:vAlign w:val="center"/>
          </w:tcPr>
          <w:p>
            <w:pPr>
              <w:jc w:val="center"/>
              <w:rPr>
                <w:rFonts w:hint="default"/>
                <w:lang w:val="en-US" w:eastAsia="zh-CN"/>
              </w:rPr>
            </w:pPr>
            <w:r>
              <w:rPr>
                <w:rFonts w:hint="default"/>
                <w:lang w:val="en-US" w:eastAsia="zh-CN"/>
              </w:rPr>
              <w:t>3.7.4</w:t>
            </w:r>
          </w:p>
        </w:tc>
        <w:tc>
          <w:tcPr>
            <w:tcW w:w="2289" w:type="dxa"/>
            <w:noWrap w:val="0"/>
            <w:vAlign w:val="center"/>
          </w:tcPr>
          <w:p>
            <w:pPr>
              <w:jc w:val="center"/>
              <w:rPr>
                <w:rFonts w:hint="default"/>
                <w:lang w:val="en-US" w:eastAsia="zh-CN"/>
              </w:rPr>
            </w:pPr>
            <w:r>
              <w:rPr>
                <w:rFonts w:hint="default"/>
                <w:lang w:val="en-US" w:eastAsia="zh-CN"/>
              </w:rPr>
              <w:t>响应文件份数</w:t>
            </w:r>
          </w:p>
        </w:tc>
        <w:tc>
          <w:tcPr>
            <w:tcW w:w="6548" w:type="dxa"/>
            <w:noWrap w:val="0"/>
            <w:vAlign w:val="top"/>
          </w:tcPr>
          <w:p>
            <w:pPr>
              <w:rPr>
                <w:rFonts w:hint="default"/>
                <w:lang w:val="en-US" w:eastAsia="zh-CN"/>
              </w:rPr>
            </w:pPr>
            <w:r>
              <w:rPr>
                <w:rFonts w:hint="default"/>
                <w:lang w:val="en-US" w:eastAsia="zh-CN"/>
              </w:rPr>
              <w:t>加密电子响应文件壹份（在新密市公共资源中心交易系统指定位置上传）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3" w:hRule="atLeast"/>
        </w:trPr>
        <w:tc>
          <w:tcPr>
            <w:tcW w:w="0" w:type="auto"/>
            <w:noWrap w:val="0"/>
            <w:vAlign w:val="center"/>
          </w:tcPr>
          <w:p>
            <w:pPr>
              <w:jc w:val="center"/>
              <w:rPr>
                <w:rFonts w:hint="default"/>
                <w:lang w:val="en-US" w:eastAsia="zh-CN"/>
              </w:rPr>
            </w:pPr>
            <w:r>
              <w:rPr>
                <w:rFonts w:hint="default"/>
                <w:lang w:val="en-US" w:eastAsia="zh-CN"/>
              </w:rPr>
              <w:t>3.7.5</w:t>
            </w:r>
          </w:p>
        </w:tc>
        <w:tc>
          <w:tcPr>
            <w:tcW w:w="2289" w:type="dxa"/>
            <w:noWrap w:val="0"/>
            <w:vAlign w:val="center"/>
          </w:tcPr>
          <w:p>
            <w:pPr>
              <w:jc w:val="center"/>
              <w:rPr>
                <w:rFonts w:hint="default"/>
                <w:lang w:val="en-US" w:eastAsia="zh-CN"/>
              </w:rPr>
            </w:pPr>
            <w:r>
              <w:rPr>
                <w:rFonts w:hint="default"/>
                <w:lang w:val="en-US" w:eastAsia="zh-CN"/>
              </w:rPr>
              <w:t>电子响应文件的制作</w:t>
            </w:r>
          </w:p>
        </w:tc>
        <w:tc>
          <w:tcPr>
            <w:tcW w:w="6548" w:type="dxa"/>
            <w:noWrap w:val="0"/>
            <w:vAlign w:val="top"/>
          </w:tcPr>
          <w:p>
            <w:pPr>
              <w:rPr>
                <w:rFonts w:hint="default"/>
                <w:lang w:val="en-US" w:eastAsia="zh-CN"/>
              </w:rPr>
            </w:pPr>
            <w:r>
              <w:rPr>
                <w:rFonts w:hint="default"/>
                <w:lang w:val="en-US" w:eastAsia="zh-CN"/>
              </w:rPr>
              <w:t>供应商登录新密市公共资源交易中心交易系统，在组件下载中下载响应文件制作工具及其他相关软件，并按竞争性磋商文件要求制作电子响应文件。</w:t>
            </w:r>
          </w:p>
          <w:p>
            <w:pPr>
              <w:rPr>
                <w:rFonts w:hint="default"/>
                <w:lang w:val="en-US" w:eastAsia="zh-CN"/>
              </w:rPr>
            </w:pPr>
            <w:r>
              <w:rPr>
                <w:rFonts w:hint="default"/>
                <w:lang w:val="en-US" w:eastAsia="zh-CN"/>
              </w:rPr>
              <w:t>供应商须将竞争性磋商文件要求的证明材料等资料原件扫描件（或图片）制作到所提交的电子响应文件中。</w:t>
            </w:r>
          </w:p>
          <w:p>
            <w:pPr>
              <w:rPr>
                <w:rFonts w:hint="default"/>
                <w:lang w:val="en-US" w:eastAsia="zh-CN"/>
              </w:rPr>
            </w:pPr>
            <w:r>
              <w:rPr>
                <w:rFonts w:hint="default"/>
                <w:lang w:val="en-US" w:eastAsia="zh-CN"/>
              </w:rPr>
              <w:t>供应商对同一项目多个标段进行投标的，应分别下载所投标段的竞争性磋商文件，按标段制作电子响应文件，并按竞争性磋商文件要求在相应位置签字、盖章。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0" w:type="auto"/>
            <w:noWrap w:val="0"/>
            <w:vAlign w:val="center"/>
          </w:tcPr>
          <w:p>
            <w:pPr>
              <w:jc w:val="center"/>
              <w:rPr>
                <w:rFonts w:hint="default"/>
                <w:lang w:val="en-US" w:eastAsia="zh-CN"/>
              </w:rPr>
            </w:pPr>
            <w:r>
              <w:rPr>
                <w:rFonts w:hint="default"/>
                <w:lang w:val="en-US" w:eastAsia="zh-CN"/>
              </w:rPr>
              <w:t>4.2.1</w:t>
            </w:r>
          </w:p>
        </w:tc>
        <w:tc>
          <w:tcPr>
            <w:tcW w:w="2289" w:type="dxa"/>
            <w:noWrap w:val="0"/>
            <w:vAlign w:val="center"/>
          </w:tcPr>
          <w:p>
            <w:pPr>
              <w:jc w:val="center"/>
              <w:rPr>
                <w:rFonts w:hint="default"/>
                <w:lang w:val="en-US" w:eastAsia="zh-CN"/>
              </w:rPr>
            </w:pPr>
            <w:r>
              <w:rPr>
                <w:rFonts w:hint="default"/>
                <w:lang w:val="en-US" w:eastAsia="zh-CN"/>
              </w:rPr>
              <w:t>提交首次响应文件截止时间</w:t>
            </w:r>
          </w:p>
        </w:tc>
        <w:tc>
          <w:tcPr>
            <w:tcW w:w="6548" w:type="dxa"/>
            <w:noWrap w:val="0"/>
            <w:vAlign w:val="center"/>
          </w:tcPr>
          <w:p>
            <w:pPr>
              <w:jc w:val="both"/>
              <w:rPr>
                <w:rFonts w:hint="default"/>
                <w:lang w:val="en-US" w:eastAsia="zh-CN"/>
              </w:rPr>
            </w:pPr>
            <w:r>
              <w:rPr>
                <w:rFonts w:hint="default"/>
                <w:lang w:val="en-US" w:eastAsia="zh-CN"/>
              </w:rPr>
              <w:t>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日10 时 00 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0" w:type="auto"/>
            <w:noWrap w:val="0"/>
            <w:vAlign w:val="center"/>
          </w:tcPr>
          <w:p>
            <w:pPr>
              <w:jc w:val="center"/>
              <w:rPr>
                <w:rFonts w:hint="default"/>
                <w:lang w:val="en-US" w:eastAsia="zh-CN"/>
              </w:rPr>
            </w:pPr>
            <w:r>
              <w:rPr>
                <w:rFonts w:hint="default"/>
                <w:lang w:val="en-US" w:eastAsia="zh-CN"/>
              </w:rPr>
              <w:t>4.2.2</w:t>
            </w:r>
          </w:p>
        </w:tc>
        <w:tc>
          <w:tcPr>
            <w:tcW w:w="2289" w:type="dxa"/>
            <w:noWrap w:val="0"/>
            <w:vAlign w:val="center"/>
          </w:tcPr>
          <w:p>
            <w:pPr>
              <w:jc w:val="center"/>
              <w:rPr>
                <w:rFonts w:hint="default"/>
                <w:lang w:val="en-US" w:eastAsia="zh-CN"/>
              </w:rPr>
            </w:pPr>
            <w:r>
              <w:rPr>
                <w:rFonts w:hint="default"/>
                <w:lang w:val="en-US" w:eastAsia="zh-CN"/>
              </w:rPr>
              <w:t>响应文件提交地点</w:t>
            </w:r>
          </w:p>
        </w:tc>
        <w:tc>
          <w:tcPr>
            <w:tcW w:w="6548" w:type="dxa"/>
            <w:noWrap w:val="0"/>
            <w:vAlign w:val="top"/>
          </w:tcPr>
          <w:p>
            <w:pPr>
              <w:rPr>
                <w:rFonts w:hint="default"/>
                <w:lang w:val="en-US" w:eastAsia="zh-CN"/>
              </w:rPr>
            </w:pPr>
            <w:r>
              <w:rPr>
                <w:rFonts w:hint="default"/>
                <w:lang w:val="en-US" w:eastAsia="zh-CN"/>
              </w:rPr>
              <w:t>电子响应文件须在提交首次响应文件截止时间前在新 密 市 公 共 资 源 交 易 中 心 交 易 系 统</w:t>
            </w:r>
          </w:p>
          <w:p>
            <w:pPr>
              <w:rPr>
                <w:rFonts w:hint="default"/>
                <w:lang w:val="en-US" w:eastAsia="zh-CN"/>
              </w:rPr>
            </w:pPr>
            <w:r>
              <w:rPr>
                <w:rFonts w:hint="default"/>
                <w:lang w:val="en-US" w:eastAsia="zh-CN"/>
              </w:rPr>
              <w:t>（http://ggzyjy.xinmi.gov.cn/:8081/ggzy/）中加密上传。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rPr>
        <w:tc>
          <w:tcPr>
            <w:tcW w:w="0" w:type="auto"/>
            <w:noWrap w:val="0"/>
            <w:vAlign w:val="center"/>
          </w:tcPr>
          <w:p>
            <w:pPr>
              <w:jc w:val="center"/>
              <w:rPr>
                <w:rFonts w:hint="default"/>
                <w:lang w:val="en-US" w:eastAsia="zh-CN"/>
              </w:rPr>
            </w:pPr>
            <w:r>
              <w:rPr>
                <w:rFonts w:hint="default"/>
                <w:lang w:val="en-US" w:eastAsia="zh-CN"/>
              </w:rPr>
              <w:t>5.1</w:t>
            </w:r>
          </w:p>
        </w:tc>
        <w:tc>
          <w:tcPr>
            <w:tcW w:w="2289" w:type="dxa"/>
            <w:noWrap w:val="0"/>
            <w:vAlign w:val="center"/>
          </w:tcPr>
          <w:p>
            <w:pPr>
              <w:jc w:val="center"/>
              <w:rPr>
                <w:rFonts w:hint="default"/>
                <w:lang w:val="en-US" w:eastAsia="zh-CN"/>
              </w:rPr>
            </w:pPr>
            <w:r>
              <w:rPr>
                <w:rFonts w:hint="default"/>
                <w:lang w:val="en-US" w:eastAsia="zh-CN"/>
              </w:rPr>
              <w:t>响应文件开启时间及地点</w:t>
            </w:r>
          </w:p>
        </w:tc>
        <w:tc>
          <w:tcPr>
            <w:tcW w:w="6548" w:type="dxa"/>
            <w:noWrap w:val="0"/>
            <w:vAlign w:val="top"/>
          </w:tcPr>
          <w:p>
            <w:pPr>
              <w:rPr>
                <w:rFonts w:hint="default"/>
                <w:lang w:val="en-US" w:eastAsia="zh-CN"/>
              </w:rPr>
            </w:pPr>
            <w:r>
              <w:rPr>
                <w:rFonts w:hint="default"/>
                <w:lang w:val="en-US" w:eastAsia="zh-CN"/>
              </w:rPr>
              <w:t>时间：2025年</w:t>
            </w:r>
            <w:r>
              <w:rPr>
                <w:rFonts w:hint="eastAsia"/>
                <w:lang w:val="en-US" w:eastAsia="zh-CN"/>
              </w:rPr>
              <w:t>4</w:t>
            </w:r>
            <w:r>
              <w:rPr>
                <w:rFonts w:hint="default"/>
                <w:lang w:val="en-US" w:eastAsia="zh-CN"/>
              </w:rPr>
              <w:t>月</w:t>
            </w:r>
            <w:r>
              <w:rPr>
                <w:rFonts w:hint="eastAsia"/>
                <w:lang w:val="en-US" w:eastAsia="zh-CN"/>
              </w:rPr>
              <w:t>14</w:t>
            </w:r>
            <w:r>
              <w:rPr>
                <w:rFonts w:hint="default"/>
                <w:lang w:val="en-US" w:eastAsia="zh-CN"/>
              </w:rPr>
              <w:t>日10 时 00 分（北京时间） 地点：新密市公共资源交易中心第</w:t>
            </w:r>
            <w:r>
              <w:rPr>
                <w:rFonts w:hint="eastAsia"/>
                <w:lang w:val="en-US" w:eastAsia="zh-CN"/>
              </w:rPr>
              <w:t>一</w:t>
            </w:r>
            <w:r>
              <w:rPr>
                <w:rFonts w:hint="default"/>
                <w:lang w:val="en-US" w:eastAsia="zh-CN"/>
              </w:rPr>
              <w:t>开标室（本项目采用远程不见面开标，供应商无须到达开标现场，解密时间为 40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5" w:hRule="atLeast"/>
        </w:trPr>
        <w:tc>
          <w:tcPr>
            <w:tcW w:w="0" w:type="auto"/>
            <w:noWrap w:val="0"/>
            <w:vAlign w:val="center"/>
          </w:tcPr>
          <w:p>
            <w:pPr>
              <w:jc w:val="center"/>
              <w:rPr>
                <w:rFonts w:hint="default"/>
                <w:lang w:val="en-US" w:eastAsia="zh-CN"/>
              </w:rPr>
            </w:pPr>
            <w:r>
              <w:rPr>
                <w:rFonts w:hint="default"/>
                <w:lang w:val="en-US" w:eastAsia="zh-CN"/>
              </w:rPr>
              <w:t>5.2</w:t>
            </w:r>
          </w:p>
        </w:tc>
        <w:tc>
          <w:tcPr>
            <w:tcW w:w="2289" w:type="dxa"/>
            <w:noWrap w:val="0"/>
            <w:vAlign w:val="center"/>
          </w:tcPr>
          <w:p>
            <w:pPr>
              <w:jc w:val="center"/>
              <w:rPr>
                <w:rFonts w:hint="default"/>
                <w:lang w:val="en-US" w:eastAsia="zh-CN"/>
              </w:rPr>
            </w:pPr>
            <w:r>
              <w:rPr>
                <w:rFonts w:hint="default"/>
                <w:lang w:val="en-US" w:eastAsia="zh-CN"/>
              </w:rPr>
              <w:t>磋商程序</w:t>
            </w:r>
          </w:p>
        </w:tc>
        <w:tc>
          <w:tcPr>
            <w:tcW w:w="6548" w:type="dxa"/>
            <w:noWrap w:val="0"/>
            <w:vAlign w:val="top"/>
          </w:tcPr>
          <w:p>
            <w:pPr>
              <w:rPr>
                <w:rFonts w:hint="default"/>
                <w:lang w:val="en-US" w:eastAsia="zh-CN"/>
              </w:rPr>
            </w:pPr>
            <w:r>
              <w:rPr>
                <w:rFonts w:hint="default"/>
                <w:lang w:val="en-US" w:eastAsia="zh-CN"/>
              </w:rPr>
              <w:t>采购人将按供应商须知前附表规定的响应文件开启 时间及地点举行开标会议。本项目采用远程不见面开标，供应商无须到达开标现场，解密时间为 40 分钟。供应商法定代表人或其委托代理人未在规定时间内 解密其上传的响应文件的，则视为该供应商自动放弃该项目的响应，其响应文件视为无效响应文件。</w:t>
            </w:r>
          </w:p>
          <w:p>
            <w:pPr>
              <w:rPr>
                <w:rFonts w:hint="default"/>
                <w:lang w:val="en-US" w:eastAsia="zh-CN"/>
              </w:rPr>
            </w:pPr>
            <w:r>
              <w:rPr>
                <w:rFonts w:hint="default"/>
                <w:lang w:val="en-US" w:eastAsia="zh-CN"/>
              </w:rPr>
              <w:t>主持人按下列程序进行开标：</w:t>
            </w:r>
          </w:p>
          <w:p>
            <w:pPr>
              <w:rPr>
                <w:rFonts w:hint="default"/>
                <w:lang w:val="en-US" w:eastAsia="zh-CN"/>
              </w:rPr>
            </w:pPr>
            <w:r>
              <w:rPr>
                <w:rFonts w:hint="default"/>
                <w:lang w:val="en-US" w:eastAsia="zh-CN"/>
              </w:rPr>
              <w:t>宣布开标纪律</w:t>
            </w:r>
          </w:p>
          <w:p>
            <w:pPr>
              <w:rPr>
                <w:rFonts w:hint="default"/>
                <w:lang w:val="en-US" w:eastAsia="zh-CN"/>
              </w:rPr>
            </w:pPr>
            <w:r>
              <w:rPr>
                <w:rFonts w:hint="default"/>
                <w:lang w:val="en-US" w:eastAsia="zh-CN"/>
              </w:rPr>
              <w:t>宣布采购人、监标人等有关人员姓名</w:t>
            </w:r>
          </w:p>
          <w:p>
            <w:pPr>
              <w:rPr>
                <w:rFonts w:hint="default"/>
                <w:lang w:val="en-US" w:eastAsia="zh-CN"/>
              </w:rPr>
            </w:pPr>
            <w:r>
              <w:rPr>
                <w:rFonts w:hint="default"/>
                <w:lang w:val="en-US" w:eastAsia="zh-CN"/>
              </w:rPr>
              <w:t>电子响应文件解密</w:t>
            </w:r>
          </w:p>
          <w:p>
            <w:pPr>
              <w:rPr>
                <w:rFonts w:hint="default"/>
                <w:lang w:val="en-US" w:eastAsia="zh-CN"/>
              </w:rPr>
            </w:pPr>
            <w:r>
              <w:rPr>
                <w:rFonts w:hint="default"/>
                <w:lang w:val="en-US" w:eastAsia="zh-CN"/>
              </w:rPr>
              <w:t>开标结束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trPr>
        <w:tc>
          <w:tcPr>
            <w:tcW w:w="0" w:type="auto"/>
            <w:noWrap w:val="0"/>
            <w:vAlign w:val="center"/>
          </w:tcPr>
          <w:p>
            <w:pPr>
              <w:jc w:val="center"/>
              <w:rPr>
                <w:rFonts w:hint="default"/>
                <w:lang w:val="en-US" w:eastAsia="zh-CN"/>
              </w:rPr>
            </w:pPr>
            <w:r>
              <w:rPr>
                <w:rFonts w:hint="default"/>
                <w:lang w:val="en-US" w:eastAsia="zh-CN"/>
              </w:rPr>
              <w:t>6.1.1</w:t>
            </w:r>
          </w:p>
        </w:tc>
        <w:tc>
          <w:tcPr>
            <w:tcW w:w="2289" w:type="dxa"/>
            <w:noWrap w:val="0"/>
            <w:vAlign w:val="center"/>
          </w:tcPr>
          <w:p>
            <w:pPr>
              <w:jc w:val="center"/>
              <w:rPr>
                <w:rFonts w:hint="default"/>
                <w:lang w:val="en-US" w:eastAsia="zh-CN"/>
              </w:rPr>
            </w:pPr>
            <w:r>
              <w:rPr>
                <w:rFonts w:hint="default"/>
                <w:lang w:val="en-US" w:eastAsia="zh-CN"/>
              </w:rPr>
              <w:t>磋商小组的组建</w:t>
            </w:r>
          </w:p>
        </w:tc>
        <w:tc>
          <w:tcPr>
            <w:tcW w:w="6548" w:type="dxa"/>
            <w:noWrap w:val="0"/>
            <w:vAlign w:val="top"/>
          </w:tcPr>
          <w:p>
            <w:pPr>
              <w:rPr>
                <w:rFonts w:hint="default"/>
                <w:lang w:val="en-US" w:eastAsia="zh-CN"/>
              </w:rPr>
            </w:pPr>
            <w:r>
              <w:rPr>
                <w:rFonts w:hint="default"/>
                <w:lang w:val="en-US" w:eastAsia="zh-CN"/>
              </w:rPr>
              <w:t>磋商小组由采购人代表1人，技术、经济评审专家2人，共 3人组成，评审专家从河南省政府采购评审专家库内相关专业的专家名单中随机抽取。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0" w:type="auto"/>
            <w:noWrap w:val="0"/>
            <w:vAlign w:val="center"/>
          </w:tcPr>
          <w:p>
            <w:pPr>
              <w:jc w:val="center"/>
              <w:rPr>
                <w:rFonts w:hint="default"/>
                <w:lang w:val="en-US" w:eastAsia="zh-CN"/>
              </w:rPr>
            </w:pPr>
            <w:r>
              <w:rPr>
                <w:rFonts w:hint="default"/>
                <w:lang w:val="en-US" w:eastAsia="zh-CN"/>
              </w:rPr>
              <w:t>7.1</w:t>
            </w:r>
          </w:p>
        </w:tc>
        <w:tc>
          <w:tcPr>
            <w:tcW w:w="2289" w:type="dxa"/>
            <w:noWrap w:val="0"/>
            <w:vAlign w:val="center"/>
          </w:tcPr>
          <w:p>
            <w:pPr>
              <w:jc w:val="center"/>
              <w:rPr>
                <w:rFonts w:hint="default"/>
                <w:lang w:val="en-US" w:eastAsia="zh-CN"/>
              </w:rPr>
            </w:pPr>
            <w:r>
              <w:rPr>
                <w:rFonts w:hint="default"/>
                <w:lang w:val="en-US" w:eastAsia="zh-CN"/>
              </w:rPr>
              <w:t>是否授权磋商小组确定成交供应商</w:t>
            </w:r>
          </w:p>
        </w:tc>
        <w:tc>
          <w:tcPr>
            <w:tcW w:w="6548" w:type="dxa"/>
            <w:noWrap w:val="0"/>
            <w:vAlign w:val="center"/>
          </w:tcPr>
          <w:p>
            <w:pPr>
              <w:jc w:val="both"/>
              <w:rPr>
                <w:rFonts w:hint="default"/>
                <w:lang w:val="en-US" w:eastAsia="zh-CN"/>
              </w:rPr>
            </w:pPr>
            <w:r>
              <w:rPr>
                <w:rFonts w:hint="default"/>
                <w:lang w:val="en-US" w:eastAsia="zh-CN"/>
              </w:rPr>
              <w:t>否，推荐的成交候选人数：3 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0" w:type="auto"/>
            <w:noWrap w:val="0"/>
            <w:vAlign w:val="center"/>
          </w:tcPr>
          <w:p>
            <w:pPr>
              <w:jc w:val="center"/>
              <w:rPr>
                <w:rFonts w:hint="default"/>
                <w:lang w:val="en-US" w:eastAsia="zh-CN"/>
              </w:rPr>
            </w:pPr>
            <w:r>
              <w:rPr>
                <w:rFonts w:hint="default"/>
                <w:lang w:val="en-US" w:eastAsia="zh-CN"/>
              </w:rPr>
              <w:t>7.2</w:t>
            </w:r>
          </w:p>
        </w:tc>
        <w:tc>
          <w:tcPr>
            <w:tcW w:w="2289" w:type="dxa"/>
            <w:noWrap w:val="0"/>
            <w:vAlign w:val="center"/>
          </w:tcPr>
          <w:p>
            <w:pPr>
              <w:jc w:val="center"/>
              <w:rPr>
                <w:rFonts w:hint="default"/>
                <w:lang w:val="en-US" w:eastAsia="zh-CN"/>
              </w:rPr>
            </w:pPr>
            <w:r>
              <w:rPr>
                <w:rFonts w:hint="default"/>
                <w:lang w:val="en-US" w:eastAsia="zh-CN"/>
              </w:rPr>
              <w:t>成交结果公告媒介</w:t>
            </w:r>
          </w:p>
        </w:tc>
        <w:tc>
          <w:tcPr>
            <w:tcW w:w="6548" w:type="dxa"/>
            <w:noWrap w:val="0"/>
            <w:vAlign w:val="top"/>
          </w:tcPr>
          <w:p>
            <w:pPr>
              <w:rPr>
                <w:rFonts w:hint="default"/>
                <w:lang w:val="en-US" w:eastAsia="zh-CN"/>
              </w:rPr>
            </w:pPr>
            <w:r>
              <w:rPr>
                <w:rFonts w:hint="default"/>
                <w:lang w:val="en-US" w:eastAsia="zh-CN"/>
              </w:rPr>
              <w:t>《河南省政府采购网》、《郑州市政府采购网》、《新密市政府采购网》、《新密市公共资源交易中心》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0" w:type="auto"/>
            <w:noWrap w:val="0"/>
            <w:vAlign w:val="center"/>
          </w:tcPr>
          <w:p>
            <w:pPr>
              <w:jc w:val="center"/>
              <w:rPr>
                <w:rFonts w:hint="default"/>
                <w:lang w:val="en-US" w:eastAsia="zh-CN"/>
              </w:rPr>
            </w:pPr>
            <w:r>
              <w:rPr>
                <w:rFonts w:hint="default"/>
                <w:lang w:val="en-US" w:eastAsia="zh-CN"/>
              </w:rPr>
              <w:t>7.3.1</w:t>
            </w:r>
          </w:p>
        </w:tc>
        <w:tc>
          <w:tcPr>
            <w:tcW w:w="2289" w:type="dxa"/>
            <w:noWrap w:val="0"/>
            <w:vAlign w:val="center"/>
          </w:tcPr>
          <w:p>
            <w:pPr>
              <w:jc w:val="center"/>
              <w:rPr>
                <w:rFonts w:hint="default"/>
                <w:lang w:val="en-US" w:eastAsia="zh-CN"/>
              </w:rPr>
            </w:pPr>
            <w:r>
              <w:rPr>
                <w:rFonts w:hint="default"/>
                <w:lang w:val="en-US" w:eastAsia="zh-CN"/>
              </w:rPr>
              <w:t>履约担保</w:t>
            </w:r>
          </w:p>
        </w:tc>
        <w:tc>
          <w:tcPr>
            <w:tcW w:w="6548" w:type="dxa"/>
            <w:noWrap w:val="0"/>
            <w:vAlign w:val="top"/>
          </w:tcPr>
          <w:p>
            <w:pPr>
              <w:rPr>
                <w:rFonts w:hint="default"/>
                <w:lang w:val="en-US" w:eastAsia="zh-CN"/>
              </w:rPr>
            </w:pPr>
            <w:r>
              <w:rPr>
                <w:rFonts w:hint="default"/>
                <w:lang w:val="en-US" w:eastAsia="zh-CN"/>
              </w:rPr>
              <w:t>本项目不收取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0" w:type="auto"/>
            <w:noWrap w:val="0"/>
            <w:vAlign w:val="center"/>
          </w:tcPr>
          <w:p>
            <w:pPr>
              <w:jc w:val="center"/>
              <w:rPr>
                <w:rFonts w:hint="default"/>
                <w:lang w:val="en-US" w:eastAsia="zh-CN"/>
              </w:rPr>
            </w:pPr>
            <w:r>
              <w:rPr>
                <w:rFonts w:hint="default"/>
                <w:lang w:val="en-US" w:eastAsia="zh-CN"/>
              </w:rPr>
              <w:t>7.5</w:t>
            </w:r>
          </w:p>
        </w:tc>
        <w:tc>
          <w:tcPr>
            <w:tcW w:w="2289" w:type="dxa"/>
            <w:noWrap w:val="0"/>
            <w:vAlign w:val="center"/>
          </w:tcPr>
          <w:p>
            <w:pPr>
              <w:jc w:val="center"/>
              <w:rPr>
                <w:rFonts w:hint="default"/>
                <w:highlight w:val="none"/>
                <w:lang w:val="en-US" w:eastAsia="zh-CN"/>
              </w:rPr>
            </w:pPr>
            <w:r>
              <w:rPr>
                <w:rFonts w:hint="default"/>
                <w:highlight w:val="none"/>
                <w:lang w:val="en-US" w:eastAsia="zh-CN"/>
              </w:rPr>
              <w:t>合同价款的支付方式</w:t>
            </w:r>
          </w:p>
        </w:tc>
        <w:tc>
          <w:tcPr>
            <w:tcW w:w="6548" w:type="dxa"/>
            <w:noWrap w:val="0"/>
            <w:vAlign w:val="center"/>
          </w:tcPr>
          <w:p>
            <w:pPr>
              <w:rPr>
                <w:rFonts w:hint="default"/>
                <w:highlight w:val="none"/>
                <w:lang w:val="en-US" w:eastAsia="zh-CN"/>
              </w:rPr>
            </w:pPr>
            <w:r>
              <w:rPr>
                <w:rFonts w:hint="default"/>
                <w:highlight w:val="none"/>
                <w:lang w:val="en-US" w:eastAsia="zh-CN"/>
              </w:rPr>
              <w:t>按照施工进度付款，工程完工初步验收通过后支付至合同总价款的60%；项目决算通过后支付至合同总价款的97%，剩余3%作为质保金待缺陷责任期一年满后付清。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0" w:type="auto"/>
            <w:noWrap w:val="0"/>
            <w:vAlign w:val="top"/>
          </w:tcPr>
          <w:p>
            <w:pPr>
              <w:jc w:val="center"/>
              <w:rPr>
                <w:rFonts w:hint="default"/>
                <w:b/>
                <w:bCs/>
                <w:lang w:val="en-US" w:eastAsia="zh-CN"/>
              </w:rPr>
            </w:pPr>
            <w:r>
              <w:rPr>
                <w:rFonts w:hint="default"/>
                <w:b/>
                <w:bCs/>
                <w:lang w:val="en-US" w:eastAsia="zh-CN"/>
              </w:rPr>
              <w:t>10</w:t>
            </w:r>
          </w:p>
        </w:tc>
        <w:tc>
          <w:tcPr>
            <w:tcW w:w="0" w:type="auto"/>
            <w:gridSpan w:val="2"/>
            <w:noWrap w:val="0"/>
            <w:vAlign w:val="top"/>
          </w:tcPr>
          <w:p>
            <w:pPr>
              <w:jc w:val="center"/>
              <w:rPr>
                <w:rFonts w:hint="default"/>
                <w:b/>
                <w:bCs/>
                <w:lang w:val="en-US" w:eastAsia="zh-CN"/>
              </w:rPr>
            </w:pPr>
            <w:r>
              <w:rPr>
                <w:rFonts w:hint="default"/>
                <w:b/>
                <w:bCs/>
                <w:lang w:val="en-US" w:eastAsia="zh-CN"/>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0" w:type="auto"/>
            <w:noWrap w:val="0"/>
            <w:vAlign w:val="center"/>
          </w:tcPr>
          <w:p>
            <w:pPr>
              <w:jc w:val="center"/>
              <w:rPr>
                <w:rFonts w:hint="default"/>
                <w:lang w:val="en-US" w:eastAsia="zh-CN"/>
              </w:rPr>
            </w:pPr>
            <w:r>
              <w:rPr>
                <w:rFonts w:hint="default"/>
                <w:lang w:val="en-US" w:eastAsia="zh-CN"/>
              </w:rPr>
              <w:t>10.1.1</w:t>
            </w:r>
          </w:p>
        </w:tc>
        <w:tc>
          <w:tcPr>
            <w:tcW w:w="2289" w:type="dxa"/>
            <w:noWrap w:val="0"/>
            <w:vAlign w:val="center"/>
          </w:tcPr>
          <w:p>
            <w:pPr>
              <w:jc w:val="center"/>
              <w:rPr>
                <w:rFonts w:hint="default"/>
                <w:lang w:val="en-US" w:eastAsia="zh-CN"/>
              </w:rPr>
            </w:pPr>
            <w:r>
              <w:rPr>
                <w:rFonts w:hint="default"/>
                <w:lang w:val="en-US" w:eastAsia="zh-CN"/>
              </w:rPr>
              <w:t>包预算</w:t>
            </w:r>
          </w:p>
          <w:p>
            <w:pPr>
              <w:jc w:val="center"/>
              <w:rPr>
                <w:rFonts w:hint="default"/>
                <w:lang w:val="en-US" w:eastAsia="zh-CN"/>
              </w:rPr>
            </w:pPr>
            <w:r>
              <w:rPr>
                <w:rFonts w:hint="default"/>
                <w:lang w:val="en-US" w:eastAsia="zh-CN"/>
              </w:rPr>
              <w:t>（包最高限价）</w:t>
            </w:r>
          </w:p>
        </w:tc>
        <w:tc>
          <w:tcPr>
            <w:tcW w:w="6548" w:type="dxa"/>
            <w:noWrap w:val="0"/>
            <w:vAlign w:val="center"/>
          </w:tcPr>
          <w:p>
            <w:pPr>
              <w:jc w:val="left"/>
              <w:rPr>
                <w:rFonts w:hint="default"/>
                <w:lang w:val="en-US" w:eastAsia="zh-CN"/>
              </w:rPr>
            </w:pPr>
            <w:r>
              <w:rPr>
                <w:rFonts w:hint="default"/>
                <w:lang w:val="en-US" w:eastAsia="zh-CN"/>
              </w:rPr>
              <w:t>第一标段最高限价：454956元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0" w:type="auto"/>
            <w:noWrap w:val="0"/>
            <w:vAlign w:val="center"/>
          </w:tcPr>
          <w:p>
            <w:pPr>
              <w:jc w:val="center"/>
              <w:rPr>
                <w:rFonts w:hint="default"/>
                <w:lang w:val="en-US" w:eastAsia="zh-CN"/>
              </w:rPr>
            </w:pPr>
            <w:r>
              <w:rPr>
                <w:rFonts w:hint="default"/>
                <w:lang w:val="en-US" w:eastAsia="zh-CN"/>
              </w:rPr>
              <w:t>10.2</w:t>
            </w:r>
          </w:p>
        </w:tc>
        <w:tc>
          <w:tcPr>
            <w:tcW w:w="2289" w:type="dxa"/>
            <w:noWrap w:val="0"/>
            <w:vAlign w:val="center"/>
          </w:tcPr>
          <w:p>
            <w:pPr>
              <w:jc w:val="center"/>
              <w:rPr>
                <w:rFonts w:hint="default"/>
                <w:lang w:val="en-US" w:eastAsia="zh-CN"/>
              </w:rPr>
            </w:pPr>
            <w:r>
              <w:rPr>
                <w:rFonts w:hint="default"/>
                <w:lang w:val="en-US" w:eastAsia="zh-CN"/>
              </w:rPr>
              <w:t>成交结果公示</w:t>
            </w:r>
          </w:p>
        </w:tc>
        <w:tc>
          <w:tcPr>
            <w:tcW w:w="6548" w:type="dxa"/>
            <w:noWrap w:val="0"/>
            <w:vAlign w:val="center"/>
          </w:tcPr>
          <w:p>
            <w:pPr>
              <w:rPr>
                <w:rFonts w:hint="default"/>
                <w:lang w:val="en-US" w:eastAsia="zh-CN"/>
              </w:rPr>
            </w:pPr>
            <w:r>
              <w:rPr>
                <w:rFonts w:hint="default"/>
                <w:lang w:val="en-US" w:eastAsia="zh-CN"/>
              </w:rPr>
              <w:t>在竞争性磋商公告发布的同一媒介上公告成交结果， 同时向成交供应商发出成交通知书，公告期限 1 个工作日。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0" w:type="auto"/>
            <w:noWrap w:val="0"/>
            <w:vAlign w:val="center"/>
          </w:tcPr>
          <w:p>
            <w:pPr>
              <w:jc w:val="center"/>
              <w:rPr>
                <w:rFonts w:hint="default"/>
                <w:lang w:val="en-US" w:eastAsia="zh-CN"/>
              </w:rPr>
            </w:pPr>
            <w:r>
              <w:rPr>
                <w:rFonts w:hint="default"/>
                <w:lang w:val="en-US" w:eastAsia="zh-CN"/>
              </w:rPr>
              <w:t>10.3</w:t>
            </w:r>
          </w:p>
        </w:tc>
        <w:tc>
          <w:tcPr>
            <w:tcW w:w="2289" w:type="dxa"/>
            <w:noWrap w:val="0"/>
            <w:vAlign w:val="center"/>
          </w:tcPr>
          <w:p>
            <w:pPr>
              <w:jc w:val="center"/>
              <w:rPr>
                <w:rFonts w:hint="default"/>
                <w:highlight w:val="none"/>
                <w:lang w:val="en-US" w:eastAsia="zh-CN"/>
              </w:rPr>
            </w:pPr>
            <w:r>
              <w:rPr>
                <w:rFonts w:hint="default"/>
                <w:highlight w:val="none"/>
                <w:lang w:val="en-US" w:eastAsia="zh-CN"/>
              </w:rPr>
              <w:t>代理服务费</w:t>
            </w:r>
          </w:p>
        </w:tc>
        <w:tc>
          <w:tcPr>
            <w:tcW w:w="6548" w:type="dxa"/>
            <w:noWrap w:val="0"/>
            <w:vAlign w:val="top"/>
          </w:tcPr>
          <w:p>
            <w:pPr>
              <w:rPr>
                <w:rFonts w:hint="default"/>
                <w:highlight w:val="none"/>
                <w:lang w:val="en-US" w:eastAsia="zh-CN"/>
              </w:rPr>
            </w:pPr>
            <w:r>
              <w:rPr>
                <w:rFonts w:hint="default"/>
                <w:highlight w:val="none"/>
                <w:lang w:val="en-US" w:eastAsia="zh-CN"/>
              </w:rPr>
              <w:t>代理服务费的收取：①由成交人在领取《成交通知书》时，一次性支付代理服务费。②代理服务费参照豫招协[2023]002号《河南省招标代理服务收费指导意见》文件收取。</w:t>
            </w:r>
          </w:p>
          <w:p>
            <w:pPr>
              <w:jc w:val="left"/>
              <w:rPr>
                <w:rFonts w:hint="default"/>
                <w:highlight w:val="none"/>
                <w:lang w:val="en-US" w:eastAsia="zh-CN"/>
              </w:rPr>
            </w:pPr>
            <w:r>
              <w:rPr>
                <w:rFonts w:hint="default"/>
                <w:highlight w:val="none"/>
                <w:lang w:val="en-US" w:eastAsia="zh-CN"/>
              </w:rPr>
              <w:t>第一标段</w:t>
            </w:r>
            <w:r>
              <w:rPr>
                <w:rFonts w:hint="eastAsia"/>
                <w:highlight w:val="none"/>
                <w:lang w:val="en-US" w:eastAsia="zh-CN"/>
              </w:rPr>
              <w:t>：5760</w:t>
            </w:r>
            <w:r>
              <w:rPr>
                <w:rFonts w:hint="default"/>
                <w:highlight w:val="none"/>
                <w:lang w:val="en-US" w:eastAsia="zh-CN"/>
              </w:rPr>
              <w:t xml:space="preserve">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0" w:type="auto"/>
            <w:noWrap w:val="0"/>
            <w:vAlign w:val="center"/>
          </w:tcPr>
          <w:p>
            <w:pPr>
              <w:jc w:val="center"/>
              <w:rPr>
                <w:rFonts w:hint="default"/>
                <w:lang w:val="en-US" w:eastAsia="zh-CN"/>
              </w:rPr>
            </w:pPr>
            <w:r>
              <w:rPr>
                <w:rFonts w:hint="default"/>
                <w:lang w:val="en-US" w:eastAsia="zh-CN"/>
              </w:rPr>
              <w:t>10.4</w:t>
            </w:r>
          </w:p>
        </w:tc>
        <w:tc>
          <w:tcPr>
            <w:tcW w:w="2289" w:type="dxa"/>
            <w:noWrap w:val="0"/>
            <w:vAlign w:val="center"/>
          </w:tcPr>
          <w:p>
            <w:pPr>
              <w:jc w:val="center"/>
              <w:rPr>
                <w:rFonts w:hint="default"/>
                <w:lang w:val="en-US" w:eastAsia="zh-CN"/>
              </w:rPr>
            </w:pPr>
            <w:r>
              <w:rPr>
                <w:rFonts w:hint="default"/>
                <w:lang w:val="en-US" w:eastAsia="zh-CN"/>
              </w:rPr>
              <w:t>质疑</w:t>
            </w:r>
          </w:p>
        </w:tc>
        <w:tc>
          <w:tcPr>
            <w:tcW w:w="6548" w:type="dxa"/>
            <w:noWrap w:val="0"/>
            <w:vAlign w:val="top"/>
          </w:tcPr>
          <w:p>
            <w:pPr>
              <w:rPr>
                <w:rFonts w:hint="default"/>
                <w:lang w:val="en-US" w:eastAsia="zh-CN"/>
              </w:rPr>
            </w:pPr>
            <w:r>
              <w:rPr>
                <w:rFonts w:hint="default"/>
                <w:lang w:val="en-US" w:eastAsia="zh-CN"/>
              </w:rPr>
              <w:t>供应商认为采购文件、采购过程和成交结果使自己的</w:t>
            </w:r>
          </w:p>
          <w:p>
            <w:pPr>
              <w:rPr>
                <w:rFonts w:hint="default"/>
                <w:lang w:val="en-US" w:eastAsia="zh-CN"/>
              </w:rPr>
            </w:pPr>
            <w:r>
              <w:rPr>
                <w:rFonts w:hint="default"/>
                <w:lang w:val="en-US" w:eastAsia="zh-CN"/>
              </w:rPr>
              <w:t>权益受到损害的,可以在知道或者应知其权益受到损害之日起七个工作日内，按照政府采购质疑和投诉办法（中华人民共和国财政部令 94 号）以书面形式向采购人或采购代理机构提出质疑（邮寄件、传真件不予受理），逾期不再接收。</w:t>
            </w:r>
          </w:p>
          <w:p>
            <w:pPr>
              <w:rPr>
                <w:rFonts w:hint="default"/>
                <w:lang w:val="en-US" w:eastAsia="zh-CN"/>
              </w:rPr>
            </w:pPr>
            <w:r>
              <w:rPr>
                <w:rFonts w:hint="default"/>
                <w:lang w:val="en-US" w:eastAsia="zh-CN"/>
              </w:rPr>
              <w:t>接收质疑函信息：</w:t>
            </w:r>
          </w:p>
          <w:p>
            <w:pPr>
              <w:rPr>
                <w:rFonts w:hint="default"/>
                <w:lang w:val="en-US" w:eastAsia="zh-CN"/>
              </w:rPr>
            </w:pPr>
            <w:r>
              <w:rPr>
                <w:rFonts w:hint="default"/>
                <w:lang w:val="en-US" w:eastAsia="zh-CN"/>
              </w:rPr>
              <w:t>接收质疑函联系部门：新密市农业农村局</w:t>
            </w:r>
          </w:p>
          <w:p>
            <w:pPr>
              <w:rPr>
                <w:rFonts w:hint="default"/>
                <w:lang w:val="en-US" w:eastAsia="zh-CN"/>
              </w:rPr>
            </w:pPr>
            <w:r>
              <w:rPr>
                <w:rFonts w:hint="default"/>
                <w:lang w:val="en-US" w:eastAsia="zh-CN"/>
              </w:rPr>
              <w:t>联系电话：0371-69823054</w:t>
            </w:r>
          </w:p>
          <w:p>
            <w:pPr>
              <w:rPr>
                <w:rFonts w:hint="default"/>
                <w:lang w:val="en-US" w:eastAsia="zh-CN"/>
              </w:rPr>
            </w:pPr>
            <w:r>
              <w:rPr>
                <w:rFonts w:hint="default"/>
                <w:lang w:val="en-US" w:eastAsia="zh-CN"/>
              </w:rPr>
              <w:t>通讯地址：河南省新密市青屏大街35号</w:t>
            </w:r>
          </w:p>
          <w:p>
            <w:pPr>
              <w:rPr>
                <w:rFonts w:hint="default"/>
                <w:lang w:val="en-US" w:eastAsia="zh-CN"/>
              </w:rPr>
            </w:pPr>
            <w:r>
              <w:rPr>
                <w:rFonts w:hint="default"/>
                <w:lang w:val="en-US" w:eastAsia="zh-CN"/>
              </w:rPr>
              <w:t>河南省亿达工程管理咨询有限公司：联系电话：15565055093；通讯地址：郑州市金水区青年路玉凤路升龙环球大厦C座26楼</w:t>
            </w:r>
            <w:r>
              <w:rPr>
                <w:rFonts w:hint="eastAsia"/>
                <w:lang w:val="en-US" w:eastAsia="zh-CN"/>
              </w:rPr>
              <w:t>。</w:t>
            </w:r>
            <w:r>
              <w:rPr>
                <w:rFonts w:hint="default"/>
                <w:lang w:val="en-US" w:eastAsia="zh-CN"/>
              </w:rPr>
              <w:t>在法定质疑期内供应商针对同一采购程序环节的质疑应当一次性提出。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0" w:type="auto"/>
            <w:noWrap w:val="0"/>
            <w:vAlign w:val="center"/>
          </w:tcPr>
          <w:p>
            <w:pPr>
              <w:jc w:val="center"/>
              <w:rPr>
                <w:rFonts w:hint="default"/>
                <w:lang w:val="en-US" w:eastAsia="zh-CN"/>
              </w:rPr>
            </w:pPr>
            <w:r>
              <w:rPr>
                <w:rFonts w:hint="default"/>
                <w:lang w:val="en-US" w:eastAsia="zh-CN"/>
              </w:rPr>
              <w:t>10.5</w:t>
            </w:r>
          </w:p>
        </w:tc>
        <w:tc>
          <w:tcPr>
            <w:tcW w:w="2289" w:type="dxa"/>
            <w:noWrap w:val="0"/>
            <w:vAlign w:val="center"/>
          </w:tcPr>
          <w:p>
            <w:pPr>
              <w:jc w:val="center"/>
              <w:rPr>
                <w:rFonts w:hint="default"/>
                <w:lang w:val="en-US" w:eastAsia="zh-CN"/>
              </w:rPr>
            </w:pPr>
            <w:r>
              <w:rPr>
                <w:rFonts w:hint="default"/>
                <w:lang w:val="en-US" w:eastAsia="zh-CN"/>
              </w:rPr>
              <w:t>河南省政府采购合同融资政策告知函</w:t>
            </w:r>
          </w:p>
        </w:tc>
        <w:tc>
          <w:tcPr>
            <w:tcW w:w="6548" w:type="dxa"/>
            <w:noWrap w:val="0"/>
            <w:vAlign w:val="top"/>
          </w:tcPr>
          <w:p>
            <w:pPr>
              <w:rPr>
                <w:rFonts w:hint="default"/>
                <w:lang w:val="en-US" w:eastAsia="zh-CN"/>
              </w:rPr>
            </w:pPr>
            <w:r>
              <w:rPr>
                <w:rFonts w:hint="default"/>
                <w:lang w:val="en-US" w:eastAsia="zh-CN"/>
              </w:rPr>
              <w:t>各供应商：</w:t>
            </w:r>
          </w:p>
          <w:p>
            <w:pPr>
              <w:rPr>
                <w:rFonts w:hint="default"/>
                <w:lang w:val="en-US" w:eastAsia="zh-CN"/>
              </w:rPr>
            </w:pPr>
            <w:r>
              <w:rPr>
                <w:rFonts w:hint="default"/>
                <w:lang w:val="en-US" w:eastAsia="zh-CN"/>
              </w:rPr>
              <w:t>欢迎贵公司参与河南省政府采购活动！</w:t>
            </w:r>
          </w:p>
          <w:p>
            <w:pPr>
              <w:rPr>
                <w:rFonts w:hint="default"/>
                <w:lang w:val="en-US" w:eastAsia="zh-CN"/>
              </w:rPr>
            </w:pPr>
            <w:r>
              <w:rPr>
                <w:rFonts w:hint="default"/>
                <w:lang w:val="en-US" w:eastAsia="zh-CN"/>
              </w:rPr>
              <w:t>政府采购合同融资是河南省财政厅支持中小微 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rPr>
                <w:rFonts w:hint="default"/>
                <w:lang w:val="en-US" w:eastAsia="zh-CN"/>
              </w:rPr>
            </w:pPr>
            <w:r>
              <w:rPr>
                <w:rFonts w:hint="default"/>
                <w:lang w:val="en-US" w:eastAsia="zh-CN"/>
              </w:rPr>
              <w:t>贷款渠道和提供贷款的金融机构，可在河南省政府采购网“河南省政府采购合同融资平台”查询联系。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0" w:type="auto"/>
            <w:noWrap w:val="0"/>
            <w:vAlign w:val="center"/>
          </w:tcPr>
          <w:p>
            <w:pPr>
              <w:jc w:val="center"/>
              <w:rPr>
                <w:rFonts w:hint="default"/>
                <w:lang w:val="en-US" w:eastAsia="zh-CN"/>
              </w:rPr>
            </w:pPr>
            <w:r>
              <w:rPr>
                <w:rFonts w:hint="default"/>
                <w:lang w:val="en-US" w:eastAsia="zh-CN"/>
              </w:rPr>
              <w:t>10.6</w:t>
            </w:r>
          </w:p>
        </w:tc>
        <w:tc>
          <w:tcPr>
            <w:tcW w:w="2289" w:type="dxa"/>
            <w:noWrap w:val="0"/>
            <w:vAlign w:val="center"/>
          </w:tcPr>
          <w:p>
            <w:pPr>
              <w:jc w:val="center"/>
              <w:rPr>
                <w:rFonts w:hint="default"/>
                <w:lang w:val="en-US" w:eastAsia="zh-CN"/>
              </w:rPr>
            </w:pPr>
            <w:r>
              <w:rPr>
                <w:rFonts w:hint="default"/>
                <w:lang w:val="en-US" w:eastAsia="zh-CN"/>
              </w:rPr>
              <w:t>其他内容</w:t>
            </w:r>
          </w:p>
        </w:tc>
        <w:tc>
          <w:tcPr>
            <w:tcW w:w="6548" w:type="dxa"/>
            <w:noWrap w:val="0"/>
            <w:vAlign w:val="top"/>
          </w:tcPr>
          <w:p>
            <w:pPr>
              <w:rPr>
                <w:rFonts w:hint="default"/>
                <w:lang w:val="en-US" w:eastAsia="zh-CN"/>
              </w:rPr>
            </w:pPr>
            <w:r>
              <w:rPr>
                <w:rFonts w:hint="default"/>
                <w:lang w:val="en-US" w:eastAsia="zh-CN"/>
              </w:rPr>
              <w:t>（1）本项目所属行业：建筑业；</w:t>
            </w:r>
          </w:p>
          <w:p>
            <w:pPr>
              <w:rPr>
                <w:rFonts w:hint="default"/>
                <w:lang w:val="en-US" w:eastAsia="zh-CN"/>
              </w:rPr>
            </w:pPr>
            <w:r>
              <w:rPr>
                <w:rFonts w:hint="default"/>
                <w:lang w:val="en-US" w:eastAsia="zh-CN"/>
              </w:rPr>
              <w:t>（2）为增加地方税收，成交供应商原则上在项目所在地缴纳各种税款；</w:t>
            </w:r>
          </w:p>
          <w:p>
            <w:pPr>
              <w:rPr>
                <w:rFonts w:hint="default"/>
                <w:lang w:val="en-US" w:eastAsia="zh-CN"/>
              </w:rPr>
            </w:pPr>
            <w:r>
              <w:rPr>
                <w:rFonts w:hint="default"/>
                <w:lang w:val="en-US" w:eastAsia="zh-CN"/>
              </w:rPr>
              <w:t>（3）竞争性磋商文件的最终解释权归采购人；</w:t>
            </w:r>
          </w:p>
          <w:p>
            <w:pPr>
              <w:rPr>
                <w:rFonts w:hint="default"/>
                <w:lang w:val="en-US" w:eastAsia="zh-CN"/>
              </w:rPr>
            </w:pPr>
            <w:r>
              <w:rPr>
                <w:rFonts w:hint="default"/>
                <w:lang w:val="en-US" w:eastAsia="zh-CN"/>
              </w:rPr>
              <w:t>（4）成交单位领取成交通知书前，需准备两套纸质版响应文件（胶装并加盖公章）</w:t>
            </w:r>
            <w:r>
              <w:rPr>
                <w:rFonts w:hint="eastAsia"/>
                <w:lang w:val="en-US" w:eastAsia="zh-CN"/>
              </w:rPr>
              <w:t>交予</w:t>
            </w:r>
            <w:r>
              <w:rPr>
                <w:rFonts w:hint="default"/>
                <w:lang w:val="en-US" w:eastAsia="zh-CN"/>
              </w:rPr>
              <w:t>代理公司。</w:t>
            </w:r>
          </w:p>
          <w:p>
            <w:pPr>
              <w:rPr>
                <w:rFonts w:hint="default"/>
                <w:lang w:val="en-US" w:eastAsia="zh-CN"/>
              </w:rPr>
            </w:pPr>
            <w:r>
              <w:rPr>
                <w:rFonts w:hint="default"/>
                <w:lang w:val="en-US" w:eastAsia="zh-CN"/>
              </w:rPr>
              <w:t>（5）其它未尽事宜，按国家有关法律、法规执行。</w:t>
            </w:r>
          </w:p>
        </w:tc>
      </w:tr>
    </w:tbl>
    <w:p>
      <w:pPr>
        <w:rPr>
          <w:rFonts w:hint="default"/>
          <w:lang w:val="en-US" w:eastAsia="zh-CN"/>
        </w:rPr>
      </w:pPr>
    </w:p>
    <w:p>
      <w:pPr>
        <w:rPr>
          <w:rFonts w:hint="default"/>
          <w:lang w:val="en-US" w:eastAsia="zh-CN"/>
        </w:rPr>
      </w:pPr>
    </w:p>
    <w:p>
      <w:pPr>
        <w:rPr>
          <w:rFonts w:hint="default"/>
          <w:b/>
          <w:bCs/>
          <w:lang w:val="en-US" w:eastAsia="zh-CN"/>
        </w:rPr>
      </w:pPr>
      <w:bookmarkStart w:id="27" w:name="_Toc26656"/>
      <w:r>
        <w:rPr>
          <w:rFonts w:hint="default"/>
          <w:b/>
          <w:bCs/>
          <w:lang w:val="en-US" w:eastAsia="zh-CN"/>
        </w:rPr>
        <w:t>总则</w:t>
      </w:r>
      <w:bookmarkEnd w:id="27"/>
      <w:bookmarkStart w:id="28" w:name="_Toc3347"/>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1.1 项目概况</w:t>
      </w:r>
      <w:bookmarkEnd w:id="2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根据《中华人民共和国政府采购法》、《中华人民共和国政府采购法实施条例》、《政府采购竞争性磋商采购方式管理暂行办法》等有关法律、法规和规章的规定，本项目已具备采购条件，现对本项目进行竞争性磋商采购。</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1.1.1</w:t>
      </w:r>
      <w:r>
        <w:rPr>
          <w:rFonts w:hint="default"/>
          <w:lang w:val="en-US" w:eastAsia="zh-CN"/>
        </w:rPr>
        <w:t>本项目采购人：见供应商须知前附表。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1.1.2</w:t>
      </w:r>
      <w:r>
        <w:rPr>
          <w:rFonts w:hint="default"/>
          <w:lang w:val="en-US" w:eastAsia="zh-CN"/>
        </w:rPr>
        <w:t>本项目采购代理机构：见供应商须知前附表。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1.1.3</w:t>
      </w:r>
      <w:r>
        <w:rPr>
          <w:rFonts w:hint="default"/>
          <w:lang w:val="en-US" w:eastAsia="zh-CN"/>
        </w:rPr>
        <w:t>本项目名称：见供应商须知前附表。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1.1.4</w:t>
      </w:r>
      <w:r>
        <w:rPr>
          <w:rFonts w:hint="default"/>
          <w:lang w:val="en-US" w:eastAsia="zh-CN"/>
        </w:rPr>
        <w:t>本项目地点：见供应商须知前附表。</w:t>
      </w:r>
      <w:bookmarkStart w:id="29" w:name="_Toc31785"/>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1.2 资金来源和落实情况</w:t>
      </w:r>
      <w:bookmarkEnd w:id="2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1.2.1 本项目的资金来源及比例：见供应商须知前附表。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1.2.2 本项目的资金落实情况：见供应商须知前附表。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0" w:name="_Toc27786"/>
      <w:r>
        <w:rPr>
          <w:rFonts w:hint="default"/>
          <w:b/>
          <w:bCs/>
          <w:lang w:val="en-US" w:eastAsia="zh-CN"/>
        </w:rPr>
        <w:t>1.3 采购内容、工期要求、质量要求和缺陷责任期</w:t>
      </w:r>
      <w:bookmarkEnd w:id="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1.3.1 本包段的采购内容：见供应商须知前附表。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1.3.2 本包段的工期要求：见供应商须知前附表。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1.3.3 本包段的质量要求：见供应商须知前附表。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1.3.4本包段的缺陷责任期：见供应商须知前附表。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1" w:name="_Toc7214"/>
      <w:r>
        <w:rPr>
          <w:rFonts w:hint="default"/>
          <w:b/>
          <w:bCs/>
          <w:lang w:val="en-US" w:eastAsia="zh-CN"/>
        </w:rPr>
        <w:t>1.4 供应商资格要求</w:t>
      </w:r>
      <w:bookmarkEnd w:id="3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1.4.1 供应商应具备承担本项目的资格要求：见供应商须知前附表。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1.4.2 本项目不接受联合体投标。</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2" w:name="_Toc7641"/>
      <w:r>
        <w:rPr>
          <w:rFonts w:hint="default"/>
          <w:b/>
          <w:bCs/>
          <w:lang w:val="en-US" w:eastAsia="zh-CN"/>
        </w:rPr>
        <w:t>1.5 费用承担</w:t>
      </w:r>
      <w:bookmarkEnd w:id="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供应商准备和参加磋商活动发生的费用自理。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3" w:name="_Toc28224"/>
      <w:r>
        <w:rPr>
          <w:rFonts w:hint="default"/>
          <w:b/>
          <w:bCs/>
          <w:lang w:val="en-US" w:eastAsia="zh-CN"/>
        </w:rPr>
        <w:t>1.6 保密</w:t>
      </w:r>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参与磋商活动的各方应对竞争性磋商文件和响应文件中的商务和技术等秘密保密，违者应对由此造成的后果承担法律责任。</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34" w:name="_Toc10053"/>
      <w:r>
        <w:rPr>
          <w:rFonts w:hint="default"/>
          <w:b/>
          <w:bCs/>
          <w:lang w:val="en-US" w:eastAsia="zh-CN"/>
        </w:rPr>
        <w:t>1.7 语言文字</w:t>
      </w:r>
      <w:bookmarkEnd w:id="3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除专用术语外，与采购活动有关的语言均使用中文。必要时专用术语应附有中文注释。</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35" w:name="_Toc15933"/>
      <w:r>
        <w:rPr>
          <w:rFonts w:hint="default"/>
          <w:b/>
          <w:bCs/>
          <w:lang w:val="en-US" w:eastAsia="zh-CN"/>
        </w:rPr>
        <w:t>1.8 计量单位</w:t>
      </w:r>
      <w:bookmarkEnd w:id="3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所有计量均采用中华人民共和国法定计量单位。</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6" w:name="_Toc12593"/>
      <w:r>
        <w:rPr>
          <w:rFonts w:hint="default"/>
          <w:b/>
          <w:bCs/>
          <w:lang w:val="en-US" w:eastAsia="zh-CN"/>
        </w:rPr>
        <w:t>1.9 踏勘现场</w:t>
      </w:r>
      <w:bookmarkEnd w:id="3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1.9.1</w:t>
      </w:r>
      <w:r>
        <w:rPr>
          <w:rFonts w:hint="default"/>
          <w:lang w:val="en-US" w:eastAsia="zh-CN"/>
        </w:rPr>
        <w:t>供应商须知前附表规定不组织踏勘现场，供应商可自行踏勘项目现场。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1.9.2</w:t>
      </w:r>
      <w:r>
        <w:rPr>
          <w:rFonts w:hint="default"/>
          <w:lang w:val="en-US" w:eastAsia="zh-CN"/>
        </w:rPr>
        <w:t>供应商踏勘现场发生的费用自理。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1.9.3</w:t>
      </w:r>
      <w:r>
        <w:rPr>
          <w:rFonts w:hint="default"/>
          <w:lang w:val="en-US" w:eastAsia="zh-CN"/>
        </w:rPr>
        <w:t>供应商自行负责在踏勘现场中所发生的人员伤亡和财产损失。</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1.9.4</w:t>
      </w:r>
      <w:r>
        <w:rPr>
          <w:rFonts w:hint="default"/>
          <w:lang w:val="en-US" w:eastAsia="zh-CN"/>
        </w:rPr>
        <w:t>供应商在踏勘现场中看到的工程场地和相关的周边环境情况，供应商在编制响应文件时参考，采购人不对供应商据此作出的判断和决策负责。</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7" w:name="_Toc30448"/>
      <w:r>
        <w:rPr>
          <w:rFonts w:hint="default"/>
          <w:b/>
          <w:bCs/>
          <w:lang w:val="en-US" w:eastAsia="zh-CN"/>
        </w:rPr>
        <w:t>1.10 磋商前答疑会</w:t>
      </w:r>
      <w:bookmarkEnd w:id="3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本项目不召开磋商前答疑会。</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8" w:name="_Toc14156"/>
      <w:r>
        <w:rPr>
          <w:rFonts w:hint="default"/>
          <w:b/>
          <w:bCs/>
          <w:lang w:val="en-US" w:eastAsia="zh-CN"/>
        </w:rPr>
        <w:t>1.11 分包</w:t>
      </w:r>
      <w:bookmarkEnd w:id="3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本项目不允许分包。</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39" w:name="_Toc14618"/>
      <w:r>
        <w:rPr>
          <w:rFonts w:hint="default"/>
          <w:b/>
          <w:bCs/>
          <w:lang w:val="en-US" w:eastAsia="zh-CN"/>
        </w:rPr>
        <w:t xml:space="preserve">1.12 偏离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不允许偏离。</w:t>
      </w:r>
      <w:bookmarkEnd w:id="39"/>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0" w:name="_Toc17405"/>
      <w:r>
        <w:rPr>
          <w:rFonts w:hint="default"/>
          <w:b/>
          <w:bCs/>
          <w:lang w:val="en-US" w:eastAsia="zh-CN"/>
        </w:rPr>
        <w:t>2、竞争性磋商文件</w:t>
      </w:r>
      <w:bookmarkEnd w:id="40"/>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41" w:name="_Toc10146"/>
      <w:r>
        <w:rPr>
          <w:rFonts w:hint="eastAsia"/>
          <w:b/>
          <w:bCs/>
          <w:lang w:val="en-US" w:eastAsia="zh-CN"/>
        </w:rPr>
        <w:t>2.1</w:t>
      </w:r>
      <w:r>
        <w:rPr>
          <w:rFonts w:hint="default"/>
          <w:b/>
          <w:bCs/>
          <w:lang w:val="en-US" w:eastAsia="zh-CN"/>
        </w:rPr>
        <w:t>竞争性磋商文件的组成</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本竞争性磋商文件包括：</w:t>
      </w:r>
      <w:bookmarkEnd w:id="4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竞争性磋商公告；</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供应商须知；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评审办法（综合评分法）；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合同条款及格式；</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w:t>
      </w:r>
      <w:r>
        <w:rPr>
          <w:rFonts w:hint="default"/>
          <w:lang w:val="en-US" w:eastAsia="zh-CN"/>
        </w:rPr>
        <w:t>工程量清单；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w:t>
      </w:r>
      <w:r>
        <w:rPr>
          <w:rFonts w:hint="default"/>
          <w:lang w:val="en-US" w:eastAsia="zh-CN"/>
        </w:rPr>
        <w:t>响应文件格式。</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根据本章第2.2款对竞争性磋商文件所作的澄清、修改，构成竞争性磋商文件的组成部分。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2" w:name="_Toc4153"/>
      <w:r>
        <w:rPr>
          <w:rFonts w:hint="eastAsia"/>
          <w:b/>
          <w:bCs/>
          <w:lang w:val="en-US" w:eastAsia="zh-CN"/>
        </w:rPr>
        <w:t>2.2</w:t>
      </w:r>
      <w:r>
        <w:rPr>
          <w:rFonts w:hint="default"/>
          <w:b/>
          <w:bCs/>
          <w:lang w:val="en-US" w:eastAsia="zh-CN"/>
        </w:rPr>
        <w:t>竞争性磋商文件的澄清、修改</w:t>
      </w:r>
      <w:bookmarkEnd w:id="4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2.2.1</w:t>
      </w:r>
      <w:r>
        <w:rPr>
          <w:rFonts w:hint="default"/>
          <w:lang w:val="en-US" w:eastAsia="zh-CN"/>
        </w:rPr>
        <w:t>供应商应仔细阅读和检查竞争性磋商文件的全部内容。如发现缺页或附件不全，应及时向采购人提出，以便补齐。</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2.2.1</w:t>
      </w:r>
      <w:r>
        <w:rPr>
          <w:rFonts w:hint="default"/>
          <w:lang w:val="en-US" w:eastAsia="zh-CN"/>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3" w:name="_Toc31372"/>
      <w:r>
        <w:rPr>
          <w:rFonts w:hint="default"/>
          <w:b/>
          <w:bCs/>
          <w:lang w:val="en-US" w:eastAsia="zh-CN"/>
        </w:rPr>
        <w:t>3、响应文件</w:t>
      </w:r>
      <w:bookmarkEnd w:id="43"/>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4" w:name="_Toc29500"/>
      <w:r>
        <w:rPr>
          <w:rFonts w:hint="eastAsia"/>
          <w:b/>
          <w:bCs/>
          <w:lang w:val="en-US" w:eastAsia="zh-CN"/>
        </w:rPr>
        <w:t>3.1</w:t>
      </w:r>
      <w:r>
        <w:rPr>
          <w:rFonts w:hint="default"/>
          <w:b/>
          <w:bCs/>
          <w:lang w:val="en-US" w:eastAsia="zh-CN"/>
        </w:rPr>
        <w:t>响应文件的组成</w:t>
      </w:r>
      <w:bookmarkEnd w:id="4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3.1.1</w:t>
      </w:r>
      <w:r>
        <w:rPr>
          <w:rFonts w:hint="default"/>
          <w:lang w:val="en-US" w:eastAsia="zh-CN"/>
        </w:rPr>
        <w:t>响应文件应包括下列内容：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响应函及响应函附录；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法定代表人身份证明</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授权委托书；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磋商承诺函；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w:t>
      </w:r>
      <w:r>
        <w:rPr>
          <w:rFonts w:hint="default"/>
          <w:lang w:val="en-US" w:eastAsia="zh-CN"/>
        </w:rPr>
        <w:t>已标价的工程量清单；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w:t>
      </w:r>
      <w:r>
        <w:rPr>
          <w:rFonts w:hint="default"/>
          <w:lang w:val="en-US" w:eastAsia="zh-CN"/>
        </w:rPr>
        <w:t>施工组织设计；</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（7）</w:t>
      </w:r>
      <w:r>
        <w:rPr>
          <w:rFonts w:hint="default"/>
          <w:lang w:val="en-US" w:eastAsia="zh-CN"/>
        </w:rPr>
        <w:t>项目管理机构；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（8）</w:t>
      </w:r>
      <w:r>
        <w:rPr>
          <w:rFonts w:hint="default"/>
          <w:lang w:val="en-US" w:eastAsia="zh-CN"/>
        </w:rPr>
        <w:t>资格审查资料；</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（9）</w:t>
      </w:r>
      <w:r>
        <w:rPr>
          <w:rFonts w:hint="default"/>
          <w:lang w:val="en-US" w:eastAsia="zh-CN"/>
        </w:rPr>
        <w:t>其他材料。</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45" w:name="_Toc13925"/>
      <w:r>
        <w:rPr>
          <w:rFonts w:hint="eastAsia"/>
          <w:b/>
          <w:bCs/>
          <w:lang w:val="en-US" w:eastAsia="zh-CN"/>
        </w:rPr>
        <w:t>3.2</w:t>
      </w:r>
      <w:r>
        <w:rPr>
          <w:rFonts w:hint="default"/>
          <w:b/>
          <w:bCs/>
          <w:lang w:val="en-US" w:eastAsia="zh-CN"/>
        </w:rPr>
        <w:t>磋商报价</w:t>
      </w:r>
      <w:bookmarkEnd w:id="4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w:t>
      </w:r>
      <w:r>
        <w:rPr>
          <w:rFonts w:hint="default"/>
          <w:lang w:val="en-US" w:eastAsia="zh-CN"/>
        </w:rPr>
        <w:t>供应商应按第五章“工程量清单”的要求填写。</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3.2.2</w:t>
      </w:r>
      <w:r>
        <w:rPr>
          <w:rFonts w:hint="default"/>
          <w:lang w:val="en-US" w:eastAsia="zh-CN"/>
        </w:rPr>
        <w:t>供应商在提交首次响应文件截止时间前修改响应函中的磋商报价，应同时修改响应文件“已标价工程量清单”中的相应报价。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3.2.3</w:t>
      </w:r>
      <w:r>
        <w:rPr>
          <w:rFonts w:hint="default"/>
          <w:lang w:val="en-US" w:eastAsia="zh-CN"/>
        </w:rPr>
        <w:t>政府采购政策：本项目属于专门面向中小企业采购，监狱企业、残疾人福利性企业视同小微企业。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3.2.4</w:t>
      </w:r>
      <w:r>
        <w:rPr>
          <w:rFonts w:hint="default"/>
          <w:lang w:val="en-US" w:eastAsia="zh-CN"/>
        </w:rPr>
        <w:t>全部报价均以人民币为计量币种，并以人民币进行结算。</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6" w:name="_Toc10412"/>
      <w:r>
        <w:rPr>
          <w:rFonts w:hint="eastAsia"/>
          <w:b/>
          <w:bCs/>
          <w:lang w:val="en-US" w:eastAsia="zh-CN"/>
        </w:rPr>
        <w:t>3.3</w:t>
      </w:r>
      <w:r>
        <w:rPr>
          <w:rFonts w:hint="default"/>
          <w:b/>
          <w:bCs/>
          <w:lang w:val="en-US" w:eastAsia="zh-CN"/>
        </w:rPr>
        <w:t>磋商有效期</w:t>
      </w:r>
      <w:bookmarkEnd w:id="4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3.3.1</w:t>
      </w:r>
      <w:r>
        <w:rPr>
          <w:rFonts w:hint="default"/>
          <w:lang w:val="en-US" w:eastAsia="zh-CN"/>
        </w:rPr>
        <w:t>在供应商须知前附表规定的磋商有效期内，供应商不得要求撤销或修改其响应文件。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3.3.2</w:t>
      </w:r>
      <w:r>
        <w:rPr>
          <w:rFonts w:hint="default"/>
          <w:lang w:val="en-US" w:eastAsia="zh-CN"/>
        </w:rPr>
        <w:t>出现特殊情况需要延长磋商有效期的，采购人以书面形式通知所有供应商延长磋商有效期。供应商同意延长的，但不得要求或被允许修改或撤销其响应文件；供应商拒绝延长的，其响应失效。</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7" w:name="_Toc5185"/>
      <w:r>
        <w:rPr>
          <w:rFonts w:hint="eastAsia"/>
          <w:b/>
          <w:bCs/>
          <w:lang w:val="en-US" w:eastAsia="zh-CN"/>
        </w:rPr>
        <w:t>3.4</w:t>
      </w:r>
      <w:r>
        <w:rPr>
          <w:rFonts w:hint="default"/>
          <w:b/>
          <w:bCs/>
          <w:lang w:val="en-US" w:eastAsia="zh-CN"/>
        </w:rPr>
        <w:t>磋商保证金</w:t>
      </w:r>
      <w:bookmarkEnd w:id="4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3.4.1</w:t>
      </w:r>
      <w:r>
        <w:rPr>
          <w:rFonts w:hint="default"/>
          <w:lang w:val="en-US" w:eastAsia="zh-CN"/>
        </w:rPr>
        <w:t>本项目不再缴纳磋商保证金，供应商领取竞争性磋商文件后应按照磋商文件要求提交磋商承诺函，并作为其响应文件的组成章。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3.4.2</w:t>
      </w:r>
      <w:r>
        <w:rPr>
          <w:rFonts w:hint="default"/>
          <w:lang w:val="en-US" w:eastAsia="zh-CN"/>
        </w:rPr>
        <w:t>供应商不按本章第 3.4.1 项要求提交磋商承诺函的，其响应文件作废标处理。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3.4.3</w:t>
      </w:r>
      <w:r>
        <w:rPr>
          <w:rFonts w:hint="default"/>
          <w:lang w:val="en-US" w:eastAsia="zh-CN"/>
        </w:rPr>
        <w:t>因违约造成经济损失的，由违约方承担，应当全额赔偿守约方因此所遭受的直接经济损失。</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3.4.4</w:t>
      </w:r>
      <w:r>
        <w:rPr>
          <w:rFonts w:hint="default"/>
          <w:lang w:val="en-US" w:eastAsia="zh-CN"/>
        </w:rPr>
        <w:t>有下列情形之一的，视为供应商单方面违约：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供应商在规定的磋商有效期内撤销或修改其响应文件；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成交人在收到成交通知书后，无正当理由拒签合同协议书或自主放弃成交资格的或未按竞争性磋商文件规定提交履约担保；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在评审过程中发现供应商有弄虚作假或有串标现象者。</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8" w:name="_Toc26929"/>
      <w:r>
        <w:rPr>
          <w:rFonts w:hint="eastAsia"/>
          <w:b/>
          <w:bCs/>
          <w:lang w:val="en-US" w:eastAsia="zh-CN"/>
        </w:rPr>
        <w:t>3.5</w:t>
      </w:r>
      <w:r>
        <w:rPr>
          <w:rFonts w:hint="default"/>
          <w:b/>
          <w:bCs/>
          <w:lang w:val="en-US" w:eastAsia="zh-CN"/>
        </w:rPr>
        <w:t>资格审查资料</w:t>
      </w:r>
      <w:bookmarkEnd w:id="4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详见供应商须知前附表第 1.4.1 项规定。</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49" w:name="_Toc18053"/>
      <w:r>
        <w:rPr>
          <w:rFonts w:hint="eastAsia"/>
          <w:b/>
          <w:bCs/>
          <w:lang w:val="en-US" w:eastAsia="zh-CN"/>
        </w:rPr>
        <w:t>3.6</w:t>
      </w:r>
      <w:r>
        <w:rPr>
          <w:rFonts w:hint="default"/>
          <w:b/>
          <w:bCs/>
          <w:lang w:val="en-US" w:eastAsia="zh-CN"/>
        </w:rPr>
        <w:t>备选方案</w:t>
      </w:r>
      <w:bookmarkEnd w:id="4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除供应商须知前附表另有规定外，供应商不得递交备选方案。允许供应商递交备选方案的，只有成交人所递交的备选方案方可予以考虑。磋商小组认为成交人的备选方案优于其按照竞争性磋商文件要求编制的方案的，采购人可以接受该备选方案。</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0" w:name="_Toc28816"/>
      <w:r>
        <w:rPr>
          <w:rFonts w:hint="eastAsia"/>
          <w:b/>
          <w:bCs/>
          <w:lang w:val="en-US" w:eastAsia="zh-CN"/>
        </w:rPr>
        <w:t>3.7</w:t>
      </w:r>
      <w:r>
        <w:rPr>
          <w:rFonts w:hint="default"/>
          <w:b/>
          <w:bCs/>
          <w:lang w:val="en-US" w:eastAsia="zh-CN"/>
        </w:rPr>
        <w:t>响应文件的编制</w:t>
      </w:r>
      <w:bookmarkEnd w:id="5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3.7.1</w:t>
      </w:r>
      <w:r>
        <w:rPr>
          <w:rFonts w:hint="default"/>
          <w:lang w:val="en-US" w:eastAsia="zh-CN"/>
        </w:rPr>
        <w:t>供应商的响应文件应参照第六章“响应文件格式”进行编写，如有必要，可以增加附页，作为响应文件的组成章。其中，响应函附录在满足竞争性磋商文件实质性要求的基础上，可以提出比竞争性磋商文件要求更有利于采购人的承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3.7.2</w:t>
      </w:r>
      <w:r>
        <w:rPr>
          <w:rFonts w:hint="default"/>
          <w:lang w:val="en-US" w:eastAsia="zh-CN"/>
        </w:rPr>
        <w:t>响应文件应当对竞争性磋商文件有关工期、磋商有效期、质量要求、采购内容、缺陷责任期等实质性内容作出响应。</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3.7.3</w:t>
      </w:r>
      <w:r>
        <w:rPr>
          <w:rFonts w:hint="default"/>
          <w:lang w:val="en-US" w:eastAsia="zh-CN"/>
        </w:rPr>
        <w:t>响应文件的签字和盖章要求见供应商须知前附表。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3.7.4</w:t>
      </w:r>
      <w:r>
        <w:rPr>
          <w:rFonts w:hint="default"/>
          <w:lang w:val="en-US" w:eastAsia="zh-CN"/>
        </w:rPr>
        <w:t>响应文件份数见供应商须知前附表。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3.7.5</w:t>
      </w:r>
      <w:r>
        <w:rPr>
          <w:rFonts w:hint="default"/>
          <w:lang w:val="en-US" w:eastAsia="zh-CN"/>
        </w:rPr>
        <w:t>电子响应文件的制作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供应商登录新密市公共资源交易中心交易系统，在组件下载中下载响应文件制作工具及其他相关软件，并按竞争性磋商文件要求制作电子响应文件。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供应商须将竞争性磋商文件要求的证明材料等资料原件扫描件（或图片）制作到所提交的电子响应文件中。</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供应商对同一项目多个标段进行投标的，应分别下载所投标段的竞争性磋商文件，按标段制作电子响应文件，并按竞争性磋商文件要求在相应位置签字、盖章。</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1" w:name="_Toc26889"/>
      <w:r>
        <w:rPr>
          <w:rFonts w:hint="default"/>
          <w:b/>
          <w:bCs/>
          <w:lang w:val="en-US" w:eastAsia="zh-CN"/>
        </w:rPr>
        <w:t>4、响应文件</w:t>
      </w:r>
      <w:bookmarkEnd w:id="51"/>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2" w:name="_Toc9666"/>
      <w:r>
        <w:rPr>
          <w:rFonts w:hint="eastAsia"/>
          <w:b/>
          <w:bCs/>
          <w:lang w:val="en-US" w:eastAsia="zh-CN"/>
        </w:rPr>
        <w:t>4.1</w:t>
      </w:r>
      <w:r>
        <w:rPr>
          <w:rFonts w:hint="default"/>
          <w:b/>
          <w:bCs/>
          <w:lang w:val="en-US" w:eastAsia="zh-CN"/>
        </w:rPr>
        <w:t>响应文件的签章</w:t>
      </w:r>
      <w:bookmarkEnd w:id="5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供应商在生成电子化磋商响应文件后，应对电子化磋商响应文件进行签章， 未进行签章的视为无效响应。</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3" w:name="_Toc8031"/>
      <w:r>
        <w:rPr>
          <w:rFonts w:hint="eastAsia"/>
          <w:b/>
          <w:bCs/>
          <w:lang w:val="en-US" w:eastAsia="zh-CN"/>
        </w:rPr>
        <w:t>4.2</w:t>
      </w:r>
      <w:r>
        <w:rPr>
          <w:rFonts w:hint="default"/>
          <w:b/>
          <w:bCs/>
          <w:lang w:val="en-US" w:eastAsia="zh-CN"/>
        </w:rPr>
        <w:t>响应文件的提交</w:t>
      </w:r>
      <w:bookmarkEnd w:id="5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4.2.1</w:t>
      </w:r>
      <w:r>
        <w:rPr>
          <w:rFonts w:hint="default"/>
          <w:lang w:val="en-US" w:eastAsia="zh-CN"/>
        </w:rPr>
        <w:t>供应商应在供应商须知前附表规定的提交首次响应文件截止时间前上传加密电子响应文件。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4.2.2</w:t>
      </w:r>
      <w:r>
        <w:rPr>
          <w:rFonts w:hint="default"/>
          <w:lang w:val="en-US" w:eastAsia="zh-CN"/>
        </w:rPr>
        <w:t>供应商提交响应文件的地点：见供应商须知前附表。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4.2.3</w:t>
      </w:r>
      <w:r>
        <w:rPr>
          <w:rFonts w:hint="default"/>
          <w:lang w:val="en-US" w:eastAsia="zh-CN"/>
        </w:rPr>
        <w:t>逾期上传的响应文件，电子招标投标交易平台将予以拒收。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4" w:name="_Toc31904"/>
      <w:r>
        <w:rPr>
          <w:rFonts w:hint="eastAsia"/>
          <w:b/>
          <w:bCs/>
          <w:lang w:val="en-US" w:eastAsia="zh-CN"/>
        </w:rPr>
        <w:t>4.3</w:t>
      </w:r>
      <w:r>
        <w:rPr>
          <w:rFonts w:hint="default"/>
          <w:b/>
          <w:bCs/>
          <w:lang w:val="en-US" w:eastAsia="zh-CN"/>
        </w:rPr>
        <w:t>响应文件的修改与撤回</w:t>
      </w:r>
      <w:bookmarkEnd w:id="5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在提交首次响应文件截止时间前，供应商可以修改或撤回已提交的响应文件。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5" w:name="_Toc14914"/>
      <w:r>
        <w:rPr>
          <w:rFonts w:hint="default"/>
          <w:b/>
          <w:bCs/>
          <w:lang w:val="en-US" w:eastAsia="zh-CN"/>
        </w:rPr>
        <w:t>5、磋商程序</w:t>
      </w:r>
      <w:bookmarkEnd w:id="55"/>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6" w:name="_Toc9758"/>
      <w:r>
        <w:rPr>
          <w:rFonts w:hint="eastAsia"/>
          <w:b/>
          <w:bCs/>
          <w:lang w:val="en-US" w:eastAsia="zh-CN"/>
        </w:rPr>
        <w:t>5.1</w:t>
      </w:r>
      <w:r>
        <w:rPr>
          <w:rFonts w:hint="default"/>
          <w:b/>
          <w:bCs/>
          <w:lang w:val="en-US" w:eastAsia="zh-CN"/>
        </w:rPr>
        <w:t>磋商开标会议</w:t>
      </w:r>
      <w:bookmarkEnd w:id="5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采购人将按供应商须知前附表的时间和地点举行竞争性磋商开标会议，本项目采用远程不见面开标，供应商无须到达开标现场，解密时间为40分钟。供应商法定代表人或其委托代理人未在规定时间内解密其上传的响应文件的，则视为该供应商自动放弃该项目的磋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57" w:name="_Toc17779"/>
      <w:r>
        <w:rPr>
          <w:rFonts w:hint="eastAsia"/>
          <w:b/>
          <w:bCs/>
          <w:lang w:val="en-US" w:eastAsia="zh-CN"/>
        </w:rPr>
        <w:t>5.2</w:t>
      </w:r>
      <w:r>
        <w:rPr>
          <w:rFonts w:hint="default"/>
          <w:b/>
          <w:bCs/>
          <w:lang w:val="en-US" w:eastAsia="zh-CN"/>
        </w:rPr>
        <w:t>磋商过程的保密与磋商响应的澄清</w:t>
      </w:r>
      <w:bookmarkEnd w:id="5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5.2.1</w:t>
      </w:r>
      <w:r>
        <w:rPr>
          <w:rFonts w:hint="default"/>
          <w:lang w:val="en-US" w:eastAsia="zh-CN"/>
        </w:rPr>
        <w:t>磋商采取“背靠背”的方式（不向其他供应商公布、透露其价格等信息）。磋商开始后，直至供应商提交最终报价，凡是与审查、澄清、评价和比较磋商响应的有关资料以及成交建议等，均不得向供应商和评定无关的其他人员透露。</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5.2.2</w:t>
      </w:r>
      <w:r>
        <w:rPr>
          <w:rFonts w:hint="default"/>
          <w:lang w:val="en-US" w:eastAsia="zh-CN"/>
        </w:rPr>
        <w:t>在磋商过程中，如果供应商试图在响应文件审查、澄清、比较及授予合同等方面向采购代理机构和参与评定的人员施加任何影响，都将会导致其响应文件被拒绝。</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8" w:name="_Toc2857"/>
      <w:r>
        <w:rPr>
          <w:rFonts w:hint="eastAsia"/>
          <w:b/>
          <w:bCs/>
          <w:lang w:val="en-US" w:eastAsia="zh-CN"/>
        </w:rPr>
        <w:t>5.3</w:t>
      </w:r>
      <w:r>
        <w:rPr>
          <w:rFonts w:hint="default"/>
          <w:b/>
          <w:bCs/>
          <w:lang w:val="en-US" w:eastAsia="zh-CN"/>
        </w:rPr>
        <w:t>对响应文件的初审</w:t>
      </w:r>
      <w:bookmarkEnd w:id="5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5.3.1</w:t>
      </w:r>
      <w:r>
        <w:rPr>
          <w:rFonts w:hint="default"/>
          <w:lang w:val="en-US" w:eastAsia="zh-CN"/>
        </w:rPr>
        <w:t>磋商开始，采购代理机构将组织磋商小组进行磋商活动，并参加磋商小组的评审专家独立开展磋商工作。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5.3.2</w:t>
      </w:r>
      <w:r>
        <w:rPr>
          <w:rFonts w:hint="default"/>
          <w:lang w:val="en-US" w:eastAsia="zh-CN"/>
        </w:rPr>
        <w:t>为有助于对响应文件的审查、评价和比较，磋商小组有权要求供应商对响应文件中含义不明确的内容作必要的澄清或说明，有关澄清或说明的内容以电子文档形式在新密市公共资源交易中心网站系统内递交磋商小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5.3.3</w:t>
      </w:r>
      <w:r>
        <w:rPr>
          <w:rFonts w:hint="default"/>
          <w:lang w:val="en-US" w:eastAsia="zh-CN"/>
        </w:rPr>
        <w:t>磋商小组将审查响应文件是否完整，有无计算上的错误，是否按要求提交磋商承诺函，文件签署是否合格，响应文件是否编排有序且符合竞争性磋商文件要求。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5.3.4</w:t>
      </w:r>
      <w:r>
        <w:rPr>
          <w:rFonts w:hint="default"/>
          <w:lang w:val="en-US" w:eastAsia="zh-CN"/>
        </w:rPr>
        <w:t>磋商小组将首先审查每份响应文件是否实质性响应了竞争性磋商文件的要求。实质性响应的应该是与竞争性磋商文件要求的全部条款、条件和规定相符，没有重大偏离或保留的磋商响应。所谓重大偏离或保留是指影响合同的内容或者在实质上与竞争性磋商文件不一致，而且限制了合同中甲方的权利或供应 商的义务，纠正这些偏离或保留将会对其他实质上响应要求的供应商的竞争地位 产生不公正的影响。磋商小组决定响应文件的响应性只根据响应文件本身的内容， 而不寻求外部的证据。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5.3.5</w:t>
      </w:r>
      <w:r>
        <w:rPr>
          <w:rFonts w:hint="default"/>
          <w:lang w:val="en-US" w:eastAsia="zh-CN"/>
        </w:rPr>
        <w:t>磋商小组将允许修正响应文件中不构成重大偏离的、微小的、非正规的、不一致的或不规则的地方，但这些修改不能影响任何供应商竞争地位的公正性。磋商小组决定响应文件的响应性只能根据响应文件本身的内容，而不寻求外部的证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5.3.6</w:t>
      </w:r>
      <w:r>
        <w:rPr>
          <w:rFonts w:hint="default"/>
          <w:lang w:val="en-US" w:eastAsia="zh-CN"/>
        </w:rPr>
        <w:t>磋商小组将对确定为实质上响应的竞争性磋商文件进行进一步审查， 看其是否有计算上或累加上的算术错误，修正错误的原则如下：</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5.3.7</w:t>
      </w:r>
      <w:r>
        <w:rPr>
          <w:rFonts w:hint="default"/>
          <w:lang w:val="en-US" w:eastAsia="zh-CN"/>
        </w:rPr>
        <w:t>如果用数字表示的金额和用文字表示的金额不一致时，应以文字表示的金额为准进行修正；</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5.3.8</w:t>
      </w:r>
      <w:r>
        <w:rPr>
          <w:rFonts w:hint="default"/>
          <w:lang w:val="en-US" w:eastAsia="zh-CN"/>
        </w:rPr>
        <w:t>当单价与数量的乘积和总价不一致时，以单价为准进行修正。只有在磋商小组认为单价有明显的小数点错误时，才能以标出的总价为准，并修正单价；</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5.3.9</w:t>
      </w:r>
      <w:r>
        <w:rPr>
          <w:rFonts w:hint="default"/>
          <w:lang w:val="en-US" w:eastAsia="zh-CN"/>
        </w:rPr>
        <w:t>磋商小组将按上述修正错误的方法调整响应文件中的磋商响应报价， 调整后的价格应对供应商具有约束力。如果供应商不接受修正后的价格，则其磋商响</w:t>
      </w:r>
      <w:r>
        <w:rPr>
          <w:rFonts w:hint="eastAsia"/>
          <w:lang w:val="en-US" w:eastAsia="zh-CN"/>
        </w:rPr>
        <w:t>应</w:t>
      </w:r>
      <w:r>
        <w:rPr>
          <w:rFonts w:hint="default"/>
          <w:lang w:val="en-US" w:eastAsia="zh-CN"/>
        </w:rPr>
        <w:t>文件应将被拒绝。</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59" w:name="_Toc10643"/>
      <w:r>
        <w:rPr>
          <w:rFonts w:hint="eastAsia"/>
          <w:b/>
          <w:bCs/>
          <w:lang w:val="en-US" w:eastAsia="zh-CN"/>
        </w:rPr>
        <w:t>6.</w:t>
      </w:r>
      <w:r>
        <w:rPr>
          <w:rFonts w:hint="default"/>
          <w:b/>
          <w:bCs/>
          <w:lang w:val="en-US" w:eastAsia="zh-CN"/>
        </w:rPr>
        <w:t>评审</w:t>
      </w:r>
      <w:bookmarkEnd w:id="59"/>
      <w:bookmarkStart w:id="60" w:name="_Toc12194"/>
      <w:r>
        <w:rPr>
          <w:rFonts w:hint="default"/>
          <w:b/>
          <w:bCs/>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6.1磋商小组</w:t>
      </w:r>
      <w:bookmarkEnd w:id="6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6.1.1</w:t>
      </w:r>
      <w:r>
        <w:rPr>
          <w:rFonts w:hint="default"/>
          <w:lang w:val="en-US" w:eastAsia="zh-CN"/>
        </w:rPr>
        <w:t>评审由采购人依法组建的磋商小组负责。磋商小组由采购人代表以及有关技术、经济等方面的专家组成。磋商小组成员人数以及技术、经济等方面专家的确定方式见供应商须知前附表。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6.1.2</w:t>
      </w:r>
      <w:r>
        <w:rPr>
          <w:rFonts w:hint="default"/>
          <w:lang w:val="en-US" w:eastAsia="zh-CN"/>
        </w:rPr>
        <w:t>磋商小组成员有下列情形之一的，应当回避：</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采购人或供应商的主要负责人的近亲属；</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项目主管部门或者行政监督部门的人员；</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与供应商有经济利益关系，可能影响对投标公正评审的；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曾因在采购、评审以及其他与采购、响应有关活动中从事违法行为而受过行政处罚或刑事处罚的。</w:t>
      </w:r>
      <w:bookmarkStart w:id="61" w:name="_Toc10683"/>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r>
        <w:rPr>
          <w:rFonts w:hint="default"/>
          <w:b/>
          <w:bCs/>
          <w:lang w:val="en-US" w:eastAsia="zh-CN"/>
        </w:rPr>
        <w:t>6.2 评审原则</w:t>
      </w:r>
      <w:bookmarkEnd w:id="6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评审活动遵循公平、公正、科学和择优的原则。</w:t>
      </w:r>
      <w:bookmarkStart w:id="62" w:name="_Toc17937"/>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6.3 评审</w:t>
      </w:r>
      <w:bookmarkEnd w:id="6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6.3.1 围绕磋商要点，磋商小组全体成员集中与单一供应商分别进行磋商。按各供应商上传电子响应文件的顺序进行磋商。对通过初步评审的供应商进行第2 轮报价，第 2 轮报价则为最终报价，依据最终提交的报价进行评审,由磋商小组根据综合评分法规则对提交最终报价的供应商的响应文件和最终报价（该价格包括竞争性磋商文件中规定的各项费用）进行综合评分。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6.3.2 磋商小组按照第三章“评审办法”规定的方法、评审因素、标准和程序对响应文件进行评审。第三章“评审办法”没有规定的方法、评审因素和标准， 不作为评审依据。</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3" w:name="_Toc734"/>
      <w:r>
        <w:rPr>
          <w:rFonts w:hint="eastAsia"/>
          <w:b/>
          <w:bCs/>
          <w:lang w:val="en-US" w:eastAsia="zh-CN"/>
        </w:rPr>
        <w:t>7.</w:t>
      </w:r>
      <w:r>
        <w:rPr>
          <w:rFonts w:hint="default"/>
          <w:b/>
          <w:bCs/>
          <w:lang w:val="en-US" w:eastAsia="zh-CN"/>
        </w:rPr>
        <w:t>合同授予</w:t>
      </w:r>
      <w:bookmarkEnd w:id="63"/>
      <w:bookmarkStart w:id="64" w:name="_Toc16894"/>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r>
        <w:rPr>
          <w:rFonts w:hint="default"/>
          <w:b/>
          <w:bCs/>
          <w:lang w:val="en-US" w:eastAsia="zh-CN"/>
        </w:rPr>
        <w:t>7.1 定标方式</w:t>
      </w:r>
      <w:bookmarkEnd w:id="6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7.1.1 除供应商须知前附表规定磋商小组直接确定成交人外，采购人依据磋商小组推荐的成交候选人确定成交人，磋商小组推荐成交候选人的人数见供应商须知前附表。采购人将根据评审报告，确定排名第一的成交候选人为成交人。当确定成交的成交候选人放弃成交、因不可抗力提出不能履行合同、不按规定向采购人交纳履约担保（或银行履约保函）的，采购人可以按序确定排名第二的成交候选人为成交人或重新组织采购活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5" w:name="_Toc25404"/>
      <w:r>
        <w:rPr>
          <w:rFonts w:hint="default"/>
          <w:b/>
          <w:bCs/>
          <w:lang w:val="en-US" w:eastAsia="zh-CN"/>
        </w:rPr>
        <w:t>7.2 成交通知</w:t>
      </w:r>
      <w:bookmarkEnd w:id="6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66" w:name="_Toc26136"/>
      <w:r>
        <w:rPr>
          <w:rFonts w:hint="default"/>
          <w:lang w:val="en-US" w:eastAsia="zh-CN"/>
        </w:rPr>
        <w:t>采购人以书面形式向成交人发出成交通知书，同时将成交结果通知未成交的供应商。成交通知书将作为进行合同磋商和签订的依据。</w:t>
      </w:r>
      <w:bookmarkEnd w:id="66"/>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7.3 履约担保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本项目无需缴纳履约担保。</w:t>
      </w:r>
      <w:bookmarkStart w:id="67" w:name="_Toc29843"/>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r>
        <w:rPr>
          <w:rFonts w:hint="default"/>
          <w:b/>
          <w:bCs/>
          <w:lang w:val="en-US" w:eastAsia="zh-CN"/>
        </w:rPr>
        <w:t>7.4 签订合同</w:t>
      </w:r>
      <w:bookmarkEnd w:id="6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7.4.1 采购人和成交人应当自成交通知书发出之日起 2 个工作日内，根据竞争性磋商文件和成交人的响应文件订立书面合同。成交人无正当理由拒签合同的，采购人取消其成交资格；给采购人造成的损失的，成交人还应当对损失予以赔偿。</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7.4.2 发出成交通知书后，采购人无正当理由拒签合同的，给成交人造成损失的，还应当赔偿损失。</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7.4.3 合同价款的支付：见供应商须知前附表。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8" w:name="_Toc9946"/>
      <w:r>
        <w:rPr>
          <w:rFonts w:hint="eastAsia"/>
          <w:b/>
          <w:bCs/>
          <w:lang w:val="en-US" w:eastAsia="zh-CN"/>
        </w:rPr>
        <w:t>8.</w:t>
      </w:r>
      <w:r>
        <w:rPr>
          <w:rFonts w:hint="default"/>
          <w:b/>
          <w:bCs/>
          <w:lang w:val="en-US" w:eastAsia="zh-CN"/>
        </w:rPr>
        <w:t>重新开展采购活动</w:t>
      </w:r>
      <w:bookmarkEnd w:id="6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8.1 出现下列情形之一的，采购人或者采购代理机构应当终止竞争性磋商采购活动，发布项目终止公告并说明原因，重新开展采购活动：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（一）因情况变化，不再符合规定的竞争性磋商采购方式适用情形的；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（二）出现影响采购公正的违法、违规行为的；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（三）在采购过程中符合要求的供应商或者报价未超过采购预算的供应商不足 3 家的。（市场竞争不充分的科研项目，以及需要扶持的科技成果转化项目，提交最后报价的供应商可以为 2 家。）</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69" w:name="_Toc7006"/>
      <w:r>
        <w:rPr>
          <w:rFonts w:hint="eastAsia"/>
          <w:b/>
          <w:bCs/>
          <w:lang w:val="en-US" w:eastAsia="zh-CN"/>
        </w:rPr>
        <w:t>9.</w:t>
      </w:r>
      <w:r>
        <w:rPr>
          <w:rFonts w:hint="default"/>
          <w:b/>
          <w:bCs/>
          <w:lang w:val="en-US" w:eastAsia="zh-CN"/>
        </w:rPr>
        <w:t>纪律和监督</w:t>
      </w:r>
      <w:bookmarkEnd w:id="6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9.1 对采购人的纪律要求采购人不得泄漏磋商活动中应当保密的情况和资料，不得与供应商串通损害国家利益、社会公共利益或者他人合法权益。</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9.2 对供应商的纪律要求供应商不得相互串通磋商或者与采购人串通磋商， 不得向采购人或者磋商小组成员行贿谋取成交，不得以他人名义磋商或者以其他方式弄虚作假骗取成交；供应商不得以任何方式干扰、影响评审工作。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9.3 对磋商小组成员的纪律要求磋商小组成员不得收受他人的财物或者其他好处，不得向他人透漏对竞争性磋商响应文件的评审和比较、成交候选供应商的推荐情况以及评审有关的其他情况。在评审活动中，磋商小组成员不得擅离职守，影响评审程序正常进行，不得使用第三章“评审办法”没有规定的评审因素和标准进行评审。</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9.4 对与评审活动有关的工作人员的纪律要求与评审活动有关的工作人员 不得收受他人的财物或者其他好处，不得向他人透漏对竞争性磋商响应文件的评审和比较、成交候选供应商的推荐情况以及评审有关的其他情况。在评审活动中， 与评审活动有关的工作人员不得擅离职守，影响评审程序正常进行。</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9.5 投诉供应商和其他利害关系人认为本次采购活动违反法律、法规和规章规定的，有权向有关行政监督部门投诉。</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0" w:name="_Toc2938"/>
      <w:r>
        <w:rPr>
          <w:rFonts w:hint="eastAsia"/>
          <w:b/>
          <w:bCs/>
          <w:lang w:val="en-US" w:eastAsia="zh-CN"/>
        </w:rPr>
        <w:t>10、</w:t>
      </w:r>
      <w:r>
        <w:rPr>
          <w:rFonts w:hint="default"/>
          <w:b/>
          <w:bCs/>
          <w:lang w:val="en-US" w:eastAsia="zh-CN"/>
        </w:rPr>
        <w:t>其他内容</w:t>
      </w:r>
      <w:bookmarkEnd w:id="7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见供应商须知前附表。</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lang w:val="en-US" w:eastAsia="zh-CN"/>
        </w:rPr>
      </w:pPr>
      <w:bookmarkStart w:id="71" w:name="_Toc17184"/>
      <w:bookmarkStart w:id="72" w:name="_Toc31537"/>
      <w:bookmarkStart w:id="751" w:name="_GoBack"/>
      <w:bookmarkEnd w:id="751"/>
      <w:r>
        <w:rPr>
          <w:rFonts w:hint="default"/>
          <w:b/>
          <w:bCs/>
          <w:lang w:val="en-US" w:eastAsia="zh-CN"/>
        </w:rPr>
        <w:t>第三章 评审办法（综合评分法）</w:t>
      </w:r>
      <w:bookmarkEnd w:id="71"/>
      <w:bookmarkEnd w:id="72"/>
    </w:p>
    <w:p>
      <w:pPr>
        <w:jc w:val="center"/>
        <w:rPr>
          <w:rFonts w:hint="default"/>
          <w:b/>
          <w:bCs/>
          <w:lang w:val="en-US" w:eastAsia="zh-CN"/>
        </w:rPr>
      </w:pPr>
      <w:bookmarkStart w:id="73" w:name="_Toc29040"/>
      <w:r>
        <w:rPr>
          <w:rFonts w:hint="default"/>
          <w:b/>
          <w:bCs/>
          <w:lang w:val="en-US" w:eastAsia="zh-CN"/>
        </w:rPr>
        <w:t>评审办法前附表</w:t>
      </w:r>
      <w:bookmarkEnd w:id="73"/>
    </w:p>
    <w:tbl>
      <w:tblPr>
        <w:tblStyle w:val="29"/>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115"/>
        <w:gridCol w:w="1983"/>
        <w:gridCol w:w="6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773" w:type="dxa"/>
            <w:gridSpan w:val="2"/>
            <w:noWrap w:val="0"/>
            <w:vAlign w:val="center"/>
          </w:tcPr>
          <w:p>
            <w:pPr>
              <w:jc w:val="center"/>
              <w:rPr>
                <w:rFonts w:hint="default"/>
                <w:b/>
                <w:bCs/>
                <w:lang w:val="en-US" w:eastAsia="zh-CN"/>
              </w:rPr>
            </w:pPr>
            <w:r>
              <w:rPr>
                <w:rFonts w:hint="default"/>
                <w:b/>
                <w:bCs/>
                <w:lang w:val="en-US" w:eastAsia="zh-CN"/>
              </w:rPr>
              <w:t>条款号</w:t>
            </w:r>
          </w:p>
        </w:tc>
        <w:tc>
          <w:tcPr>
            <w:tcW w:w="1983" w:type="dxa"/>
            <w:noWrap w:val="0"/>
            <w:vAlign w:val="center"/>
          </w:tcPr>
          <w:p>
            <w:pPr>
              <w:jc w:val="center"/>
              <w:rPr>
                <w:rFonts w:hint="default"/>
                <w:b/>
                <w:bCs/>
                <w:lang w:val="en-US" w:eastAsia="zh-CN"/>
              </w:rPr>
            </w:pPr>
            <w:r>
              <w:rPr>
                <w:rFonts w:hint="default"/>
                <w:b/>
                <w:bCs/>
                <w:lang w:val="en-US" w:eastAsia="zh-CN"/>
              </w:rPr>
              <w:t>评审因素</w:t>
            </w:r>
          </w:p>
        </w:tc>
        <w:tc>
          <w:tcPr>
            <w:tcW w:w="6124" w:type="dxa"/>
            <w:noWrap w:val="0"/>
            <w:vAlign w:val="center"/>
          </w:tcPr>
          <w:p>
            <w:pPr>
              <w:jc w:val="center"/>
              <w:rPr>
                <w:rFonts w:hint="default"/>
                <w:b/>
                <w:bCs/>
                <w:lang w:val="en-US" w:eastAsia="zh-CN"/>
              </w:rPr>
            </w:pPr>
            <w:r>
              <w:rPr>
                <w:rFonts w:hint="default"/>
                <w:b/>
                <w:bCs/>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restart"/>
            <w:noWrap w:val="0"/>
            <w:vAlign w:val="center"/>
          </w:tcPr>
          <w:p>
            <w:pPr>
              <w:jc w:val="center"/>
              <w:rPr>
                <w:rFonts w:hint="default"/>
                <w:lang w:val="en-US" w:eastAsia="zh-CN"/>
              </w:rPr>
            </w:pPr>
            <w:r>
              <w:rPr>
                <w:rFonts w:hint="default"/>
                <w:lang w:val="en-US" w:eastAsia="zh-CN"/>
              </w:rPr>
              <w:t>2.1.1</w:t>
            </w:r>
          </w:p>
        </w:tc>
        <w:tc>
          <w:tcPr>
            <w:tcW w:w="1115" w:type="dxa"/>
            <w:vMerge w:val="restart"/>
            <w:noWrap w:val="0"/>
            <w:vAlign w:val="center"/>
          </w:tcPr>
          <w:p>
            <w:pPr>
              <w:jc w:val="center"/>
              <w:rPr>
                <w:rFonts w:hint="default"/>
                <w:lang w:val="en-US" w:eastAsia="zh-CN"/>
              </w:rPr>
            </w:pPr>
            <w:r>
              <w:rPr>
                <w:rFonts w:hint="default"/>
                <w:lang w:val="en-US" w:eastAsia="zh-CN"/>
              </w:rPr>
              <w:t>形式评审标准</w:t>
            </w:r>
          </w:p>
        </w:tc>
        <w:tc>
          <w:tcPr>
            <w:tcW w:w="1983" w:type="dxa"/>
            <w:noWrap w:val="0"/>
            <w:vAlign w:val="center"/>
          </w:tcPr>
          <w:p>
            <w:pPr>
              <w:jc w:val="center"/>
              <w:rPr>
                <w:rFonts w:hint="default"/>
                <w:lang w:val="en-US" w:eastAsia="zh-CN"/>
              </w:rPr>
            </w:pPr>
            <w:r>
              <w:rPr>
                <w:rFonts w:hint="default"/>
                <w:lang w:val="en-US" w:eastAsia="zh-CN"/>
              </w:rPr>
              <w:t>供应商名称</w:t>
            </w:r>
          </w:p>
        </w:tc>
        <w:tc>
          <w:tcPr>
            <w:tcW w:w="6124" w:type="dxa"/>
            <w:noWrap w:val="0"/>
            <w:vAlign w:val="center"/>
          </w:tcPr>
          <w:p>
            <w:pPr>
              <w:rPr>
                <w:rFonts w:hint="default"/>
                <w:lang w:val="en-US" w:eastAsia="zh-CN"/>
              </w:rPr>
            </w:pPr>
            <w:r>
              <w:rPr>
                <w:rFonts w:hint="default"/>
                <w:lang w:val="en-US" w:eastAsia="zh-CN"/>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响应文件签字盖章</w:t>
            </w:r>
          </w:p>
        </w:tc>
        <w:tc>
          <w:tcPr>
            <w:tcW w:w="6124" w:type="dxa"/>
            <w:noWrap w:val="0"/>
            <w:vAlign w:val="center"/>
          </w:tcPr>
          <w:p>
            <w:pPr>
              <w:rPr>
                <w:rFonts w:hint="default"/>
                <w:lang w:val="en-US" w:eastAsia="zh-CN"/>
              </w:rPr>
            </w:pPr>
            <w:r>
              <w:rPr>
                <w:rFonts w:hint="default"/>
                <w:lang w:val="en-US" w:eastAsia="zh-CN"/>
              </w:rPr>
              <w:t>符合第二章“供应商须知”第3.7.3项规定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报价唯一</w:t>
            </w:r>
          </w:p>
        </w:tc>
        <w:tc>
          <w:tcPr>
            <w:tcW w:w="6124" w:type="dxa"/>
            <w:noWrap w:val="0"/>
            <w:vAlign w:val="center"/>
          </w:tcPr>
          <w:p>
            <w:pPr>
              <w:rPr>
                <w:rFonts w:hint="default"/>
                <w:lang w:val="en-US" w:eastAsia="zh-CN"/>
              </w:rPr>
            </w:pPr>
            <w:r>
              <w:rPr>
                <w:rFonts w:hint="default"/>
                <w:lang w:val="en-US" w:eastAsia="zh-CN"/>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restart"/>
            <w:noWrap w:val="0"/>
            <w:vAlign w:val="center"/>
          </w:tcPr>
          <w:p>
            <w:pPr>
              <w:jc w:val="center"/>
              <w:rPr>
                <w:rFonts w:hint="default"/>
                <w:lang w:val="en-US" w:eastAsia="zh-CN"/>
              </w:rPr>
            </w:pPr>
            <w:r>
              <w:rPr>
                <w:rFonts w:hint="default"/>
                <w:lang w:val="en-US" w:eastAsia="zh-CN"/>
              </w:rPr>
              <w:t>2.1.2</w:t>
            </w:r>
          </w:p>
        </w:tc>
        <w:tc>
          <w:tcPr>
            <w:tcW w:w="1115" w:type="dxa"/>
            <w:vMerge w:val="restart"/>
            <w:noWrap w:val="0"/>
            <w:vAlign w:val="center"/>
          </w:tcPr>
          <w:p>
            <w:pPr>
              <w:jc w:val="center"/>
              <w:rPr>
                <w:rFonts w:hint="default"/>
                <w:lang w:val="en-US" w:eastAsia="zh-CN"/>
              </w:rPr>
            </w:pPr>
            <w:r>
              <w:rPr>
                <w:rFonts w:hint="default"/>
                <w:lang w:val="en-US" w:eastAsia="zh-CN"/>
              </w:rPr>
              <w:t>资格评审标准</w:t>
            </w:r>
          </w:p>
        </w:tc>
        <w:tc>
          <w:tcPr>
            <w:tcW w:w="1983" w:type="dxa"/>
            <w:noWrap w:val="0"/>
            <w:vAlign w:val="center"/>
          </w:tcPr>
          <w:p>
            <w:pPr>
              <w:jc w:val="center"/>
              <w:rPr>
                <w:rFonts w:hint="default"/>
                <w:lang w:val="en-US" w:eastAsia="zh-CN"/>
              </w:rPr>
            </w:pPr>
            <w:r>
              <w:rPr>
                <w:rFonts w:hint="default"/>
                <w:lang w:val="en-US" w:eastAsia="zh-CN"/>
              </w:rPr>
              <w:t>满足《中华人民共和国政府采购法》第二十二条规定</w:t>
            </w:r>
          </w:p>
        </w:tc>
        <w:tc>
          <w:tcPr>
            <w:tcW w:w="6124" w:type="dxa"/>
            <w:noWrap w:val="0"/>
            <w:vAlign w:val="center"/>
          </w:tcPr>
          <w:p>
            <w:pPr>
              <w:rPr>
                <w:rFonts w:hint="default"/>
                <w:lang w:val="en-US" w:eastAsia="zh-CN"/>
              </w:rPr>
            </w:pPr>
            <w:r>
              <w:rPr>
                <w:rFonts w:hint="default"/>
                <w:lang w:val="en-US" w:eastAsia="zh-CN"/>
              </w:rPr>
              <w:t>供应商提供的《资格承诺声明函》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资质要求</w:t>
            </w:r>
          </w:p>
        </w:tc>
        <w:tc>
          <w:tcPr>
            <w:tcW w:w="6124" w:type="dxa"/>
            <w:noWrap w:val="0"/>
            <w:vAlign w:val="center"/>
          </w:tcPr>
          <w:p>
            <w:pPr>
              <w:rPr>
                <w:rFonts w:hint="default"/>
                <w:lang w:val="en-US" w:eastAsia="zh-CN"/>
              </w:rPr>
            </w:pPr>
            <w:r>
              <w:rPr>
                <w:rFonts w:hint="default"/>
                <w:lang w:val="en-US" w:eastAsia="zh-CN"/>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项目经理</w:t>
            </w:r>
          </w:p>
        </w:tc>
        <w:tc>
          <w:tcPr>
            <w:tcW w:w="6124" w:type="dxa"/>
            <w:noWrap w:val="0"/>
            <w:vAlign w:val="center"/>
          </w:tcPr>
          <w:p>
            <w:pPr>
              <w:rPr>
                <w:rFonts w:hint="default"/>
                <w:lang w:val="en-US" w:eastAsia="zh-CN"/>
              </w:rPr>
            </w:pPr>
            <w:r>
              <w:rPr>
                <w:rFonts w:hint="default"/>
                <w:lang w:val="en-US" w:eastAsia="zh-CN"/>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信用查询</w:t>
            </w:r>
          </w:p>
        </w:tc>
        <w:tc>
          <w:tcPr>
            <w:tcW w:w="6124" w:type="dxa"/>
            <w:noWrap w:val="0"/>
            <w:vAlign w:val="center"/>
          </w:tcPr>
          <w:p>
            <w:pPr>
              <w:rPr>
                <w:rFonts w:hint="default"/>
                <w:lang w:val="en-US" w:eastAsia="zh-CN"/>
              </w:rPr>
            </w:pPr>
            <w:r>
              <w:rPr>
                <w:rFonts w:hint="default"/>
                <w:lang w:val="en-US" w:eastAsia="zh-CN"/>
              </w:rPr>
              <w:t>符合第二章“供应商须知”第1.4.1项规定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政府采购政策需满足的资格要求</w:t>
            </w:r>
          </w:p>
        </w:tc>
        <w:tc>
          <w:tcPr>
            <w:tcW w:w="6124" w:type="dxa"/>
            <w:noWrap w:val="0"/>
            <w:vAlign w:val="center"/>
          </w:tcPr>
          <w:p>
            <w:pPr>
              <w:rPr>
                <w:rFonts w:hint="default"/>
                <w:lang w:val="en-US" w:eastAsia="zh-CN"/>
              </w:rPr>
            </w:pPr>
            <w:r>
              <w:rPr>
                <w:rFonts w:hint="default"/>
                <w:lang w:val="en-US" w:eastAsia="zh-CN"/>
              </w:rPr>
              <w:t>供应商需按磋商文件要求提供中小企业声明函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restart"/>
            <w:noWrap w:val="0"/>
            <w:vAlign w:val="center"/>
          </w:tcPr>
          <w:p>
            <w:pPr>
              <w:jc w:val="center"/>
              <w:rPr>
                <w:rFonts w:hint="default"/>
                <w:lang w:val="en-US" w:eastAsia="zh-CN"/>
              </w:rPr>
            </w:pPr>
            <w:r>
              <w:rPr>
                <w:rFonts w:hint="default"/>
                <w:lang w:val="en-US" w:eastAsia="zh-CN"/>
              </w:rPr>
              <w:t>2.1.3</w:t>
            </w:r>
          </w:p>
        </w:tc>
        <w:tc>
          <w:tcPr>
            <w:tcW w:w="1115" w:type="dxa"/>
            <w:vMerge w:val="restart"/>
            <w:noWrap w:val="0"/>
            <w:vAlign w:val="center"/>
          </w:tcPr>
          <w:p>
            <w:pPr>
              <w:jc w:val="center"/>
              <w:rPr>
                <w:rFonts w:hint="default"/>
                <w:lang w:val="en-US" w:eastAsia="zh-CN"/>
              </w:rPr>
            </w:pPr>
            <w:r>
              <w:rPr>
                <w:rFonts w:hint="default"/>
                <w:lang w:val="en-US" w:eastAsia="zh-CN"/>
              </w:rPr>
              <w:t>响应性评审标准</w:t>
            </w:r>
          </w:p>
        </w:tc>
        <w:tc>
          <w:tcPr>
            <w:tcW w:w="1983" w:type="dxa"/>
            <w:noWrap w:val="0"/>
            <w:vAlign w:val="top"/>
          </w:tcPr>
          <w:p>
            <w:pPr>
              <w:jc w:val="center"/>
              <w:rPr>
                <w:rFonts w:hint="default"/>
                <w:lang w:val="en-US" w:eastAsia="zh-CN"/>
              </w:rPr>
            </w:pPr>
            <w:r>
              <w:rPr>
                <w:rFonts w:hint="default"/>
                <w:lang w:val="en-US" w:eastAsia="zh-CN"/>
              </w:rPr>
              <w:t>响应范围</w:t>
            </w:r>
          </w:p>
        </w:tc>
        <w:tc>
          <w:tcPr>
            <w:tcW w:w="6124" w:type="dxa"/>
            <w:noWrap w:val="0"/>
            <w:vAlign w:val="top"/>
          </w:tcPr>
          <w:p>
            <w:pPr>
              <w:rPr>
                <w:rFonts w:hint="default"/>
                <w:lang w:val="en-US" w:eastAsia="zh-CN"/>
              </w:rPr>
            </w:pPr>
            <w:r>
              <w:rPr>
                <w:rFonts w:hint="default"/>
                <w:lang w:val="en-US" w:eastAsia="zh-CN"/>
              </w:rPr>
              <w:t>符合第二章“供应商须知”第1.3.1项规定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投标工期</w:t>
            </w:r>
          </w:p>
        </w:tc>
        <w:tc>
          <w:tcPr>
            <w:tcW w:w="6124" w:type="dxa"/>
            <w:noWrap w:val="0"/>
            <w:vAlign w:val="top"/>
          </w:tcPr>
          <w:p>
            <w:pPr>
              <w:rPr>
                <w:rFonts w:hint="default"/>
                <w:lang w:val="en-US" w:eastAsia="zh-CN"/>
              </w:rPr>
            </w:pPr>
            <w:r>
              <w:rPr>
                <w:rFonts w:hint="default"/>
                <w:lang w:val="en-US" w:eastAsia="zh-CN"/>
              </w:rPr>
              <w:t>符合第二章“供应商须知”第1.3.2项规定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质量要求</w:t>
            </w:r>
          </w:p>
        </w:tc>
        <w:tc>
          <w:tcPr>
            <w:tcW w:w="6124" w:type="dxa"/>
            <w:noWrap w:val="0"/>
            <w:vAlign w:val="top"/>
          </w:tcPr>
          <w:p>
            <w:pPr>
              <w:rPr>
                <w:rFonts w:hint="default"/>
                <w:lang w:val="en-US" w:eastAsia="zh-CN"/>
              </w:rPr>
            </w:pPr>
            <w:r>
              <w:rPr>
                <w:rFonts w:hint="default"/>
                <w:lang w:val="en-US" w:eastAsia="zh-CN"/>
              </w:rPr>
              <w:t>符合第二章“供应商须知”第1.3.3项规定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缺陷责任期</w:t>
            </w:r>
          </w:p>
        </w:tc>
        <w:tc>
          <w:tcPr>
            <w:tcW w:w="6124" w:type="dxa"/>
            <w:noWrap w:val="0"/>
            <w:vAlign w:val="top"/>
          </w:tcPr>
          <w:p>
            <w:pPr>
              <w:rPr>
                <w:rFonts w:hint="default"/>
                <w:lang w:val="en-US" w:eastAsia="zh-CN"/>
              </w:rPr>
            </w:pPr>
            <w:r>
              <w:rPr>
                <w:rFonts w:hint="default"/>
                <w:lang w:val="en-US" w:eastAsia="zh-CN"/>
              </w:rPr>
              <w:t>符合第二章“供应商须知”第1.3.4项规定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top"/>
          </w:tcPr>
          <w:p>
            <w:pPr>
              <w:jc w:val="center"/>
              <w:rPr>
                <w:rFonts w:hint="default"/>
                <w:lang w:val="en-US" w:eastAsia="zh-CN"/>
              </w:rPr>
            </w:pPr>
            <w:r>
              <w:rPr>
                <w:rFonts w:hint="default"/>
                <w:lang w:val="en-US" w:eastAsia="zh-CN"/>
              </w:rPr>
              <w:t>磋商有效期</w:t>
            </w:r>
          </w:p>
        </w:tc>
        <w:tc>
          <w:tcPr>
            <w:tcW w:w="6124" w:type="dxa"/>
            <w:noWrap w:val="0"/>
            <w:vAlign w:val="top"/>
          </w:tcPr>
          <w:p>
            <w:pPr>
              <w:rPr>
                <w:rFonts w:hint="default"/>
                <w:lang w:val="en-US" w:eastAsia="zh-CN"/>
              </w:rPr>
            </w:pPr>
            <w:r>
              <w:rPr>
                <w:rFonts w:hint="default"/>
                <w:lang w:val="en-US" w:eastAsia="zh-CN"/>
              </w:rPr>
              <w:t>符合第二章“供应商须知”第3.3.1项规定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top"/>
          </w:tcPr>
          <w:p>
            <w:pPr>
              <w:rPr>
                <w:rFonts w:hint="default"/>
                <w:lang w:val="en-US" w:eastAsia="zh-CN"/>
              </w:rPr>
            </w:pPr>
            <w:r>
              <w:rPr>
                <w:rFonts w:hint="default"/>
                <w:lang w:val="en-US" w:eastAsia="zh-CN"/>
              </w:rPr>
              <w:t>磋商报价</w:t>
            </w:r>
          </w:p>
        </w:tc>
        <w:tc>
          <w:tcPr>
            <w:tcW w:w="6124" w:type="dxa"/>
            <w:noWrap w:val="0"/>
            <w:vAlign w:val="top"/>
          </w:tcPr>
          <w:p>
            <w:pPr>
              <w:rPr>
                <w:rFonts w:hint="default"/>
                <w:lang w:val="en-US" w:eastAsia="zh-CN"/>
              </w:rPr>
            </w:pPr>
            <w:r>
              <w:rPr>
                <w:rFonts w:hint="default"/>
                <w:lang w:val="en-US" w:eastAsia="zh-CN"/>
              </w:rPr>
              <w:t>不高于包预算（包最高限价）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1773" w:type="dxa"/>
            <w:gridSpan w:val="2"/>
            <w:noWrap w:val="0"/>
            <w:vAlign w:val="center"/>
          </w:tcPr>
          <w:p>
            <w:pPr>
              <w:jc w:val="center"/>
              <w:rPr>
                <w:rFonts w:hint="default"/>
                <w:b/>
                <w:bCs/>
                <w:lang w:val="en-US" w:eastAsia="zh-CN"/>
              </w:rPr>
            </w:pPr>
            <w:r>
              <w:rPr>
                <w:rFonts w:hint="default"/>
                <w:b/>
                <w:bCs/>
                <w:lang w:val="en-US" w:eastAsia="zh-CN"/>
              </w:rPr>
              <w:t>条款号</w:t>
            </w:r>
          </w:p>
        </w:tc>
        <w:tc>
          <w:tcPr>
            <w:tcW w:w="1983" w:type="dxa"/>
            <w:noWrap w:val="0"/>
            <w:vAlign w:val="center"/>
          </w:tcPr>
          <w:p>
            <w:pPr>
              <w:jc w:val="center"/>
              <w:rPr>
                <w:rFonts w:hint="default"/>
                <w:b/>
                <w:bCs/>
                <w:lang w:val="en-US" w:eastAsia="zh-CN"/>
              </w:rPr>
            </w:pPr>
            <w:r>
              <w:rPr>
                <w:rFonts w:hint="default"/>
                <w:b/>
                <w:bCs/>
                <w:lang w:val="en-US" w:eastAsia="zh-CN"/>
              </w:rPr>
              <w:t>条款内容</w:t>
            </w:r>
          </w:p>
        </w:tc>
        <w:tc>
          <w:tcPr>
            <w:tcW w:w="6124" w:type="dxa"/>
            <w:noWrap w:val="0"/>
            <w:vAlign w:val="center"/>
          </w:tcPr>
          <w:p>
            <w:pPr>
              <w:jc w:val="center"/>
              <w:rPr>
                <w:rFonts w:hint="default"/>
                <w:b/>
                <w:bCs/>
                <w:lang w:val="en-US" w:eastAsia="zh-CN"/>
              </w:rPr>
            </w:pPr>
            <w:r>
              <w:rPr>
                <w:rFonts w:hint="default"/>
                <w:b/>
                <w:bCs/>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773" w:type="dxa"/>
            <w:gridSpan w:val="2"/>
            <w:noWrap w:val="0"/>
            <w:vAlign w:val="center"/>
          </w:tcPr>
          <w:p>
            <w:pPr>
              <w:jc w:val="center"/>
              <w:rPr>
                <w:rFonts w:hint="default"/>
                <w:lang w:val="en-US" w:eastAsia="zh-CN"/>
              </w:rPr>
            </w:pPr>
            <w:r>
              <w:rPr>
                <w:rFonts w:hint="default"/>
                <w:lang w:val="en-US" w:eastAsia="zh-CN"/>
              </w:rPr>
              <w:t>2.2.1</w:t>
            </w:r>
          </w:p>
        </w:tc>
        <w:tc>
          <w:tcPr>
            <w:tcW w:w="1983" w:type="dxa"/>
            <w:noWrap w:val="0"/>
            <w:vAlign w:val="center"/>
          </w:tcPr>
          <w:p>
            <w:pPr>
              <w:jc w:val="center"/>
              <w:rPr>
                <w:rFonts w:hint="default"/>
                <w:lang w:val="en-US" w:eastAsia="zh-CN"/>
              </w:rPr>
            </w:pPr>
            <w:r>
              <w:rPr>
                <w:rFonts w:hint="default"/>
                <w:lang w:val="en-US" w:eastAsia="zh-CN"/>
              </w:rPr>
              <w:t>分值构成</w:t>
            </w:r>
          </w:p>
          <w:p>
            <w:pPr>
              <w:jc w:val="center"/>
              <w:rPr>
                <w:rFonts w:hint="default"/>
                <w:lang w:val="en-US" w:eastAsia="zh-CN"/>
              </w:rPr>
            </w:pPr>
            <w:r>
              <w:rPr>
                <w:rFonts w:hint="default"/>
                <w:lang w:val="en-US" w:eastAsia="zh-CN"/>
              </w:rPr>
              <w:t>（总分100分）</w:t>
            </w:r>
          </w:p>
        </w:tc>
        <w:tc>
          <w:tcPr>
            <w:tcW w:w="6124" w:type="dxa"/>
            <w:noWrap w:val="0"/>
            <w:vAlign w:val="center"/>
          </w:tcPr>
          <w:p>
            <w:pPr>
              <w:rPr>
                <w:rFonts w:hint="default"/>
                <w:lang w:val="en-US" w:eastAsia="zh-CN"/>
              </w:rPr>
            </w:pPr>
            <w:r>
              <w:rPr>
                <w:rFonts w:hint="default"/>
                <w:lang w:val="en-US" w:eastAsia="zh-CN"/>
              </w:rPr>
              <w:t>（1）磋商报价：30分</w:t>
            </w:r>
          </w:p>
          <w:p>
            <w:pPr>
              <w:rPr>
                <w:rFonts w:hint="default"/>
                <w:lang w:val="en-US" w:eastAsia="zh-CN"/>
              </w:rPr>
            </w:pPr>
            <w:r>
              <w:rPr>
                <w:rFonts w:hint="default"/>
                <w:lang w:val="en-US" w:eastAsia="zh-CN"/>
              </w:rPr>
              <w:t>（2）技术部分：50分</w:t>
            </w:r>
          </w:p>
          <w:p>
            <w:pPr>
              <w:rPr>
                <w:rFonts w:hint="default"/>
                <w:lang w:val="en-US" w:eastAsia="zh-CN"/>
              </w:rPr>
            </w:pPr>
            <w:r>
              <w:rPr>
                <w:rFonts w:hint="default"/>
                <w:lang w:val="en-US" w:eastAsia="zh-CN"/>
              </w:rPr>
              <w:t>（3）商务部分：20分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773" w:type="dxa"/>
            <w:gridSpan w:val="2"/>
            <w:noWrap w:val="0"/>
            <w:vAlign w:val="center"/>
          </w:tcPr>
          <w:p>
            <w:pPr>
              <w:rPr>
                <w:rFonts w:hint="default"/>
                <w:lang w:val="en-US" w:eastAsia="zh-CN"/>
              </w:rPr>
            </w:pPr>
            <w:r>
              <w:rPr>
                <w:rFonts w:hint="default"/>
                <w:lang w:val="en-US" w:eastAsia="zh-CN"/>
              </w:rPr>
              <w:t>条款号</w:t>
            </w:r>
          </w:p>
        </w:tc>
        <w:tc>
          <w:tcPr>
            <w:tcW w:w="1983" w:type="dxa"/>
            <w:tcBorders>
              <w:bottom w:val="single" w:color="auto" w:sz="4" w:space="0"/>
            </w:tcBorders>
            <w:noWrap w:val="0"/>
            <w:vAlign w:val="center"/>
          </w:tcPr>
          <w:p>
            <w:pPr>
              <w:rPr>
                <w:rFonts w:hint="default"/>
                <w:lang w:val="en-US" w:eastAsia="zh-CN"/>
              </w:rPr>
            </w:pPr>
            <w:r>
              <w:rPr>
                <w:rFonts w:hint="default"/>
                <w:lang w:val="en-US" w:eastAsia="zh-CN"/>
              </w:rPr>
              <w:t>评审因素</w:t>
            </w:r>
          </w:p>
        </w:tc>
        <w:tc>
          <w:tcPr>
            <w:tcW w:w="6124" w:type="dxa"/>
            <w:noWrap w:val="0"/>
            <w:vAlign w:val="center"/>
          </w:tcPr>
          <w:p>
            <w:pPr>
              <w:rPr>
                <w:rFonts w:hint="default"/>
                <w:lang w:val="en-US" w:eastAsia="zh-CN"/>
              </w:rPr>
            </w:pPr>
            <w:r>
              <w:rPr>
                <w:rFonts w:hint="default"/>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773" w:type="dxa"/>
            <w:gridSpan w:val="2"/>
            <w:noWrap w:val="0"/>
            <w:vAlign w:val="center"/>
          </w:tcPr>
          <w:p>
            <w:pPr>
              <w:rPr>
                <w:rFonts w:hint="default"/>
                <w:lang w:val="en-US" w:eastAsia="zh-CN"/>
              </w:rPr>
            </w:pPr>
            <w:r>
              <w:rPr>
                <w:rFonts w:hint="default"/>
                <w:lang w:val="en-US" w:eastAsia="zh-CN"/>
              </w:rPr>
              <w:t>2.2.2（1）</w:t>
            </w:r>
          </w:p>
        </w:tc>
        <w:tc>
          <w:tcPr>
            <w:tcW w:w="1983" w:type="dxa"/>
            <w:tcBorders>
              <w:bottom w:val="single" w:color="auto" w:sz="4" w:space="0"/>
            </w:tcBorders>
            <w:noWrap w:val="0"/>
            <w:vAlign w:val="center"/>
          </w:tcPr>
          <w:p>
            <w:pPr>
              <w:jc w:val="center"/>
              <w:rPr>
                <w:rFonts w:hint="default"/>
                <w:lang w:val="en-US" w:eastAsia="zh-CN"/>
              </w:rPr>
            </w:pPr>
            <w:r>
              <w:rPr>
                <w:rFonts w:hint="default"/>
                <w:lang w:val="en-US" w:eastAsia="zh-CN"/>
              </w:rPr>
              <w:t>报价得分</w:t>
            </w:r>
          </w:p>
          <w:p>
            <w:pPr>
              <w:jc w:val="center"/>
              <w:rPr>
                <w:rFonts w:hint="default"/>
                <w:lang w:val="en-US" w:eastAsia="zh-CN"/>
              </w:rPr>
            </w:pPr>
            <w:r>
              <w:rPr>
                <w:rFonts w:hint="default"/>
                <w:lang w:val="en-US" w:eastAsia="zh-CN"/>
              </w:rPr>
              <w:t>（30分）</w:t>
            </w:r>
          </w:p>
        </w:tc>
        <w:tc>
          <w:tcPr>
            <w:tcW w:w="6124" w:type="dxa"/>
            <w:noWrap w:val="0"/>
            <w:vAlign w:val="center"/>
          </w:tcPr>
          <w:p>
            <w:pPr>
              <w:rPr>
                <w:rFonts w:hint="default"/>
                <w:lang w:val="en-US" w:eastAsia="zh-CN"/>
              </w:rPr>
            </w:pPr>
            <w:r>
              <w:rPr>
                <w:rFonts w:hint="default"/>
                <w:lang w:val="en-US" w:eastAsia="zh-CN"/>
              </w:rPr>
              <w:t xml:space="preserve">本项目以满足竞争性磋商文件要求且报价最低的最后磋商报价为评审基准价，其价格分为满分。 </w:t>
            </w:r>
          </w:p>
          <w:p>
            <w:pPr>
              <w:rPr>
                <w:rFonts w:hint="default"/>
                <w:lang w:val="en-US" w:eastAsia="zh-CN"/>
              </w:rPr>
            </w:pPr>
            <w:r>
              <w:rPr>
                <w:rFonts w:hint="default"/>
                <w:lang w:val="en-US" w:eastAsia="zh-CN"/>
              </w:rPr>
              <w:t xml:space="preserve">其他供应商的价格分统一按照下列公式计算： </w:t>
            </w:r>
          </w:p>
          <w:p>
            <w:pPr>
              <w:rPr>
                <w:rFonts w:hint="default"/>
                <w:lang w:val="en-US" w:eastAsia="zh-CN"/>
              </w:rPr>
            </w:pPr>
            <w:r>
              <w:rPr>
                <w:rFonts w:hint="default"/>
                <w:lang w:val="en-US" w:eastAsia="zh-CN"/>
              </w:rPr>
              <w:t xml:space="preserve">最后磋商报价得分=(评审基准价／最终评审价)×30 分。 </w:t>
            </w:r>
          </w:p>
          <w:p>
            <w:pPr>
              <w:rPr>
                <w:rFonts w:hint="default"/>
                <w:lang w:val="en-US" w:eastAsia="zh-CN"/>
              </w:rPr>
            </w:pPr>
            <w:r>
              <w:rPr>
                <w:rFonts w:hint="default"/>
                <w:lang w:val="en-US" w:eastAsia="zh-CN"/>
              </w:rPr>
              <w:t>注：计算结果按四舍五入法则，保留小数点后两位。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658" w:type="dxa"/>
            <w:vMerge w:val="restart"/>
            <w:noWrap w:val="0"/>
            <w:vAlign w:val="center"/>
          </w:tcPr>
          <w:p>
            <w:pPr>
              <w:jc w:val="center"/>
              <w:rPr>
                <w:rFonts w:hint="default"/>
                <w:lang w:val="en-US" w:eastAsia="zh-CN"/>
              </w:rPr>
            </w:pPr>
            <w:r>
              <w:rPr>
                <w:rFonts w:hint="default"/>
                <w:lang w:val="en-US" w:eastAsia="zh-CN"/>
              </w:rPr>
              <w:t>2.2.2</w:t>
            </w:r>
          </w:p>
          <w:p>
            <w:pPr>
              <w:jc w:val="center"/>
              <w:rPr>
                <w:rFonts w:hint="default"/>
                <w:lang w:val="en-US" w:eastAsia="zh-CN"/>
              </w:rPr>
            </w:pPr>
            <w:r>
              <w:rPr>
                <w:rFonts w:hint="default"/>
                <w:lang w:val="en-US" w:eastAsia="zh-CN"/>
              </w:rPr>
              <w:t>(2)</w:t>
            </w:r>
          </w:p>
        </w:tc>
        <w:tc>
          <w:tcPr>
            <w:tcW w:w="1115" w:type="dxa"/>
            <w:vMerge w:val="restart"/>
            <w:noWrap w:val="0"/>
            <w:vAlign w:val="center"/>
          </w:tcPr>
          <w:p>
            <w:pPr>
              <w:jc w:val="center"/>
              <w:rPr>
                <w:rFonts w:hint="default"/>
                <w:lang w:val="en-US" w:eastAsia="zh-CN"/>
              </w:rPr>
            </w:pPr>
            <w:r>
              <w:rPr>
                <w:rFonts w:hint="default"/>
                <w:lang w:val="en-US" w:eastAsia="zh-CN"/>
              </w:rPr>
              <w:t>技术部分评分标准 (50分)</w:t>
            </w:r>
          </w:p>
        </w:tc>
        <w:tc>
          <w:tcPr>
            <w:tcW w:w="1983" w:type="dxa"/>
            <w:noWrap w:val="0"/>
            <w:vAlign w:val="center"/>
          </w:tcPr>
          <w:p>
            <w:pPr>
              <w:jc w:val="center"/>
              <w:rPr>
                <w:rFonts w:hint="default"/>
                <w:lang w:val="en-US" w:eastAsia="zh-CN"/>
              </w:rPr>
            </w:pPr>
            <w:r>
              <w:rPr>
                <w:rFonts w:hint="default"/>
                <w:lang w:val="en-US" w:eastAsia="zh-CN"/>
              </w:rPr>
              <w:t>1.内容完整性：3分</w:t>
            </w:r>
          </w:p>
        </w:tc>
        <w:tc>
          <w:tcPr>
            <w:tcW w:w="6124" w:type="dxa"/>
            <w:noWrap w:val="0"/>
            <w:vAlign w:val="top"/>
          </w:tcPr>
          <w:p>
            <w:pPr>
              <w:rPr>
                <w:rFonts w:hint="default"/>
                <w:lang w:val="en-US" w:eastAsia="zh-CN"/>
              </w:rPr>
            </w:pPr>
            <w:r>
              <w:rPr>
                <w:rFonts w:hint="default"/>
                <w:lang w:val="en-US" w:eastAsia="zh-CN"/>
              </w:rPr>
              <w:t>1.主要内容具有较好的完整性，完全符合磋商文件要求得3分；</w:t>
            </w:r>
          </w:p>
          <w:p>
            <w:pPr>
              <w:rPr>
                <w:rFonts w:hint="default"/>
                <w:lang w:val="en-US" w:eastAsia="zh-CN"/>
              </w:rPr>
            </w:pPr>
            <w:r>
              <w:rPr>
                <w:rFonts w:hint="default"/>
                <w:lang w:val="en-US" w:eastAsia="zh-CN"/>
              </w:rPr>
              <w:t>2.主要内容基本完整，基本符合磋商文件要求得2分；</w:t>
            </w:r>
          </w:p>
          <w:p>
            <w:pPr>
              <w:rPr>
                <w:rFonts w:hint="default"/>
                <w:lang w:val="en-US" w:eastAsia="zh-CN"/>
              </w:rPr>
            </w:pPr>
            <w:r>
              <w:rPr>
                <w:rFonts w:hint="default"/>
                <w:lang w:val="en-US" w:eastAsia="zh-CN"/>
              </w:rPr>
              <w:t>3.主要内容仅做简单描述，不符合磋商文件要求得1分。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2.主要施工方案与技术措施：5分</w:t>
            </w:r>
          </w:p>
        </w:tc>
        <w:tc>
          <w:tcPr>
            <w:tcW w:w="6124" w:type="dxa"/>
            <w:noWrap w:val="0"/>
            <w:vAlign w:val="top"/>
          </w:tcPr>
          <w:p>
            <w:pPr>
              <w:rPr>
                <w:rFonts w:hint="default"/>
                <w:lang w:val="en-US" w:eastAsia="zh-CN"/>
              </w:rPr>
            </w:pPr>
            <w:r>
              <w:rPr>
                <w:rFonts w:hint="default"/>
                <w:lang w:val="en-US" w:eastAsia="zh-CN"/>
              </w:rPr>
              <w:t>施工方案（含工程特点、施工重点与难点）总体安排合理，有科学先进的施工工艺技术措施、施工办法，得5分；</w:t>
            </w:r>
          </w:p>
          <w:p>
            <w:pPr>
              <w:rPr>
                <w:rFonts w:hint="default"/>
                <w:lang w:val="en-US" w:eastAsia="zh-CN"/>
              </w:rPr>
            </w:pPr>
            <w:r>
              <w:rPr>
                <w:rFonts w:hint="default"/>
                <w:lang w:val="en-US" w:eastAsia="zh-CN"/>
              </w:rPr>
              <w:t>施工方案（含工程特点、施工重点与难点）总体安排基本合理，有施工工艺技术措施、施工办法，得3分；</w:t>
            </w:r>
          </w:p>
          <w:p>
            <w:pPr>
              <w:rPr>
                <w:rFonts w:hint="default"/>
                <w:lang w:val="en-US" w:eastAsia="zh-CN"/>
              </w:rPr>
            </w:pPr>
            <w:r>
              <w:rPr>
                <w:rFonts w:hint="default"/>
                <w:lang w:val="en-US" w:eastAsia="zh-CN"/>
              </w:rPr>
              <w:t>施工方案（含工程特点、施工重点与难点）总体安排不明确，有施工工艺技术措施、施工办法得1分。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3.质量管理体系与措施：5分</w:t>
            </w:r>
          </w:p>
        </w:tc>
        <w:tc>
          <w:tcPr>
            <w:tcW w:w="6124" w:type="dxa"/>
            <w:noWrap w:val="0"/>
            <w:vAlign w:val="top"/>
          </w:tcPr>
          <w:p>
            <w:pPr>
              <w:rPr>
                <w:rFonts w:hint="default"/>
                <w:lang w:val="en-US" w:eastAsia="zh-CN"/>
              </w:rPr>
            </w:pPr>
            <w:r>
              <w:rPr>
                <w:rFonts w:hint="default"/>
                <w:lang w:val="en-US" w:eastAsia="zh-CN"/>
              </w:rPr>
              <w:t>技术组织措施切实可行，确保工程质量的技术组织措施先进合理，质量控制程序及质量保证体系完整，岗位职责分明得5分；</w:t>
            </w:r>
          </w:p>
          <w:p>
            <w:pPr>
              <w:rPr>
                <w:rFonts w:hint="default"/>
                <w:lang w:val="en-US" w:eastAsia="zh-CN"/>
              </w:rPr>
            </w:pPr>
            <w:r>
              <w:rPr>
                <w:rFonts w:hint="default"/>
                <w:lang w:val="en-US" w:eastAsia="zh-CN"/>
              </w:rPr>
              <w:t>技术组织措施基本可行，确保工程质量的技术组织措施基本合理得3分；</w:t>
            </w:r>
          </w:p>
          <w:p>
            <w:pPr>
              <w:rPr>
                <w:rFonts w:hint="default"/>
                <w:lang w:val="en-US" w:eastAsia="zh-CN"/>
              </w:rPr>
            </w:pPr>
            <w:r>
              <w:rPr>
                <w:rFonts w:hint="default"/>
                <w:lang w:val="en-US" w:eastAsia="zh-CN"/>
              </w:rPr>
              <w:t>组织机构形式不合理，工程质量保证措不可行得1分。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4.安全管理体系与措施：5分</w:t>
            </w:r>
          </w:p>
        </w:tc>
        <w:tc>
          <w:tcPr>
            <w:tcW w:w="6124" w:type="dxa"/>
            <w:noWrap w:val="0"/>
            <w:vAlign w:val="top"/>
          </w:tcPr>
          <w:p>
            <w:pPr>
              <w:rPr>
                <w:rFonts w:hint="default"/>
                <w:lang w:val="en-US" w:eastAsia="zh-CN"/>
              </w:rPr>
            </w:pPr>
            <w:r>
              <w:rPr>
                <w:rFonts w:hint="default"/>
                <w:lang w:val="en-US" w:eastAsia="zh-CN"/>
              </w:rPr>
              <w:t>施工安全生产保障体系健全，安全管理制度完善，安全管理目标具体，全员安全责任制明确，制定相应的安全管理措施且具有可行性得5分；</w:t>
            </w:r>
          </w:p>
          <w:p>
            <w:pPr>
              <w:rPr>
                <w:rFonts w:hint="default"/>
                <w:lang w:val="en-US" w:eastAsia="zh-CN"/>
              </w:rPr>
            </w:pPr>
            <w:r>
              <w:rPr>
                <w:rFonts w:hint="default"/>
                <w:lang w:val="en-US" w:eastAsia="zh-CN"/>
              </w:rPr>
              <w:t>施工安全生产保障体系基本健全、安全责任制和安全管理制度合理可行，制定有安全管理措施且具有基本可行性得3分；</w:t>
            </w:r>
          </w:p>
          <w:p>
            <w:pPr>
              <w:rPr>
                <w:rFonts w:hint="default"/>
                <w:lang w:val="en-US" w:eastAsia="zh-CN"/>
              </w:rPr>
            </w:pPr>
            <w:r>
              <w:rPr>
                <w:rFonts w:hint="default"/>
                <w:lang w:val="en-US" w:eastAsia="zh-CN"/>
              </w:rPr>
              <w:t>施工安全生产保障体系不明确、安全责任制和安全管理制度基本合理可行，制定有安全管理措施且具有基本可行性得1分。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5.文明、环保管理体系与措施：5分</w:t>
            </w:r>
          </w:p>
        </w:tc>
        <w:tc>
          <w:tcPr>
            <w:tcW w:w="6124" w:type="dxa"/>
            <w:noWrap w:val="0"/>
            <w:vAlign w:val="top"/>
          </w:tcPr>
          <w:p>
            <w:pPr>
              <w:rPr>
                <w:rFonts w:hint="default"/>
                <w:lang w:val="en-US" w:eastAsia="zh-CN"/>
              </w:rPr>
            </w:pPr>
            <w:r>
              <w:rPr>
                <w:rFonts w:hint="default"/>
                <w:lang w:val="en-US" w:eastAsia="zh-CN"/>
              </w:rPr>
              <w:t>安全文明标准化施工现场目标明确，符合有关文明施工、健康卫生规定的，确保文明、环保施工的技术组织措施科学、合理、可行得5分；</w:t>
            </w:r>
          </w:p>
          <w:p>
            <w:pPr>
              <w:rPr>
                <w:rFonts w:hint="default"/>
                <w:lang w:val="en-US" w:eastAsia="zh-CN"/>
              </w:rPr>
            </w:pPr>
            <w:r>
              <w:rPr>
                <w:rFonts w:hint="default"/>
                <w:lang w:val="en-US" w:eastAsia="zh-CN"/>
              </w:rPr>
              <w:t>安全文明标准化施工现场目标基本明确，符合有关文明施工、健康卫生规定的，确保文明、环保施工的技术组织措施可行得3分；</w:t>
            </w:r>
          </w:p>
          <w:p>
            <w:pPr>
              <w:rPr>
                <w:rFonts w:hint="default"/>
                <w:lang w:val="en-US" w:eastAsia="zh-CN"/>
              </w:rPr>
            </w:pPr>
            <w:r>
              <w:rPr>
                <w:rFonts w:hint="default"/>
                <w:lang w:val="en-US" w:eastAsia="zh-CN"/>
              </w:rPr>
              <w:t>安全文明标准化施工现场目标不明确，有关文明施工、健康卫生规定的，文明、环保施工的技术组织措施基本可行得1分。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6.工期保证措施：5分</w:t>
            </w:r>
          </w:p>
        </w:tc>
        <w:tc>
          <w:tcPr>
            <w:tcW w:w="6124" w:type="dxa"/>
            <w:noWrap w:val="0"/>
            <w:vAlign w:val="top"/>
          </w:tcPr>
          <w:p>
            <w:pPr>
              <w:rPr>
                <w:rFonts w:hint="default"/>
                <w:lang w:val="en-US" w:eastAsia="zh-CN"/>
              </w:rPr>
            </w:pPr>
            <w:r>
              <w:rPr>
                <w:rFonts w:hint="default"/>
                <w:lang w:val="en-US" w:eastAsia="zh-CN"/>
              </w:rPr>
              <w:t>施工工期满足磋商文件要求，施工进度计划合理并切实可行，有图表和文字说明，工期保证措施具体可行得5分；</w:t>
            </w:r>
          </w:p>
          <w:p>
            <w:pPr>
              <w:rPr>
                <w:rFonts w:hint="default"/>
                <w:lang w:val="en-US" w:eastAsia="zh-CN"/>
              </w:rPr>
            </w:pPr>
            <w:r>
              <w:rPr>
                <w:rFonts w:hint="default"/>
                <w:lang w:val="en-US" w:eastAsia="zh-CN"/>
              </w:rPr>
              <w:t>2.施工工期满足磋商文件要求，施工进度计划基本合理并切实可行，有图表和文字说明，工期保证措施具体可行得3分；</w:t>
            </w:r>
          </w:p>
          <w:p>
            <w:pPr>
              <w:rPr>
                <w:rFonts w:hint="default"/>
                <w:lang w:val="en-US" w:eastAsia="zh-CN"/>
              </w:rPr>
            </w:pPr>
            <w:r>
              <w:rPr>
                <w:rFonts w:hint="default"/>
                <w:lang w:val="en-US" w:eastAsia="zh-CN"/>
              </w:rPr>
              <w:t>3.施工工期满足磋商文件要求，施工进度计划基本合理并切实可行，图表和文字说明不清晰或无图表和文字说明，工期保证措施简单、不明确得1分。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7.拟投入资源配备计划：5分</w:t>
            </w:r>
          </w:p>
        </w:tc>
        <w:tc>
          <w:tcPr>
            <w:tcW w:w="6124" w:type="dxa"/>
            <w:noWrap w:val="0"/>
            <w:vAlign w:val="top"/>
          </w:tcPr>
          <w:p>
            <w:pPr>
              <w:rPr>
                <w:rFonts w:hint="default"/>
                <w:lang w:val="en-US" w:eastAsia="zh-CN"/>
              </w:rPr>
            </w:pPr>
            <w:r>
              <w:rPr>
                <w:rFonts w:hint="default"/>
                <w:lang w:val="en-US" w:eastAsia="zh-CN"/>
              </w:rPr>
              <w:t>机械投入计划与进度计划呼应,完全满足安全技术规范和施工进度需要；劳动力:投入计划与进度计划呼应,完全满足施工需要,调配投入计划合理、准确得5分；</w:t>
            </w:r>
          </w:p>
          <w:p>
            <w:pPr>
              <w:rPr>
                <w:rFonts w:hint="default"/>
                <w:lang w:val="en-US" w:eastAsia="zh-CN"/>
              </w:rPr>
            </w:pPr>
            <w:r>
              <w:rPr>
                <w:rFonts w:hint="default"/>
                <w:lang w:val="en-US" w:eastAsia="zh-CN"/>
              </w:rPr>
              <w:t>机械投入计划与进度计划呼应,机械设备配置合理,满足安全技术规范和施工进度需要；劳动力:投入计划与进度计划呼应,满足施工需要,调配投入计划合理得3分；</w:t>
            </w:r>
          </w:p>
          <w:p>
            <w:pPr>
              <w:rPr>
                <w:rFonts w:hint="default"/>
                <w:lang w:val="en-US" w:eastAsia="zh-CN"/>
              </w:rPr>
            </w:pPr>
            <w:r>
              <w:rPr>
                <w:rFonts w:hint="default"/>
                <w:lang w:val="en-US" w:eastAsia="zh-CN"/>
              </w:rPr>
              <w:t>机械设备配置不合理,不能满足安全技术规范和施工进度需要；劳动力:不能满足施工需要,调配投入计划基本合理得1分。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8.技术创新的应用实施措施：5分</w:t>
            </w:r>
          </w:p>
        </w:tc>
        <w:tc>
          <w:tcPr>
            <w:tcW w:w="6124" w:type="dxa"/>
            <w:noWrap w:val="0"/>
            <w:vAlign w:val="center"/>
          </w:tcPr>
          <w:p>
            <w:pPr>
              <w:rPr>
                <w:rFonts w:hint="default"/>
                <w:lang w:val="en-US" w:eastAsia="zh-CN"/>
              </w:rPr>
            </w:pPr>
            <w:r>
              <w:rPr>
                <w:rFonts w:hint="default"/>
                <w:lang w:val="en-US" w:eastAsia="zh-CN"/>
              </w:rPr>
              <w:t>节能减排、绿色施工、工艺创新等技术创新的应用实施措施符合工程情况,具有针对性、可行性、经济适用性得5分；</w:t>
            </w:r>
          </w:p>
          <w:p>
            <w:pPr>
              <w:rPr>
                <w:rFonts w:hint="default"/>
                <w:lang w:val="en-US" w:eastAsia="zh-CN"/>
              </w:rPr>
            </w:pPr>
            <w:r>
              <w:rPr>
                <w:rFonts w:hint="default"/>
                <w:lang w:val="en-US" w:eastAsia="zh-CN"/>
              </w:rPr>
              <w:t>节能减排、绿色施工、工艺创新等技术应用实施措施符合工程情况得3分；</w:t>
            </w:r>
          </w:p>
          <w:p>
            <w:pPr>
              <w:rPr>
                <w:rFonts w:hint="default"/>
                <w:lang w:val="en-US" w:eastAsia="zh-CN"/>
              </w:rPr>
            </w:pPr>
            <w:r>
              <w:rPr>
                <w:rFonts w:hint="default"/>
                <w:lang w:val="en-US" w:eastAsia="zh-CN"/>
              </w:rPr>
              <w:t>节能减排、绿色施工、工艺创新等技术应用实施措施不符合工程情况得1分。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9.紧急情况的处理措施、应急预案：4分</w:t>
            </w:r>
          </w:p>
        </w:tc>
        <w:tc>
          <w:tcPr>
            <w:tcW w:w="6124" w:type="dxa"/>
            <w:noWrap w:val="0"/>
            <w:vAlign w:val="center"/>
          </w:tcPr>
          <w:p>
            <w:pPr>
              <w:rPr>
                <w:rFonts w:hint="default"/>
                <w:lang w:val="en-US" w:eastAsia="zh-CN"/>
              </w:rPr>
            </w:pPr>
            <w:r>
              <w:rPr>
                <w:rFonts w:hint="default"/>
                <w:lang w:val="en-US" w:eastAsia="zh-CN"/>
              </w:rPr>
              <w:t>紧急情况处理措施考虑比较周全、到位、针对性较强得4分；</w:t>
            </w:r>
          </w:p>
          <w:p>
            <w:pPr>
              <w:rPr>
                <w:rFonts w:hint="default"/>
                <w:lang w:val="en-US" w:eastAsia="zh-CN"/>
              </w:rPr>
            </w:pPr>
            <w:r>
              <w:rPr>
                <w:rFonts w:hint="default"/>
                <w:lang w:val="en-US" w:eastAsia="zh-CN"/>
              </w:rPr>
              <w:t>紧急情况处理措施健全、基本合理可行得3分；</w:t>
            </w:r>
          </w:p>
          <w:p>
            <w:pPr>
              <w:rPr>
                <w:rFonts w:hint="default"/>
                <w:lang w:val="en-US" w:eastAsia="zh-CN"/>
              </w:rPr>
            </w:pPr>
            <w:r>
              <w:rPr>
                <w:rFonts w:hint="default"/>
                <w:lang w:val="en-US" w:eastAsia="zh-CN"/>
              </w:rPr>
              <w:t>紧急情况处理措施不健全，不合理得1分。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10.施工周边环境保护的服务承诺：4分</w:t>
            </w:r>
          </w:p>
        </w:tc>
        <w:tc>
          <w:tcPr>
            <w:tcW w:w="6124" w:type="dxa"/>
            <w:noWrap w:val="0"/>
            <w:vAlign w:val="top"/>
          </w:tcPr>
          <w:p>
            <w:pPr>
              <w:rPr>
                <w:rFonts w:hint="default"/>
                <w:lang w:val="en-US" w:eastAsia="zh-CN"/>
              </w:rPr>
            </w:pPr>
            <w:r>
              <w:rPr>
                <w:rFonts w:hint="default"/>
                <w:lang w:val="en-US" w:eastAsia="zh-CN"/>
              </w:rPr>
              <w:t>对施工周边环境保护的承诺，合理可行得4分；</w:t>
            </w:r>
          </w:p>
          <w:p>
            <w:pPr>
              <w:rPr>
                <w:rFonts w:hint="default"/>
                <w:lang w:val="en-US" w:eastAsia="zh-CN"/>
              </w:rPr>
            </w:pPr>
            <w:r>
              <w:rPr>
                <w:rFonts w:hint="default"/>
                <w:lang w:val="en-US" w:eastAsia="zh-CN"/>
              </w:rPr>
              <w:t>对施工周边环境保护的承诺，基本合理可行得3分；</w:t>
            </w:r>
          </w:p>
          <w:p>
            <w:pPr>
              <w:rPr>
                <w:rFonts w:hint="default"/>
                <w:lang w:val="en-US" w:eastAsia="zh-CN"/>
              </w:rPr>
            </w:pPr>
            <w:r>
              <w:rPr>
                <w:rFonts w:hint="default"/>
                <w:lang w:val="en-US" w:eastAsia="zh-CN"/>
              </w:rPr>
              <w:t>对施工周边环境保护的承诺不合理得1分。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2" w:hRule="atLeast"/>
          <w:jc w:val="center"/>
        </w:trPr>
        <w:tc>
          <w:tcPr>
            <w:tcW w:w="658" w:type="dxa"/>
            <w:vMerge w:val="continue"/>
            <w:noWrap w:val="0"/>
            <w:vAlign w:val="center"/>
          </w:tcPr>
          <w:p>
            <w:pPr>
              <w:rPr>
                <w:rFonts w:hint="default"/>
                <w:lang w:val="en-US" w:eastAsia="zh-CN"/>
              </w:rPr>
            </w:pPr>
          </w:p>
        </w:tc>
        <w:tc>
          <w:tcPr>
            <w:tcW w:w="1115" w:type="dxa"/>
            <w:vMerge w:val="continue"/>
            <w:noWrap w:val="0"/>
            <w:vAlign w:val="center"/>
          </w:tcPr>
          <w:p>
            <w:pPr>
              <w:rPr>
                <w:rFonts w:hint="default"/>
                <w:lang w:val="en-US" w:eastAsia="zh-CN"/>
              </w:rPr>
            </w:pPr>
          </w:p>
        </w:tc>
        <w:tc>
          <w:tcPr>
            <w:tcW w:w="1983" w:type="dxa"/>
            <w:noWrap w:val="0"/>
            <w:vAlign w:val="center"/>
          </w:tcPr>
          <w:p>
            <w:pPr>
              <w:rPr>
                <w:rFonts w:hint="default"/>
                <w:lang w:val="en-US" w:eastAsia="zh-CN"/>
              </w:rPr>
            </w:pPr>
            <w:r>
              <w:rPr>
                <w:rFonts w:hint="default"/>
                <w:lang w:val="en-US" w:eastAsia="zh-CN"/>
              </w:rPr>
              <w:t>11.施工现场实施信息化监控和数据处理：4分</w:t>
            </w:r>
          </w:p>
        </w:tc>
        <w:tc>
          <w:tcPr>
            <w:tcW w:w="6124" w:type="dxa"/>
            <w:noWrap w:val="0"/>
            <w:vAlign w:val="center"/>
          </w:tcPr>
          <w:p>
            <w:pPr>
              <w:rPr>
                <w:rFonts w:hint="default"/>
                <w:lang w:val="en-US" w:eastAsia="zh-CN"/>
              </w:rPr>
            </w:pPr>
            <w:r>
              <w:rPr>
                <w:rFonts w:hint="default"/>
                <w:lang w:val="en-US" w:eastAsia="zh-CN"/>
              </w:rPr>
              <w:t>1.施工现场实施信息化监控和数据处理系统布置合理,详实具体，科学合理满足需要，得4分；</w:t>
            </w:r>
          </w:p>
          <w:p>
            <w:pPr>
              <w:rPr>
                <w:rFonts w:hint="default"/>
                <w:lang w:val="en-US" w:eastAsia="zh-CN"/>
              </w:rPr>
            </w:pPr>
            <w:r>
              <w:rPr>
                <w:rFonts w:hint="default"/>
                <w:lang w:val="en-US" w:eastAsia="zh-CN"/>
              </w:rPr>
              <w:t>2.施工现场实施信息化监控和数据处理系统布置比较具体,基本科学合理，得3分；</w:t>
            </w:r>
          </w:p>
          <w:p>
            <w:pPr>
              <w:rPr>
                <w:rFonts w:hint="default"/>
                <w:lang w:val="en-US" w:eastAsia="zh-CN"/>
              </w:rPr>
            </w:pPr>
            <w:r>
              <w:rPr>
                <w:rFonts w:hint="default"/>
                <w:lang w:val="en-US" w:eastAsia="zh-CN"/>
              </w:rPr>
              <w:t>3.施工现场实施信息化监控和数据处理系统布置不太合理，得1分。</w:t>
            </w:r>
          </w:p>
          <w:p>
            <w:pPr>
              <w:rPr>
                <w:rFonts w:hint="default"/>
                <w:lang w:val="en-US" w:eastAsia="zh-CN"/>
              </w:rPr>
            </w:pPr>
            <w:r>
              <w:rPr>
                <w:rFonts w:hint="default"/>
                <w:lang w:val="en-US" w:eastAsia="zh-CN"/>
              </w:rPr>
              <w:t>缺项得0分。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658" w:type="dxa"/>
            <w:vMerge w:val="restart"/>
            <w:noWrap w:val="0"/>
            <w:vAlign w:val="center"/>
          </w:tcPr>
          <w:p>
            <w:pPr>
              <w:jc w:val="center"/>
              <w:rPr>
                <w:rFonts w:hint="default"/>
                <w:lang w:val="en-US" w:eastAsia="zh-CN"/>
              </w:rPr>
            </w:pPr>
            <w:r>
              <w:rPr>
                <w:rFonts w:hint="default"/>
                <w:lang w:val="en-US" w:eastAsia="zh-CN"/>
              </w:rPr>
              <w:t>2.2.2</w:t>
            </w:r>
          </w:p>
          <w:p>
            <w:pPr>
              <w:jc w:val="center"/>
              <w:rPr>
                <w:rFonts w:hint="default"/>
                <w:lang w:val="en-US" w:eastAsia="zh-CN"/>
              </w:rPr>
            </w:pPr>
            <w:r>
              <w:rPr>
                <w:rFonts w:hint="default"/>
                <w:lang w:val="en-US" w:eastAsia="zh-CN"/>
              </w:rPr>
              <w:t>(3)</w:t>
            </w:r>
          </w:p>
        </w:tc>
        <w:tc>
          <w:tcPr>
            <w:tcW w:w="1115" w:type="dxa"/>
            <w:vMerge w:val="restart"/>
            <w:noWrap w:val="0"/>
            <w:vAlign w:val="center"/>
          </w:tcPr>
          <w:p>
            <w:pPr>
              <w:jc w:val="center"/>
              <w:rPr>
                <w:rFonts w:hint="default"/>
                <w:lang w:val="en-US" w:eastAsia="zh-CN"/>
              </w:rPr>
            </w:pPr>
            <w:r>
              <w:rPr>
                <w:rFonts w:hint="default"/>
                <w:lang w:val="en-US" w:eastAsia="zh-CN"/>
              </w:rPr>
              <w:t>供应商综合实力评分标准</w:t>
            </w:r>
          </w:p>
          <w:p>
            <w:pPr>
              <w:jc w:val="center"/>
              <w:rPr>
                <w:rFonts w:hint="default"/>
                <w:lang w:val="en-US" w:eastAsia="zh-CN"/>
              </w:rPr>
            </w:pPr>
            <w:r>
              <w:rPr>
                <w:rFonts w:hint="default"/>
                <w:lang w:val="en-US" w:eastAsia="zh-CN"/>
              </w:rPr>
              <w:t>(20分)</w:t>
            </w:r>
          </w:p>
        </w:tc>
        <w:tc>
          <w:tcPr>
            <w:tcW w:w="1983" w:type="dxa"/>
            <w:noWrap w:val="0"/>
            <w:vAlign w:val="center"/>
          </w:tcPr>
          <w:p>
            <w:pPr>
              <w:jc w:val="center"/>
              <w:rPr>
                <w:rFonts w:hint="default"/>
                <w:lang w:val="en-US" w:eastAsia="zh-CN"/>
              </w:rPr>
            </w:pPr>
            <w:r>
              <w:rPr>
                <w:rFonts w:hint="default"/>
                <w:lang w:val="en-US" w:eastAsia="zh-CN"/>
              </w:rPr>
              <w:t>项目管理机构配置（5分）</w:t>
            </w:r>
          </w:p>
        </w:tc>
        <w:tc>
          <w:tcPr>
            <w:tcW w:w="6124" w:type="dxa"/>
            <w:noWrap w:val="0"/>
            <w:vAlign w:val="center"/>
          </w:tcPr>
          <w:p>
            <w:pPr>
              <w:rPr>
                <w:rFonts w:hint="default"/>
                <w:lang w:val="en-US" w:eastAsia="zh-CN"/>
              </w:rPr>
            </w:pPr>
            <w:r>
              <w:rPr>
                <w:rFonts w:hint="default"/>
                <w:lang w:val="en-US" w:eastAsia="zh-CN"/>
              </w:rPr>
              <w:t>拟派项目班子中施工员、质检(量)员、安全员、造价 (预算)人员、资料员证件齐全者得5分，每缺一个证件扣1分，扣完为止。</w:t>
            </w:r>
          </w:p>
          <w:p>
            <w:pPr>
              <w:rPr>
                <w:rFonts w:hint="default"/>
                <w:lang w:val="en-US" w:eastAsia="zh-CN"/>
              </w:rPr>
            </w:pPr>
            <w:r>
              <w:rPr>
                <w:rFonts w:hint="default"/>
                <w:lang w:val="en-US" w:eastAsia="zh-CN"/>
              </w:rPr>
              <w:t>注：附人员岗位证书或注册证书或岗位任命书或其他证明材料扫描件，否则不得分。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企业业绩（6分）</w:t>
            </w:r>
          </w:p>
        </w:tc>
        <w:tc>
          <w:tcPr>
            <w:tcW w:w="6124" w:type="dxa"/>
            <w:noWrap w:val="0"/>
            <w:vAlign w:val="center"/>
          </w:tcPr>
          <w:p>
            <w:pPr>
              <w:rPr>
                <w:rFonts w:hint="default"/>
                <w:lang w:val="en-US" w:eastAsia="zh-CN"/>
              </w:rPr>
            </w:pPr>
            <w:r>
              <w:rPr>
                <w:rFonts w:hint="default"/>
                <w:lang w:val="en-US" w:eastAsia="zh-CN"/>
              </w:rPr>
              <w:t>响应人于202</w:t>
            </w:r>
            <w:r>
              <w:rPr>
                <w:rFonts w:hint="eastAsia"/>
                <w:lang w:val="en-US" w:eastAsia="zh-CN"/>
              </w:rPr>
              <w:t>2</w:t>
            </w:r>
            <w:r>
              <w:rPr>
                <w:rFonts w:hint="default"/>
                <w:lang w:val="en-US" w:eastAsia="zh-CN"/>
              </w:rPr>
              <w:t>年1月1日至投标截止时间 (以合同签订时间为准)，承担过相关业绩的，每个得2分，本项最高得6分。</w:t>
            </w:r>
          </w:p>
          <w:p>
            <w:pPr>
              <w:rPr>
                <w:rFonts w:hint="default"/>
                <w:lang w:val="en-US" w:eastAsia="zh-CN"/>
              </w:rPr>
            </w:pPr>
            <w:r>
              <w:rPr>
                <w:rFonts w:hint="default"/>
                <w:lang w:val="en-US" w:eastAsia="zh-CN"/>
              </w:rPr>
              <w:t>注：响应文件中附中标通知书或合同扫描件。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Merge w:val="continue"/>
            <w:noWrap w:val="0"/>
            <w:vAlign w:val="center"/>
          </w:tcPr>
          <w:p>
            <w:pPr>
              <w:jc w:val="center"/>
              <w:rPr>
                <w:rFonts w:hint="default"/>
                <w:lang w:val="en-US" w:eastAsia="zh-CN"/>
              </w:rPr>
            </w:pPr>
          </w:p>
        </w:tc>
        <w:tc>
          <w:tcPr>
            <w:tcW w:w="1115" w:type="dxa"/>
            <w:vMerge w:val="continue"/>
            <w:noWrap w:val="0"/>
            <w:vAlign w:val="center"/>
          </w:tcPr>
          <w:p>
            <w:pPr>
              <w:jc w:val="center"/>
              <w:rPr>
                <w:rFonts w:hint="default"/>
                <w:lang w:val="en-US" w:eastAsia="zh-CN"/>
              </w:rPr>
            </w:pPr>
          </w:p>
        </w:tc>
        <w:tc>
          <w:tcPr>
            <w:tcW w:w="1983" w:type="dxa"/>
            <w:noWrap w:val="0"/>
            <w:vAlign w:val="center"/>
          </w:tcPr>
          <w:p>
            <w:pPr>
              <w:jc w:val="center"/>
              <w:rPr>
                <w:rFonts w:hint="default"/>
                <w:lang w:val="en-US" w:eastAsia="zh-CN"/>
              </w:rPr>
            </w:pPr>
            <w:r>
              <w:rPr>
                <w:rFonts w:hint="default"/>
                <w:lang w:val="en-US" w:eastAsia="zh-CN"/>
              </w:rPr>
              <w:t>服务承诺</w:t>
            </w:r>
          </w:p>
          <w:p>
            <w:pPr>
              <w:jc w:val="center"/>
              <w:rPr>
                <w:rFonts w:hint="default"/>
                <w:lang w:val="en-US" w:eastAsia="zh-CN"/>
              </w:rPr>
            </w:pPr>
            <w:r>
              <w:rPr>
                <w:rFonts w:hint="default"/>
                <w:lang w:val="en-US" w:eastAsia="zh-CN"/>
              </w:rPr>
              <w:t>（9分）</w:t>
            </w:r>
          </w:p>
        </w:tc>
        <w:tc>
          <w:tcPr>
            <w:tcW w:w="6124" w:type="dxa"/>
            <w:noWrap w:val="0"/>
            <w:vAlign w:val="center"/>
          </w:tcPr>
          <w:p>
            <w:pPr>
              <w:rPr>
                <w:rFonts w:hint="default"/>
                <w:lang w:val="en-US" w:eastAsia="zh-CN"/>
              </w:rPr>
            </w:pPr>
            <w:r>
              <w:rPr>
                <w:rFonts w:hint="default"/>
                <w:lang w:val="en-US" w:eastAsia="zh-CN"/>
              </w:rPr>
              <w:t>根据响应人对本项目服务承诺内容进行对比打分：</w:t>
            </w:r>
          </w:p>
          <w:p>
            <w:pPr>
              <w:rPr>
                <w:rFonts w:hint="default"/>
                <w:lang w:val="en-US" w:eastAsia="zh-CN"/>
              </w:rPr>
            </w:pPr>
            <w:r>
              <w:rPr>
                <w:rFonts w:hint="default"/>
                <w:lang w:val="en-US" w:eastAsia="zh-CN"/>
              </w:rPr>
              <w:t>服务承诺全面、人员配置合理、切实可行的,得9分；</w:t>
            </w:r>
          </w:p>
          <w:p>
            <w:pPr>
              <w:rPr>
                <w:rFonts w:hint="default"/>
                <w:lang w:val="en-US" w:eastAsia="zh-CN"/>
              </w:rPr>
            </w:pPr>
            <w:r>
              <w:rPr>
                <w:rFonts w:hint="default"/>
                <w:lang w:val="en-US" w:eastAsia="zh-CN"/>
              </w:rPr>
              <w:t>2、服务承诺较全面，人员配置较合理的，得5分；</w:t>
            </w:r>
          </w:p>
          <w:p>
            <w:pPr>
              <w:rPr>
                <w:rFonts w:hint="default"/>
                <w:lang w:val="en-US" w:eastAsia="zh-CN"/>
              </w:rPr>
            </w:pPr>
            <w:r>
              <w:rPr>
                <w:rFonts w:hint="default"/>
                <w:lang w:val="en-US" w:eastAsia="zh-CN"/>
              </w:rPr>
              <w:t>3、服务承诺及人员配置较差的，得1分；</w:t>
            </w:r>
          </w:p>
          <w:p>
            <w:pPr>
              <w:rPr>
                <w:rFonts w:hint="default"/>
                <w:lang w:val="en-US" w:eastAsia="zh-CN"/>
              </w:rPr>
            </w:pPr>
            <w:r>
              <w:rPr>
                <w:rFonts w:hint="default"/>
                <w:lang w:val="en-US" w:eastAsia="zh-CN"/>
              </w:rPr>
              <w:t>4、无相关描述不得分。</w:t>
            </w:r>
          </w:p>
        </w:tc>
      </w:tr>
    </w:tbl>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4" w:name="_Toc24358"/>
      <w:r>
        <w:rPr>
          <w:rFonts w:hint="eastAsia"/>
          <w:b/>
          <w:bCs/>
          <w:lang w:val="en-US" w:eastAsia="zh-CN"/>
        </w:rPr>
        <w:t>1.</w:t>
      </w:r>
      <w:r>
        <w:rPr>
          <w:rFonts w:hint="default"/>
          <w:b/>
          <w:bCs/>
          <w:lang w:val="en-US" w:eastAsia="zh-CN"/>
        </w:rPr>
        <w:t>评审方法</w:t>
      </w:r>
      <w:bookmarkEnd w:id="7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本次评审采用综合评分法。磋商小组对满足竞争性磋商文件实质性要求的响应文件，按照本章第 2.2 款规定的评分标准进行打分，并按得分由高到低顺序推荐成交候选人，或根据采购人授权直接确定成交人，但磋商报价低于其成本的除外。综合评分相等时，以磋商报价低的优先；磋商报价也相等的，由采购人自行确定。</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5" w:name="_Toc708"/>
      <w:r>
        <w:rPr>
          <w:rFonts w:hint="eastAsia"/>
          <w:b/>
          <w:bCs/>
          <w:lang w:val="en-US" w:eastAsia="zh-CN"/>
        </w:rPr>
        <w:t>2.</w:t>
      </w:r>
      <w:r>
        <w:rPr>
          <w:rFonts w:hint="default"/>
          <w:b/>
          <w:bCs/>
          <w:lang w:val="en-US" w:eastAsia="zh-CN"/>
        </w:rPr>
        <w:t>评审标准</w:t>
      </w:r>
      <w:bookmarkEnd w:id="7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bookmarkStart w:id="76" w:name="_Toc3486"/>
      <w:r>
        <w:rPr>
          <w:rFonts w:hint="eastAsia"/>
          <w:lang w:val="en-US" w:eastAsia="zh-CN"/>
        </w:rPr>
        <w:t>2.1</w:t>
      </w:r>
      <w:r>
        <w:rPr>
          <w:rFonts w:hint="default"/>
          <w:lang w:val="en-US" w:eastAsia="zh-CN"/>
        </w:rPr>
        <w:t>初步评审标准</w:t>
      </w:r>
      <w:bookmarkEnd w:id="7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2.1.1</w:t>
      </w:r>
      <w:r>
        <w:rPr>
          <w:rFonts w:hint="default"/>
          <w:lang w:val="en-US" w:eastAsia="zh-CN"/>
        </w:rPr>
        <w:t>形式评审标准：见评审办法前附表；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2.1.2</w:t>
      </w:r>
      <w:r>
        <w:rPr>
          <w:rFonts w:hint="default"/>
          <w:lang w:val="en-US" w:eastAsia="zh-CN"/>
        </w:rPr>
        <w:t>资格评审标准：见评审办法前附表；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2.1.3</w:t>
      </w:r>
      <w:r>
        <w:rPr>
          <w:rFonts w:hint="default"/>
          <w:lang w:val="en-US" w:eastAsia="zh-CN"/>
        </w:rPr>
        <w:t>响应性评审标准：见评审办法前附表。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7" w:name="_Toc6176"/>
      <w:r>
        <w:rPr>
          <w:rFonts w:hint="eastAsia"/>
          <w:b/>
          <w:bCs/>
          <w:lang w:val="en-US" w:eastAsia="zh-CN"/>
        </w:rPr>
        <w:t>2.2</w:t>
      </w:r>
      <w:r>
        <w:rPr>
          <w:rFonts w:hint="default"/>
          <w:b/>
          <w:bCs/>
          <w:lang w:val="en-US" w:eastAsia="zh-CN"/>
        </w:rPr>
        <w:t>分值构成与评分标准</w:t>
      </w:r>
      <w:bookmarkEnd w:id="7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2.2.1</w:t>
      </w:r>
      <w:r>
        <w:rPr>
          <w:rFonts w:hint="default"/>
          <w:lang w:val="en-US" w:eastAsia="zh-CN"/>
        </w:rPr>
        <w:t>分值构成</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磋商报价：见评审办法前附表；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技术部分：见评审办法前附表；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商务部分：见评审办法前附表。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2.2.2</w:t>
      </w:r>
      <w:r>
        <w:rPr>
          <w:rFonts w:hint="default"/>
          <w:lang w:val="en-US" w:eastAsia="zh-CN"/>
        </w:rPr>
        <w:t>评分标准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磋商报价：见评审办法前附表；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技术部分：见评审办法前附表；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商务部分：见评审办法前附表。</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8" w:name="_Toc4825"/>
      <w:r>
        <w:rPr>
          <w:rFonts w:hint="eastAsia"/>
          <w:b/>
          <w:bCs/>
          <w:lang w:val="en-US" w:eastAsia="zh-CN"/>
        </w:rPr>
        <w:t>3.</w:t>
      </w:r>
      <w:r>
        <w:rPr>
          <w:rFonts w:hint="default"/>
          <w:b/>
          <w:bCs/>
          <w:lang w:val="en-US" w:eastAsia="zh-CN"/>
        </w:rPr>
        <w:t>评审程序</w:t>
      </w:r>
      <w:bookmarkEnd w:id="78"/>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79" w:name="_Toc16800"/>
      <w:r>
        <w:rPr>
          <w:rFonts w:hint="eastAsia"/>
          <w:b/>
          <w:bCs/>
          <w:lang w:val="en-US" w:eastAsia="zh-CN"/>
        </w:rPr>
        <w:t>3.1</w:t>
      </w:r>
      <w:r>
        <w:rPr>
          <w:rFonts w:hint="default"/>
          <w:b/>
          <w:bCs/>
          <w:lang w:val="en-US" w:eastAsia="zh-CN"/>
        </w:rPr>
        <w:t>初步评审</w:t>
      </w:r>
      <w:bookmarkEnd w:id="7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3.1.1</w:t>
      </w:r>
      <w:r>
        <w:rPr>
          <w:rFonts w:hint="default"/>
          <w:lang w:val="en-US" w:eastAsia="zh-CN"/>
        </w:rPr>
        <w:t>磋商小组依据本章第 2.1 款规定的标准对响应文件进行初步评审。有一项不符合评审标准的，作废标处理。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3.1.2</w:t>
      </w:r>
      <w:r>
        <w:rPr>
          <w:rFonts w:hint="default"/>
          <w:lang w:val="en-US" w:eastAsia="zh-CN"/>
        </w:rPr>
        <w:t>供应商有以下情形之一的，其响应作废标处理：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(1)第二章“供应商须知”第 1.4 规定的任何一种情形的；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(2)串通投标或弄虚作假或有其他违法行为的；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(3)不按磋商小组要求澄清、说明或补正的。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3.1.3</w:t>
      </w:r>
      <w:r>
        <w:rPr>
          <w:rFonts w:hint="default"/>
          <w:lang w:val="en-US" w:eastAsia="zh-CN"/>
        </w:rPr>
        <w:t>磋商报价有算术错误的，磋商小组按以下原则对磋商报价进行修正， 修正的价格经供应商书面确认后具有约束力。供应商不接受修正价格的，其响应作废标处理。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响应文件中的大写金额与小写金额不一致的，以大写金额为准；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总价金额与依据单价计算出的结果不一致的，以单价金额为准修正总价，但单价金额小数点有明显错误的除外。</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80" w:name="_Toc20328"/>
      <w:r>
        <w:rPr>
          <w:rFonts w:hint="eastAsia"/>
          <w:b/>
          <w:bCs/>
          <w:lang w:val="en-US" w:eastAsia="zh-CN"/>
        </w:rPr>
        <w:t>3.2</w:t>
      </w:r>
      <w:r>
        <w:rPr>
          <w:rFonts w:hint="default"/>
          <w:b/>
          <w:bCs/>
          <w:lang w:val="en-US" w:eastAsia="zh-CN"/>
        </w:rPr>
        <w:t>详细评审</w:t>
      </w:r>
      <w:bookmarkEnd w:id="8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w:t>
      </w:r>
      <w:r>
        <w:rPr>
          <w:rFonts w:hint="default"/>
          <w:lang w:val="en-US" w:eastAsia="zh-CN"/>
        </w:rPr>
        <w:t>磋商小组按本章第 2.2 款规定的量化因素和分值进行打分，并计算出综合评估得分。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3.2.1.1</w:t>
      </w:r>
      <w:r>
        <w:rPr>
          <w:rFonts w:hint="default"/>
          <w:lang w:val="en-US" w:eastAsia="zh-CN"/>
        </w:rPr>
        <w:t>按本章第 2.2.2（1）目规定的评审因素和分值对磋商报价计算出得分A；</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3.2.1.2</w:t>
      </w:r>
      <w:r>
        <w:rPr>
          <w:rFonts w:hint="default"/>
          <w:lang w:val="en-US" w:eastAsia="zh-CN"/>
        </w:rPr>
        <w:t>按本章第 2.2.2（2）目规定的评审因素和分值对技术部分计算出得分B；</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3.2.1.3</w:t>
      </w:r>
      <w:r>
        <w:rPr>
          <w:rFonts w:hint="default"/>
          <w:lang w:val="en-US" w:eastAsia="zh-CN"/>
        </w:rPr>
        <w:t>按本章第 2.2.2（3）目规定的评审因素和分值对商务部分计算出得分C；</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3.2.2</w:t>
      </w:r>
      <w:r>
        <w:rPr>
          <w:rFonts w:hint="default"/>
          <w:lang w:val="en-US" w:eastAsia="zh-CN"/>
        </w:rPr>
        <w:t>评分分值计算保留小数点后两位，小数点后第三位“四舍五入”。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3.2.3</w:t>
      </w:r>
      <w:r>
        <w:rPr>
          <w:rFonts w:hint="default"/>
          <w:lang w:val="en-US" w:eastAsia="zh-CN"/>
        </w:rPr>
        <w:t>供应商得分=A+B+C。</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3.2.4</w:t>
      </w:r>
      <w:r>
        <w:rPr>
          <w:rFonts w:hint="default"/>
          <w:lang w:val="en-US" w:eastAsia="zh-CN"/>
        </w:rPr>
        <w:t>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其响应作废标处理。</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lang w:val="en-US" w:eastAsia="zh-CN"/>
        </w:rPr>
      </w:pPr>
      <w:bookmarkStart w:id="81" w:name="_Toc13032"/>
      <w:r>
        <w:rPr>
          <w:rFonts w:hint="eastAsia"/>
          <w:b/>
          <w:bCs/>
          <w:lang w:val="en-US" w:eastAsia="zh-CN"/>
        </w:rPr>
        <w:t>3.3</w:t>
      </w:r>
      <w:r>
        <w:rPr>
          <w:rFonts w:hint="default"/>
          <w:b/>
          <w:bCs/>
          <w:lang w:val="en-US" w:eastAsia="zh-CN"/>
        </w:rPr>
        <w:t>响应文件的澄清和补正</w:t>
      </w:r>
      <w:bookmarkEnd w:id="8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3.3.1</w:t>
      </w:r>
      <w:r>
        <w:rPr>
          <w:rFonts w:hint="default"/>
          <w:lang w:val="en-US" w:eastAsia="zh-CN"/>
        </w:rPr>
        <w:t>在评审过程中，磋商小组可以书面形式要求供应商对所提交响应文件中不明确的内容进行书面澄清或说明，或者对细微偏差进行补正。磋商小组不接受供应商主动提出的澄清、说明或补正。</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3.3.2</w:t>
      </w:r>
      <w:r>
        <w:rPr>
          <w:rFonts w:hint="default"/>
          <w:lang w:val="en-US" w:eastAsia="zh-CN"/>
        </w:rPr>
        <w:t>澄清、说明和补正不得改变响应文件的实质性内容（算术性错误修正的除外）。供应商的书面澄清、说明和补正属于响应文件的组成章。</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3.3.3</w:t>
      </w:r>
      <w:r>
        <w:rPr>
          <w:rFonts w:hint="default"/>
          <w:lang w:val="en-US" w:eastAsia="zh-CN"/>
        </w:rPr>
        <w:t>磋商小组对供应商提交的澄清、说明或补正有疑问的，可以要求供应商进一步澄清、说明或补正，直至满足磋商小组的要求。</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b/>
          <w:bCs/>
          <w:lang w:val="en-US" w:eastAsia="zh-CN"/>
        </w:rPr>
      </w:pPr>
      <w:bookmarkStart w:id="82" w:name="_Toc4174"/>
      <w:r>
        <w:rPr>
          <w:rFonts w:hint="eastAsia"/>
          <w:b/>
          <w:bCs/>
          <w:lang w:val="en-US" w:eastAsia="zh-CN"/>
        </w:rPr>
        <w:t>3.4</w:t>
      </w:r>
      <w:r>
        <w:rPr>
          <w:rFonts w:hint="default"/>
          <w:b/>
          <w:bCs/>
          <w:lang w:val="en-US" w:eastAsia="zh-CN"/>
        </w:rPr>
        <w:t>评审结果</w:t>
      </w:r>
      <w:bookmarkEnd w:id="8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3.4.1</w:t>
      </w:r>
      <w:r>
        <w:rPr>
          <w:rFonts w:hint="default"/>
          <w:lang w:val="en-US" w:eastAsia="zh-CN"/>
        </w:rPr>
        <w:t>除第二章“供应商须知”前附表授权直接确定成交人外，磋商小组按照得分由高到低的顺序推荐成交候选人。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3.4.2</w:t>
      </w:r>
      <w:r>
        <w:rPr>
          <w:rFonts w:hint="default"/>
          <w:lang w:val="en-US" w:eastAsia="zh-CN"/>
        </w:rPr>
        <w:t>磋商小组完成评审后，应当向采购人提交书面评审报告。</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spacing w:before="111"/>
        <w:ind w:left="1874" w:right="1874"/>
        <w:jc w:val="center"/>
        <w:outlineLvl w:val="0"/>
        <w:rPr>
          <w:b/>
          <w:sz w:val="27"/>
          <w:szCs w:val="24"/>
          <w:highlight w:val="none"/>
        </w:rPr>
      </w:pPr>
      <w:bookmarkStart w:id="83" w:name="_Toc12219"/>
      <w:bookmarkStart w:id="84" w:name="_Toc5405"/>
      <w:r>
        <w:rPr>
          <w:b/>
          <w:spacing w:val="-3"/>
          <w:sz w:val="32"/>
          <w:highlight w:val="none"/>
        </w:rPr>
        <w:t>第四章 合同条款及格式</w:t>
      </w:r>
      <w:bookmarkEnd w:id="83"/>
      <w:bookmarkEnd w:id="84"/>
    </w:p>
    <w:p>
      <w:pPr>
        <w:ind w:right="1875"/>
        <w:jc w:val="center"/>
        <w:rPr>
          <w:sz w:val="20"/>
          <w:szCs w:val="24"/>
          <w:highlight w:val="none"/>
        </w:rPr>
      </w:pPr>
      <w:r>
        <w:rPr>
          <w:rFonts w:hint="eastAsia"/>
          <w:sz w:val="24"/>
          <w:szCs w:val="24"/>
          <w:highlight w:val="none"/>
          <w:lang w:val="en-US" w:eastAsia="zh-CN"/>
        </w:rPr>
        <w:t xml:space="preserve">             </w:t>
      </w:r>
      <w:r>
        <w:rPr>
          <w:sz w:val="24"/>
          <w:szCs w:val="24"/>
          <w:highlight w:val="none"/>
        </w:rPr>
        <w:t>使用《建设工程施工合同示范文本》（</w:t>
      </w:r>
      <w:r>
        <w:rPr>
          <w:rFonts w:hint="eastAsia"/>
          <w:sz w:val="24"/>
          <w:szCs w:val="24"/>
          <w:highlight w:val="none"/>
          <w:lang w:eastAsia="zh-CN"/>
        </w:rPr>
        <w:t>仅供参考</w:t>
      </w:r>
      <w:r>
        <w:rPr>
          <w:sz w:val="24"/>
          <w:szCs w:val="24"/>
          <w:highlight w:val="none"/>
        </w:rPr>
        <w:t>）</w:t>
      </w:r>
    </w:p>
    <w:p>
      <w:pPr>
        <w:pStyle w:val="5"/>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val="0"/>
          <w:sz w:val="28"/>
          <w:szCs w:val="28"/>
          <w:highlight w:val="none"/>
        </w:rPr>
      </w:pPr>
      <w:bookmarkStart w:id="85" w:name="_Toc501726562"/>
      <w:bookmarkStart w:id="86" w:name="_Toc28143"/>
      <w:bookmarkStart w:id="87" w:name="_Toc10106"/>
      <w:bookmarkStart w:id="88" w:name="_Toc5589"/>
      <w:bookmarkStart w:id="89" w:name="_Toc28757"/>
      <w:r>
        <w:rPr>
          <w:rFonts w:hint="eastAsia" w:ascii="仿宋" w:hAnsi="仿宋" w:eastAsia="仿宋" w:cs="仿宋"/>
          <w:sz w:val="28"/>
          <w:szCs w:val="28"/>
          <w:highlight w:val="none"/>
        </w:rPr>
        <w:t>第一部分 合同协议书</w:t>
      </w:r>
      <w:bookmarkEnd w:id="85"/>
      <w:bookmarkEnd w:id="86"/>
      <w:bookmarkEnd w:id="87"/>
      <w:bookmarkEnd w:id="88"/>
      <w:bookmarkEnd w:id="89"/>
    </w:p>
    <w:p>
      <w:pPr>
        <w:spacing w:line="360" w:lineRule="auto"/>
        <w:rPr>
          <w:rFonts w:hint="eastAsia" w:ascii="仿宋" w:hAnsi="仿宋" w:eastAsia="仿宋" w:cs="仿宋"/>
          <w:b/>
          <w:sz w:val="28"/>
          <w:szCs w:val="28"/>
          <w:highlight w:val="none"/>
          <w:u w:val="single"/>
          <w:lang w:eastAsia="zh-CN"/>
        </w:rPr>
      </w:pPr>
      <w:r>
        <w:rPr>
          <w:rFonts w:hint="eastAsia" w:ascii="仿宋" w:hAnsi="仿宋" w:eastAsia="仿宋" w:cs="仿宋"/>
          <w:b/>
          <w:sz w:val="28"/>
          <w:szCs w:val="28"/>
          <w:highlight w:val="none"/>
        </w:rPr>
        <w:t>发包人（全称）：</w:t>
      </w:r>
      <w:r>
        <w:rPr>
          <w:rFonts w:hint="eastAsia" w:ascii="仿宋" w:hAnsi="仿宋" w:eastAsia="仿宋" w:cs="仿宋"/>
          <w:b/>
          <w:sz w:val="28"/>
          <w:szCs w:val="28"/>
          <w:highlight w:val="none"/>
          <w:u w:val="single"/>
          <w:lang w:eastAsia="zh-CN"/>
        </w:rPr>
        <w:t xml:space="preserve">  新密市农业农村局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p>
    <w:p>
      <w:pPr>
        <w:spacing w:line="360" w:lineRule="auto"/>
        <w:rPr>
          <w:rFonts w:hint="eastAsia" w:ascii="仿宋" w:hAnsi="仿宋" w:eastAsia="仿宋" w:cs="仿宋"/>
          <w:b/>
          <w:sz w:val="28"/>
          <w:szCs w:val="28"/>
          <w:highlight w:val="none"/>
          <w:u w:val="single"/>
          <w:lang w:eastAsia="zh-CN"/>
        </w:rPr>
      </w:pPr>
      <w:r>
        <w:rPr>
          <w:rFonts w:hint="eastAsia" w:ascii="仿宋" w:hAnsi="仿宋" w:eastAsia="仿宋" w:cs="仿宋"/>
          <w:b/>
          <w:sz w:val="28"/>
          <w:szCs w:val="28"/>
          <w:highlight w:val="none"/>
        </w:rPr>
        <w:t>承包人（全称）：</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eastAsia="zh-CN"/>
        </w:rPr>
        <w:t xml:space="preserve">  </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根据《</w:t>
      </w:r>
      <w:r>
        <w:rPr>
          <w:rFonts w:hint="eastAsia" w:ascii="仿宋" w:hAnsi="仿宋" w:eastAsia="仿宋" w:cs="仿宋"/>
          <w:sz w:val="28"/>
          <w:szCs w:val="28"/>
          <w:highlight w:val="none"/>
          <w:lang w:eastAsia="zh-CN"/>
        </w:rPr>
        <w:t>中华人民共和国民法典</w:t>
      </w:r>
      <w:r>
        <w:rPr>
          <w:rFonts w:hint="eastAsia" w:ascii="仿宋" w:hAnsi="仿宋" w:eastAsia="仿宋" w:cs="仿宋"/>
          <w:sz w:val="28"/>
          <w:szCs w:val="28"/>
          <w:highlight w:val="none"/>
        </w:rPr>
        <w:t>》、《中华人民共和国建筑法》及有关法律规定，遵循平等、自愿、公平和诚实信用的原则，双方就</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工程施工及有关事项协商一致，共同达成如下协议：</w:t>
      </w:r>
    </w:p>
    <w:p>
      <w:pPr>
        <w:pStyle w:val="7"/>
        <w:keepNext/>
        <w:keepLines/>
        <w:pageBreakBefore w:val="0"/>
        <w:widowControl w:val="0"/>
        <w:kinsoku/>
        <w:wordWrap/>
        <w:overflowPunct/>
        <w:topLinePunct w:val="0"/>
        <w:autoSpaceDE w:val="0"/>
        <w:autoSpaceDN w:val="0"/>
        <w:bidi w:val="0"/>
        <w:adjustRightInd/>
        <w:snapToGrid/>
        <w:spacing w:before="120" w:after="120" w:line="360" w:lineRule="auto"/>
        <w:textAlignment w:val="auto"/>
        <w:rPr>
          <w:rFonts w:hint="eastAsia" w:ascii="仿宋" w:hAnsi="仿宋" w:eastAsia="仿宋" w:cs="仿宋"/>
          <w:sz w:val="28"/>
          <w:szCs w:val="28"/>
          <w:highlight w:val="none"/>
        </w:rPr>
      </w:pPr>
      <w:bookmarkStart w:id="90" w:name="_Toc501726563"/>
      <w:bookmarkStart w:id="91" w:name="_Toc26655"/>
      <w:bookmarkStart w:id="92" w:name="_Toc8968"/>
      <w:bookmarkStart w:id="93" w:name="_Toc351203481"/>
      <w:r>
        <w:rPr>
          <w:rFonts w:hint="eastAsia" w:ascii="仿宋" w:hAnsi="仿宋" w:eastAsia="仿宋" w:cs="仿宋"/>
          <w:sz w:val="28"/>
          <w:szCs w:val="28"/>
          <w:highlight w:val="none"/>
        </w:rPr>
        <w:t>一、工程概况</w:t>
      </w:r>
      <w:bookmarkEnd w:id="90"/>
      <w:bookmarkEnd w:id="91"/>
      <w:bookmarkEnd w:id="92"/>
      <w:bookmarkEnd w:id="93"/>
    </w:p>
    <w:p>
      <w:pPr>
        <w:spacing w:line="360" w:lineRule="auto"/>
        <w:ind w:firstLine="548" w:firstLineChars="196"/>
        <w:rPr>
          <w:rFonts w:hint="eastAsia" w:ascii="仿宋" w:hAnsi="仿宋" w:eastAsia="仿宋" w:cs="仿宋"/>
          <w:sz w:val="28"/>
          <w:szCs w:val="28"/>
          <w:highlight w:val="none"/>
          <w:u w:val="single"/>
        </w:rPr>
      </w:pPr>
      <w:r>
        <w:rPr>
          <w:rFonts w:hint="eastAsia" w:ascii="仿宋" w:hAnsi="仿宋" w:eastAsia="仿宋" w:cs="仿宋"/>
          <w:bCs/>
          <w:sz w:val="28"/>
          <w:szCs w:val="28"/>
          <w:highlight w:val="none"/>
        </w:rPr>
        <w:t>1.工程名称</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48" w:firstLineChars="196"/>
        <w:rPr>
          <w:rFonts w:hint="eastAsia" w:ascii="仿宋" w:hAnsi="仿宋" w:eastAsia="仿宋" w:cs="仿宋"/>
          <w:bCs/>
          <w:sz w:val="28"/>
          <w:szCs w:val="28"/>
          <w:highlight w:val="none"/>
        </w:rPr>
      </w:pPr>
      <w:r>
        <w:rPr>
          <w:rFonts w:hint="eastAsia" w:ascii="仿宋" w:hAnsi="仿宋" w:eastAsia="仿宋" w:cs="仿宋"/>
          <w:bCs/>
          <w:sz w:val="28"/>
          <w:szCs w:val="28"/>
          <w:highlight w:val="none"/>
        </w:rPr>
        <w:t>2.工程地点：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48" w:firstLineChars="196"/>
        <w:rPr>
          <w:rFonts w:hint="eastAsia" w:ascii="仿宋" w:hAnsi="仿宋" w:eastAsia="仿宋" w:cs="仿宋"/>
          <w:bCs/>
          <w:color w:val="auto"/>
          <w:sz w:val="28"/>
          <w:szCs w:val="28"/>
          <w:highlight w:val="none"/>
        </w:rPr>
      </w:pPr>
      <w:r>
        <w:rPr>
          <w:rFonts w:hint="eastAsia" w:ascii="仿宋" w:hAnsi="仿宋" w:eastAsia="仿宋" w:cs="仿宋"/>
          <w:bCs/>
          <w:color w:val="000000"/>
          <w:sz w:val="28"/>
          <w:szCs w:val="28"/>
          <w:highlight w:val="none"/>
        </w:rPr>
        <w:t>3.工程立项批准文号：</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rPr>
        <w:t>。</w:t>
      </w:r>
    </w:p>
    <w:p>
      <w:pPr>
        <w:spacing w:line="360" w:lineRule="auto"/>
        <w:ind w:firstLine="548" w:firstLineChars="196"/>
        <w:rPr>
          <w:rFonts w:hint="eastAsia" w:ascii="仿宋" w:hAnsi="仿宋" w:eastAsia="仿宋" w:cs="仿宋"/>
          <w:bCs/>
          <w:sz w:val="28"/>
          <w:szCs w:val="28"/>
          <w:highlight w:val="none"/>
        </w:rPr>
      </w:pPr>
      <w:r>
        <w:rPr>
          <w:rFonts w:hint="eastAsia" w:ascii="仿宋" w:hAnsi="仿宋" w:eastAsia="仿宋" w:cs="仿宋"/>
          <w:bCs/>
          <w:sz w:val="28"/>
          <w:szCs w:val="28"/>
          <w:highlight w:val="none"/>
        </w:rPr>
        <w:t>4.资金来源：</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sz w:val="28"/>
          <w:szCs w:val="28"/>
          <w:highlight w:val="none"/>
          <w:u w:val="single"/>
          <w:lang w:val="en-US" w:eastAsia="zh-CN"/>
        </w:rPr>
        <w:t xml:space="preserve"> 财政资金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bCs/>
          <w:sz w:val="28"/>
          <w:szCs w:val="28"/>
          <w:highlight w:val="none"/>
        </w:rPr>
        <w:t>。</w:t>
      </w:r>
    </w:p>
    <w:p>
      <w:pPr>
        <w:spacing w:line="360" w:lineRule="auto"/>
        <w:ind w:firstLine="548" w:firstLineChars="196"/>
        <w:rPr>
          <w:rFonts w:hint="eastAsia" w:ascii="仿宋" w:hAnsi="仿宋" w:eastAsia="仿宋" w:cs="仿宋"/>
          <w:sz w:val="28"/>
          <w:szCs w:val="28"/>
          <w:highlight w:val="none"/>
          <w:u w:val="single"/>
          <w:lang w:val="en-US" w:eastAsia="zh-CN"/>
        </w:rPr>
      </w:pPr>
      <w:r>
        <w:rPr>
          <w:rFonts w:hint="eastAsia" w:ascii="仿宋" w:hAnsi="仿宋" w:eastAsia="仿宋" w:cs="仿宋"/>
          <w:bCs/>
          <w:sz w:val="28"/>
          <w:szCs w:val="28"/>
          <w:highlight w:val="none"/>
        </w:rPr>
        <w:t>5.工程内容：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w:t>
      </w:r>
    </w:p>
    <w:p>
      <w:pPr>
        <w:spacing w:line="360" w:lineRule="auto"/>
        <w:ind w:firstLine="548" w:firstLineChars="196"/>
        <w:rPr>
          <w:rFonts w:hint="eastAsia" w:ascii="仿宋" w:hAnsi="仿宋" w:eastAsia="仿宋" w:cs="仿宋"/>
          <w:sz w:val="28"/>
          <w:szCs w:val="28"/>
          <w:highlight w:val="none"/>
        </w:rPr>
      </w:pPr>
      <w:r>
        <w:rPr>
          <w:rFonts w:hint="eastAsia" w:ascii="仿宋" w:hAnsi="仿宋" w:eastAsia="仿宋" w:cs="仿宋"/>
          <w:bCs/>
          <w:sz w:val="28"/>
          <w:szCs w:val="28"/>
          <w:highlight w:val="none"/>
        </w:rPr>
        <w:t>6.工程承包范围：</w:t>
      </w:r>
      <w:bookmarkStart w:id="94" w:name="_Toc351203482"/>
      <w:bookmarkStart w:id="95" w:name="_Toc501726564"/>
      <w:bookmarkStart w:id="96" w:name="_Toc28932"/>
      <w:bookmarkStart w:id="97" w:name="_Toc19411"/>
      <w:r>
        <w:rPr>
          <w:rFonts w:hint="eastAsia" w:ascii="仿宋" w:hAnsi="仿宋" w:eastAsia="仿宋" w:cs="仿宋"/>
          <w:bCs/>
          <w:sz w:val="28"/>
          <w:szCs w:val="28"/>
          <w:highlight w:val="none"/>
          <w:u w:val="single"/>
          <w:lang w:val="en-US" w:eastAsia="zh-CN"/>
        </w:rPr>
        <w:t>项目图纸</w:t>
      </w:r>
      <w:r>
        <w:rPr>
          <w:rFonts w:hint="eastAsia" w:ascii="仿宋" w:hAnsi="仿宋" w:eastAsia="仿宋" w:cs="仿宋"/>
          <w:bCs/>
          <w:sz w:val="28"/>
          <w:szCs w:val="28"/>
          <w:highlight w:val="none"/>
          <w:u w:val="single"/>
          <w:lang w:eastAsia="zh-CN"/>
        </w:rPr>
        <w:t>及工程量清单</w:t>
      </w:r>
      <w:r>
        <w:rPr>
          <w:rFonts w:hint="eastAsia" w:ascii="仿宋" w:hAnsi="仿宋" w:eastAsia="仿宋" w:cs="仿宋"/>
          <w:bCs/>
          <w:sz w:val="28"/>
          <w:szCs w:val="28"/>
          <w:highlight w:val="none"/>
          <w:u w:val="single"/>
          <w:lang w:val="en-US" w:eastAsia="zh-CN"/>
        </w:rPr>
        <w:t>所含全部</w:t>
      </w:r>
      <w:r>
        <w:rPr>
          <w:rFonts w:hint="eastAsia" w:ascii="仿宋" w:hAnsi="仿宋" w:eastAsia="仿宋" w:cs="仿宋"/>
          <w:bCs/>
          <w:sz w:val="28"/>
          <w:szCs w:val="28"/>
          <w:highlight w:val="none"/>
          <w:u w:val="single"/>
          <w:lang w:eastAsia="zh-CN"/>
        </w:rPr>
        <w:t>内容。</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3"/>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二、合同工期</w:t>
      </w:r>
      <w:bookmarkEnd w:id="94"/>
      <w:bookmarkEnd w:id="95"/>
      <w:bookmarkEnd w:id="96"/>
      <w:bookmarkEnd w:id="97"/>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计划开工日期：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日。</w:t>
      </w:r>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计划竣工日期：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日。</w:t>
      </w:r>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工期总日历天数：</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天。工期总日历天数与根据前述计划开竣工日期计算的工期天数不一致的，以工期总日历天数为准。</w:t>
      </w:r>
    </w:p>
    <w:p>
      <w:pPr>
        <w:pStyle w:val="7"/>
        <w:spacing w:before="120" w:after="120" w:line="360" w:lineRule="auto"/>
        <w:rPr>
          <w:rFonts w:hint="eastAsia" w:ascii="仿宋" w:hAnsi="仿宋" w:eastAsia="仿宋" w:cs="仿宋"/>
          <w:sz w:val="28"/>
          <w:szCs w:val="28"/>
          <w:highlight w:val="none"/>
        </w:rPr>
      </w:pPr>
      <w:bookmarkStart w:id="98" w:name="_Toc351203483"/>
      <w:bookmarkStart w:id="99" w:name="_Toc501726565"/>
      <w:bookmarkStart w:id="100" w:name="_Toc25719"/>
      <w:bookmarkStart w:id="101" w:name="_Toc12874"/>
      <w:r>
        <w:rPr>
          <w:rFonts w:hint="eastAsia" w:ascii="仿宋" w:hAnsi="仿宋" w:eastAsia="仿宋" w:cs="仿宋"/>
          <w:sz w:val="28"/>
          <w:szCs w:val="28"/>
          <w:highlight w:val="none"/>
        </w:rPr>
        <w:t>三、质量标准</w:t>
      </w:r>
      <w:bookmarkEnd w:id="98"/>
      <w:bookmarkEnd w:id="99"/>
      <w:bookmarkEnd w:id="100"/>
      <w:bookmarkEnd w:id="101"/>
    </w:p>
    <w:p>
      <w:pPr>
        <w:spacing w:line="360" w:lineRule="auto"/>
        <w:ind w:firstLine="459"/>
        <w:rPr>
          <w:rFonts w:hint="eastAsia" w:ascii="仿宋" w:hAnsi="仿宋" w:eastAsia="仿宋" w:cs="仿宋"/>
          <w:sz w:val="28"/>
          <w:szCs w:val="28"/>
          <w:highlight w:val="none"/>
        </w:rPr>
      </w:pPr>
      <w:r>
        <w:rPr>
          <w:rFonts w:hint="eastAsia" w:ascii="仿宋" w:hAnsi="仿宋" w:eastAsia="仿宋" w:cs="仿宋"/>
          <w:sz w:val="28"/>
          <w:szCs w:val="28"/>
          <w:highlight w:val="none"/>
        </w:rPr>
        <w:t>工程质量符合</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val="en-US" w:eastAsia="zh-CN"/>
        </w:rPr>
        <w:t>合格</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标准。</w:t>
      </w:r>
    </w:p>
    <w:p>
      <w:pPr>
        <w:pStyle w:val="7"/>
        <w:spacing w:before="120" w:after="120" w:line="360" w:lineRule="auto"/>
        <w:rPr>
          <w:rFonts w:hint="eastAsia" w:ascii="仿宋" w:hAnsi="仿宋" w:eastAsia="仿宋" w:cs="仿宋"/>
          <w:sz w:val="28"/>
          <w:szCs w:val="28"/>
          <w:highlight w:val="none"/>
        </w:rPr>
      </w:pPr>
      <w:bookmarkStart w:id="102" w:name="_Toc351203484"/>
      <w:bookmarkStart w:id="103" w:name="_Toc30567"/>
      <w:bookmarkStart w:id="104" w:name="_Toc501726566"/>
      <w:r>
        <w:rPr>
          <w:rFonts w:hint="eastAsia" w:ascii="仿宋" w:hAnsi="仿宋" w:eastAsia="仿宋" w:cs="仿宋"/>
          <w:sz w:val="28"/>
          <w:szCs w:val="28"/>
          <w:highlight w:val="none"/>
        </w:rPr>
        <w:t>四、签约合同价与合同价格形式</w:t>
      </w:r>
      <w:bookmarkEnd w:id="102"/>
      <w:bookmarkEnd w:id="103"/>
      <w:bookmarkEnd w:id="104"/>
      <w:r>
        <w:rPr>
          <w:rFonts w:hint="eastAsia" w:ascii="仿宋" w:hAnsi="仿宋" w:eastAsia="仿宋" w:cs="仿宋"/>
          <w:sz w:val="28"/>
          <w:szCs w:val="28"/>
          <w:highlight w:val="none"/>
        </w:rPr>
        <w:tab/>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1.签约合同价为：</w:t>
      </w:r>
    </w:p>
    <w:p>
      <w:pPr>
        <w:spacing w:line="360" w:lineRule="auto"/>
        <w:ind w:firstLine="700" w:firstLineChars="2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其中：</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（1）安全文明施工费：</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（2）材料和工程设备暂估价金额：</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（3）专业工程暂估价金额：</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（4）暂列金额：</w:t>
      </w:r>
    </w:p>
    <w:p>
      <w:pPr>
        <w:spacing w:line="360" w:lineRule="auto"/>
        <w:ind w:firstLine="1260" w:firstLineChars="450"/>
        <w:rPr>
          <w:rFonts w:hint="eastAsia" w:ascii="仿宋" w:hAnsi="仿宋" w:eastAsia="仿宋" w:cs="仿宋"/>
          <w:sz w:val="28"/>
          <w:szCs w:val="28"/>
          <w:highlight w:val="none"/>
        </w:rPr>
      </w:pPr>
      <w:r>
        <w:rPr>
          <w:rFonts w:hint="eastAsia" w:ascii="仿宋" w:hAnsi="仿宋" w:eastAsia="仿宋" w:cs="仿宋"/>
          <w:sz w:val="28"/>
          <w:szCs w:val="28"/>
          <w:highlight w:val="none"/>
        </w:rPr>
        <w:t>人民币（大写）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2.合同价格形式：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pStyle w:val="7"/>
        <w:spacing w:before="120" w:after="120" w:line="360" w:lineRule="auto"/>
        <w:rPr>
          <w:rFonts w:hint="eastAsia" w:ascii="仿宋" w:hAnsi="仿宋" w:eastAsia="仿宋" w:cs="仿宋"/>
          <w:sz w:val="28"/>
          <w:szCs w:val="28"/>
          <w:highlight w:val="none"/>
          <w:lang w:eastAsia="zh-CN"/>
        </w:rPr>
      </w:pPr>
      <w:bookmarkStart w:id="105" w:name="_Toc28589"/>
      <w:bookmarkStart w:id="106" w:name="_Toc25648"/>
      <w:bookmarkStart w:id="107" w:name="_Toc351203485"/>
      <w:bookmarkStart w:id="108" w:name="_Toc501726567"/>
      <w:r>
        <w:rPr>
          <w:rFonts w:hint="eastAsia" w:ascii="仿宋" w:hAnsi="仿宋" w:eastAsia="仿宋" w:cs="仿宋"/>
          <w:sz w:val="28"/>
          <w:szCs w:val="28"/>
          <w:highlight w:val="none"/>
        </w:rPr>
        <w:t>五、</w:t>
      </w:r>
      <w:bookmarkEnd w:id="105"/>
      <w:bookmarkEnd w:id="106"/>
      <w:bookmarkEnd w:id="107"/>
      <w:bookmarkEnd w:id="108"/>
      <w:r>
        <w:rPr>
          <w:rFonts w:hint="eastAsia" w:ascii="仿宋" w:hAnsi="仿宋" w:eastAsia="仿宋" w:cs="仿宋"/>
          <w:sz w:val="28"/>
          <w:szCs w:val="28"/>
          <w:highlight w:val="none"/>
          <w:lang w:eastAsia="zh-CN"/>
        </w:rPr>
        <w:t>项目负责人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pStyle w:val="7"/>
        <w:spacing w:before="120" w:after="120" w:line="360" w:lineRule="auto"/>
        <w:rPr>
          <w:rFonts w:hint="eastAsia" w:ascii="仿宋" w:hAnsi="仿宋" w:eastAsia="仿宋" w:cs="仿宋"/>
          <w:sz w:val="28"/>
          <w:szCs w:val="28"/>
          <w:highlight w:val="none"/>
        </w:rPr>
      </w:pPr>
      <w:bookmarkStart w:id="109" w:name="_Toc18640"/>
      <w:bookmarkStart w:id="110" w:name="_Toc501726568"/>
      <w:bookmarkStart w:id="111" w:name="_Toc351203486"/>
      <w:bookmarkStart w:id="112" w:name="_Toc13226"/>
      <w:r>
        <w:rPr>
          <w:rFonts w:hint="eastAsia" w:ascii="仿宋" w:hAnsi="仿宋" w:eastAsia="仿宋" w:cs="仿宋"/>
          <w:sz w:val="28"/>
          <w:szCs w:val="28"/>
          <w:highlight w:val="none"/>
        </w:rPr>
        <w:t>六、合同文件构成</w:t>
      </w:r>
      <w:bookmarkEnd w:id="109"/>
      <w:bookmarkEnd w:id="110"/>
      <w:bookmarkEnd w:id="111"/>
      <w:bookmarkEnd w:id="112"/>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本协议书与下列文件一起构成合同文件：</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（1）成交通知书；</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（2）投标函及其附录； </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（3）专用合同条款及其附件；</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（4）通用合同条款；</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（5）技术标准和要求；</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（7）预算书；</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（8）其他合同文件。</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在合同订立及履行过程中形成的与合同有关的文件均构成合同文件组成部分。</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pPr>
        <w:pStyle w:val="7"/>
        <w:spacing w:before="120" w:after="120" w:line="360" w:lineRule="auto"/>
        <w:rPr>
          <w:rFonts w:hint="eastAsia" w:ascii="仿宋" w:hAnsi="仿宋" w:eastAsia="仿宋" w:cs="仿宋"/>
          <w:sz w:val="28"/>
          <w:szCs w:val="28"/>
          <w:highlight w:val="none"/>
        </w:rPr>
      </w:pPr>
      <w:bookmarkStart w:id="113" w:name="_Toc501726569"/>
      <w:bookmarkStart w:id="114" w:name="_Toc25884"/>
      <w:bookmarkStart w:id="115" w:name="_Toc14325"/>
      <w:bookmarkStart w:id="116" w:name="_Toc351203487"/>
      <w:r>
        <w:rPr>
          <w:rFonts w:hint="eastAsia" w:ascii="仿宋" w:hAnsi="仿宋" w:eastAsia="仿宋" w:cs="仿宋"/>
          <w:sz w:val="28"/>
          <w:szCs w:val="28"/>
          <w:highlight w:val="none"/>
        </w:rPr>
        <w:t>七、承诺</w:t>
      </w:r>
      <w:bookmarkEnd w:id="113"/>
      <w:bookmarkEnd w:id="114"/>
      <w:bookmarkEnd w:id="115"/>
      <w:bookmarkEnd w:id="116"/>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1.发包人承诺按照法律规定履行项目审批手续、筹集工程建设资金并按照合同约定的期限和方式支付合同价款。</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3.发包人和承包人通过招投标形式签订合同的，双方理解并承诺不再就同一工程另行签订与合同实质性内容相背离的协议。</w:t>
      </w:r>
    </w:p>
    <w:p>
      <w:pPr>
        <w:spacing w:line="360" w:lineRule="auto"/>
        <w:rPr>
          <w:rFonts w:hint="eastAsia" w:ascii="仿宋" w:hAnsi="仿宋" w:eastAsia="仿宋" w:cs="仿宋"/>
          <w:bCs/>
          <w:sz w:val="28"/>
          <w:szCs w:val="28"/>
          <w:highlight w:val="none"/>
        </w:rPr>
      </w:pPr>
      <w:bookmarkStart w:id="117" w:name="_Toc351203488"/>
      <w:r>
        <w:rPr>
          <w:rFonts w:hint="eastAsia" w:ascii="仿宋" w:hAnsi="仿宋" w:eastAsia="仿宋" w:cs="仿宋"/>
          <w:b/>
          <w:sz w:val="28"/>
          <w:szCs w:val="28"/>
          <w:highlight w:val="none"/>
        </w:rPr>
        <w:t>八、词语含义</w:t>
      </w:r>
      <w:bookmarkEnd w:id="117"/>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本协议书中词语含义与第二部分通用合同条款中赋予的含义相同。</w:t>
      </w:r>
    </w:p>
    <w:p>
      <w:pPr>
        <w:pStyle w:val="7"/>
        <w:spacing w:before="120" w:after="120" w:line="360" w:lineRule="auto"/>
        <w:rPr>
          <w:rFonts w:hint="eastAsia" w:ascii="仿宋" w:hAnsi="仿宋" w:eastAsia="仿宋" w:cs="仿宋"/>
          <w:sz w:val="28"/>
          <w:szCs w:val="28"/>
          <w:highlight w:val="none"/>
        </w:rPr>
      </w:pPr>
      <w:bookmarkStart w:id="118" w:name="_Toc351203489"/>
      <w:bookmarkStart w:id="119" w:name="_Toc501726570"/>
      <w:bookmarkStart w:id="120" w:name="_Toc31111"/>
      <w:bookmarkStart w:id="121" w:name="_Toc21591"/>
      <w:r>
        <w:rPr>
          <w:rFonts w:hint="eastAsia" w:ascii="仿宋" w:hAnsi="仿宋" w:eastAsia="仿宋" w:cs="仿宋"/>
          <w:sz w:val="28"/>
          <w:szCs w:val="28"/>
          <w:highlight w:val="none"/>
        </w:rPr>
        <w:t>九、签订时间</w:t>
      </w:r>
      <w:bookmarkEnd w:id="118"/>
      <w:bookmarkEnd w:id="119"/>
      <w:bookmarkEnd w:id="120"/>
      <w:bookmarkEnd w:id="121"/>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本合同于</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日签订。</w:t>
      </w:r>
    </w:p>
    <w:p>
      <w:pPr>
        <w:pStyle w:val="7"/>
        <w:spacing w:before="120" w:after="120" w:line="360" w:lineRule="auto"/>
        <w:rPr>
          <w:rFonts w:hint="eastAsia" w:ascii="仿宋" w:hAnsi="仿宋" w:eastAsia="仿宋" w:cs="仿宋"/>
          <w:sz w:val="28"/>
          <w:szCs w:val="28"/>
          <w:highlight w:val="none"/>
        </w:rPr>
      </w:pPr>
      <w:bookmarkStart w:id="122" w:name="_Toc4702"/>
      <w:bookmarkStart w:id="123" w:name="_Toc351203490"/>
      <w:bookmarkStart w:id="124" w:name="_Toc19393"/>
      <w:bookmarkStart w:id="125" w:name="_Toc501726571"/>
      <w:r>
        <w:rPr>
          <w:rFonts w:hint="eastAsia" w:ascii="仿宋" w:hAnsi="仿宋" w:eastAsia="仿宋" w:cs="仿宋"/>
          <w:sz w:val="28"/>
          <w:szCs w:val="28"/>
          <w:highlight w:val="none"/>
        </w:rPr>
        <w:t>十、签订地点</w:t>
      </w:r>
      <w:bookmarkEnd w:id="122"/>
      <w:bookmarkEnd w:id="123"/>
      <w:bookmarkEnd w:id="124"/>
      <w:bookmarkEnd w:id="125"/>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本合同在</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签订。</w:t>
      </w:r>
    </w:p>
    <w:p>
      <w:pPr>
        <w:pStyle w:val="7"/>
        <w:spacing w:before="120" w:after="120" w:line="360" w:lineRule="auto"/>
        <w:rPr>
          <w:rFonts w:hint="eastAsia" w:ascii="仿宋" w:hAnsi="仿宋" w:eastAsia="仿宋" w:cs="仿宋"/>
          <w:sz w:val="28"/>
          <w:szCs w:val="28"/>
          <w:highlight w:val="none"/>
        </w:rPr>
      </w:pPr>
      <w:bookmarkStart w:id="126" w:name="_Toc351203491"/>
      <w:bookmarkStart w:id="127" w:name="_Toc1139"/>
      <w:bookmarkStart w:id="128" w:name="_Toc12755"/>
      <w:bookmarkStart w:id="129" w:name="_Toc501726572"/>
      <w:r>
        <w:rPr>
          <w:rFonts w:hint="eastAsia" w:ascii="仿宋" w:hAnsi="仿宋" w:eastAsia="仿宋" w:cs="仿宋"/>
          <w:sz w:val="28"/>
          <w:szCs w:val="28"/>
          <w:highlight w:val="none"/>
        </w:rPr>
        <w:t>十一、补充协议</w:t>
      </w:r>
      <w:bookmarkEnd w:id="126"/>
      <w:bookmarkEnd w:id="127"/>
      <w:bookmarkEnd w:id="128"/>
      <w:bookmarkEnd w:id="129"/>
    </w:p>
    <w:p>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合同未尽事宜，合同当事人另行签订补充协议，补充协议是合同的组成部分。</w:t>
      </w:r>
    </w:p>
    <w:p>
      <w:pPr>
        <w:pStyle w:val="7"/>
        <w:spacing w:before="120" w:after="120" w:line="360" w:lineRule="auto"/>
        <w:rPr>
          <w:rFonts w:hint="eastAsia" w:ascii="仿宋" w:hAnsi="仿宋" w:eastAsia="仿宋" w:cs="仿宋"/>
          <w:sz w:val="28"/>
          <w:szCs w:val="28"/>
          <w:highlight w:val="none"/>
        </w:rPr>
      </w:pPr>
      <w:bookmarkStart w:id="130" w:name="_Toc501726573"/>
      <w:bookmarkStart w:id="131" w:name="_Toc12200"/>
      <w:bookmarkStart w:id="132" w:name="_Toc4295"/>
      <w:bookmarkStart w:id="133" w:name="_Toc351203492"/>
      <w:r>
        <w:rPr>
          <w:rFonts w:hint="eastAsia" w:ascii="仿宋" w:hAnsi="仿宋" w:eastAsia="仿宋" w:cs="仿宋"/>
          <w:sz w:val="28"/>
          <w:szCs w:val="28"/>
          <w:highlight w:val="none"/>
        </w:rPr>
        <w:t>十二、合同生效</w:t>
      </w:r>
      <w:bookmarkEnd w:id="130"/>
      <w:bookmarkEnd w:id="131"/>
      <w:bookmarkEnd w:id="132"/>
      <w:bookmarkEnd w:id="133"/>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本合同自</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生效。</w:t>
      </w:r>
    </w:p>
    <w:p>
      <w:pPr>
        <w:pStyle w:val="7"/>
        <w:spacing w:before="120" w:after="120" w:line="360" w:lineRule="auto"/>
        <w:rPr>
          <w:rFonts w:hint="eastAsia" w:ascii="仿宋" w:hAnsi="仿宋" w:eastAsia="仿宋" w:cs="仿宋"/>
          <w:sz w:val="28"/>
          <w:szCs w:val="28"/>
          <w:highlight w:val="none"/>
        </w:rPr>
      </w:pPr>
      <w:bookmarkStart w:id="134" w:name="_Toc7713"/>
      <w:bookmarkStart w:id="135" w:name="_Toc501726574"/>
      <w:bookmarkStart w:id="136" w:name="_Toc17372"/>
      <w:bookmarkStart w:id="137" w:name="_Toc351203493"/>
      <w:r>
        <w:rPr>
          <w:rFonts w:hint="eastAsia" w:ascii="仿宋" w:hAnsi="仿宋" w:eastAsia="仿宋" w:cs="仿宋"/>
          <w:sz w:val="28"/>
          <w:szCs w:val="28"/>
          <w:highlight w:val="none"/>
        </w:rPr>
        <w:t>十三、合同份数</w:t>
      </w:r>
      <w:bookmarkEnd w:id="134"/>
      <w:bookmarkEnd w:id="135"/>
      <w:bookmarkEnd w:id="136"/>
      <w:bookmarkEnd w:id="137"/>
    </w:p>
    <w:p>
      <w:pPr>
        <w:spacing w:line="360" w:lineRule="auto"/>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本合同一式</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份，均具有同等法律效力，发包人执</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份，承包人执</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份。</w:t>
      </w: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发包人：  (公章)             承包人：  (公章)</w:t>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360" w:lineRule="auto"/>
        <w:rPr>
          <w:rFonts w:hint="eastAsia" w:ascii="仿宋" w:hAnsi="仿宋" w:eastAsia="仿宋" w:cs="仿宋"/>
          <w:sz w:val="28"/>
          <w:szCs w:val="28"/>
          <w:highlight w:val="none"/>
          <w:u w:val="single"/>
        </w:rPr>
      </w:pPr>
    </w:p>
    <w:p>
      <w:pPr>
        <w:tabs>
          <w:tab w:val="left" w:pos="4410"/>
        </w:tabs>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组织机构代码：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地  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邮政编码：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法定代表人：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委托代理人：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电  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传  真：</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开户银行：</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账  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账  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p>
    <w:p>
      <w:pPr>
        <w:pStyle w:val="5"/>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sz w:val="28"/>
          <w:szCs w:val="28"/>
          <w:highlight w:val="none"/>
        </w:rPr>
      </w:pPr>
      <w:bookmarkStart w:id="138" w:name="_Toc9815"/>
      <w:bookmarkStart w:id="139" w:name="_Toc523"/>
      <w:bookmarkStart w:id="140" w:name="_Toc501726575"/>
      <w:bookmarkStart w:id="141" w:name="_Toc17591"/>
      <w:bookmarkStart w:id="142" w:name="_Toc11332"/>
      <w:r>
        <w:rPr>
          <w:rFonts w:hint="eastAsia" w:ascii="仿宋" w:hAnsi="仿宋" w:eastAsia="仿宋" w:cs="仿宋"/>
          <w:sz w:val="28"/>
          <w:szCs w:val="28"/>
          <w:highlight w:val="none"/>
        </w:rPr>
        <w:t>第二部分 通用合同条款</w:t>
      </w:r>
      <w:bookmarkEnd w:id="138"/>
      <w:bookmarkEnd w:id="139"/>
      <w:bookmarkEnd w:id="140"/>
      <w:bookmarkEnd w:id="141"/>
      <w:bookmarkEnd w:id="142"/>
    </w:p>
    <w:p>
      <w:pPr>
        <w:spacing w:line="360" w:lineRule="auto"/>
        <w:rPr>
          <w:rFonts w:hint="eastAsia" w:ascii="仿宋" w:hAnsi="仿宋" w:eastAsia="仿宋" w:cs="仿宋"/>
          <w:sz w:val="28"/>
          <w:szCs w:val="28"/>
          <w:highlight w:val="none"/>
        </w:rPr>
      </w:pPr>
    </w:p>
    <w:p>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（执行GF—2017—0201）</w:t>
      </w:r>
    </w:p>
    <w:p>
      <w:pPr>
        <w:pStyle w:val="5"/>
        <w:keepNext/>
        <w:keepLines/>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r>
      <w:bookmarkStart w:id="143" w:name="_Toc7470"/>
      <w:bookmarkStart w:id="144" w:name="_Toc19697"/>
      <w:bookmarkStart w:id="145" w:name="_Toc29439"/>
      <w:bookmarkStart w:id="146" w:name="_Toc12607"/>
      <w:bookmarkStart w:id="147" w:name="_Toc501726576"/>
      <w:r>
        <w:rPr>
          <w:rFonts w:hint="eastAsia" w:ascii="仿宋" w:hAnsi="仿宋" w:eastAsia="仿宋" w:cs="仿宋"/>
          <w:sz w:val="28"/>
          <w:szCs w:val="28"/>
          <w:highlight w:val="none"/>
        </w:rPr>
        <w:t>第三部分 专用合同条款</w:t>
      </w:r>
      <w:bookmarkEnd w:id="143"/>
      <w:bookmarkEnd w:id="144"/>
      <w:bookmarkEnd w:id="145"/>
      <w:bookmarkEnd w:id="146"/>
      <w:bookmarkEnd w:id="147"/>
    </w:p>
    <w:p>
      <w:pPr>
        <w:spacing w:before="120" w:after="120" w:line="360" w:lineRule="auto"/>
        <w:rPr>
          <w:rFonts w:hint="eastAsia" w:ascii="仿宋" w:hAnsi="仿宋" w:eastAsia="仿宋" w:cs="仿宋"/>
          <w:b/>
          <w:sz w:val="28"/>
          <w:szCs w:val="28"/>
          <w:highlight w:val="none"/>
        </w:rPr>
      </w:pPr>
      <w:bookmarkStart w:id="148" w:name="_Toc351203633"/>
      <w:bookmarkStart w:id="149" w:name="_Toc501726577"/>
      <w:r>
        <w:rPr>
          <w:rFonts w:hint="eastAsia" w:ascii="仿宋" w:hAnsi="仿宋" w:eastAsia="仿宋" w:cs="仿宋"/>
          <w:b/>
          <w:sz w:val="28"/>
          <w:szCs w:val="28"/>
          <w:highlight w:val="none"/>
        </w:rPr>
        <w:t>1</w:t>
      </w:r>
      <w:bookmarkStart w:id="150" w:name="_Toc296891196"/>
      <w:bookmarkStart w:id="151" w:name="_Toc296890984"/>
      <w:bookmarkStart w:id="152" w:name="_Toc297048342"/>
      <w:bookmarkStart w:id="153" w:name="_Toc292559866"/>
      <w:bookmarkStart w:id="154" w:name="_Toc297120456"/>
      <w:bookmarkStart w:id="155" w:name="_Toc296347155"/>
      <w:bookmarkStart w:id="156" w:name="_Toc296944495"/>
      <w:bookmarkStart w:id="157" w:name="_Toc296346657"/>
      <w:bookmarkStart w:id="158" w:name="_Toc292559361"/>
      <w:bookmarkStart w:id="159" w:name="_Toc296503156"/>
      <w:r>
        <w:rPr>
          <w:rFonts w:hint="eastAsia" w:ascii="仿宋" w:hAnsi="仿宋" w:eastAsia="仿宋" w:cs="仿宋"/>
          <w:b/>
          <w:sz w:val="28"/>
          <w:szCs w:val="28"/>
          <w:highlight w:val="none"/>
        </w:rPr>
        <w:t>. 一般约定</w:t>
      </w:r>
      <w:bookmarkEnd w:id="148"/>
      <w:bookmarkEnd w:id="149"/>
    </w:p>
    <w:bookmarkEnd w:id="150"/>
    <w:bookmarkEnd w:id="151"/>
    <w:bookmarkEnd w:id="152"/>
    <w:bookmarkEnd w:id="153"/>
    <w:bookmarkEnd w:id="154"/>
    <w:bookmarkEnd w:id="155"/>
    <w:bookmarkEnd w:id="156"/>
    <w:bookmarkEnd w:id="157"/>
    <w:bookmarkEnd w:id="158"/>
    <w:bookmarkEnd w:id="159"/>
    <w:p>
      <w:pPr>
        <w:spacing w:after="120" w:line="360" w:lineRule="auto"/>
        <w:ind w:firstLine="560" w:firstLineChars="200"/>
        <w:rPr>
          <w:rFonts w:hint="eastAsia" w:ascii="仿宋" w:hAnsi="仿宋" w:eastAsia="仿宋" w:cs="仿宋"/>
          <w:sz w:val="28"/>
          <w:szCs w:val="28"/>
          <w:highlight w:val="none"/>
        </w:rPr>
      </w:pPr>
      <w:bookmarkStart w:id="160" w:name="_Toc501726578"/>
      <w:r>
        <w:rPr>
          <w:rFonts w:hint="eastAsia" w:ascii="仿宋" w:hAnsi="仿宋" w:eastAsia="仿宋" w:cs="仿宋"/>
          <w:sz w:val="28"/>
          <w:szCs w:val="28"/>
          <w:highlight w:val="none"/>
        </w:rPr>
        <w:t>1.1 词语定义</w:t>
      </w:r>
      <w:bookmarkEnd w:id="160"/>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1.1.1合同</w:t>
      </w:r>
    </w:p>
    <w:p>
      <w:pPr>
        <w:spacing w:line="360" w:lineRule="auto"/>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1.1.1.10其他合同文件包括：</w:t>
      </w:r>
      <w:r>
        <w:rPr>
          <w:rFonts w:hint="eastAsia" w:ascii="仿宋" w:hAnsi="仿宋" w:eastAsia="仿宋" w:cs="仿宋"/>
          <w:sz w:val="28"/>
          <w:szCs w:val="28"/>
          <w:highlight w:val="none"/>
          <w:u w:val="single"/>
        </w:rPr>
        <w:t xml:space="preserve">                                       。</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 合同当事人及其他相关方</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1.1.2.4监理人：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1.1.2.5 设计人：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 工程和设备</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1.1.3.7 作为施工现场组成部分的其他场所包括：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1.1.3.9 永久占地包括：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1.1.3.10 临时占地包括：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 </w:t>
      </w:r>
    </w:p>
    <w:p>
      <w:pPr>
        <w:autoSpaceDE w:val="0"/>
        <w:autoSpaceDN w:val="0"/>
        <w:adjustRightInd w:val="0"/>
        <w:spacing w:line="360" w:lineRule="auto"/>
        <w:ind w:left="795" w:leftChars="28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适用于合同的其他规范性文件：</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 标准和规范</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1.4.1适用于工程的标准规范包括：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kern w:val="0"/>
          <w:sz w:val="28"/>
          <w:szCs w:val="28"/>
          <w:highlight w:val="none"/>
        </w:rPr>
      </w:pPr>
      <w:bookmarkStart w:id="161" w:name="_Toc501726579"/>
      <w:r>
        <w:rPr>
          <w:rFonts w:hint="eastAsia" w:ascii="仿宋" w:hAnsi="仿宋" w:eastAsia="仿宋" w:cs="仿宋"/>
          <w:kern w:val="0"/>
          <w:sz w:val="28"/>
          <w:szCs w:val="28"/>
          <w:highlight w:val="none"/>
        </w:rPr>
        <w:t>1.4.2 发包人提供国外标准、规范的名称：</w:t>
      </w:r>
      <w:bookmarkEnd w:id="161"/>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发包人提供国外标准、规范的份数：</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发包人提供国外标准、规范的名称：</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left="795"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1.4.3发包人对工程的技术标准和功能要求的特殊要求：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2" w:name="_Toc501726580"/>
      <w:r>
        <w:rPr>
          <w:rFonts w:hint="eastAsia" w:ascii="仿宋" w:hAnsi="仿宋" w:eastAsia="仿宋" w:cs="仿宋"/>
          <w:sz w:val="28"/>
          <w:szCs w:val="28"/>
          <w:highlight w:val="none"/>
        </w:rPr>
        <w:t>1.5 合同文件的优先顺序</w:t>
      </w:r>
      <w:bookmarkEnd w:id="162"/>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合同文件组成及优先顺序为：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3" w:name="_Toc501726581"/>
      <w:r>
        <w:rPr>
          <w:rFonts w:hint="eastAsia" w:ascii="仿宋" w:hAnsi="仿宋" w:eastAsia="仿宋" w:cs="仿宋"/>
          <w:sz w:val="28"/>
          <w:szCs w:val="28"/>
          <w:highlight w:val="none"/>
        </w:rPr>
        <w:t xml:space="preserve">1.6 </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和承包人文件</w:t>
      </w:r>
      <w:bookmarkEnd w:id="163"/>
      <w:r>
        <w:rPr>
          <w:rFonts w:hint="eastAsia" w:ascii="仿宋" w:hAnsi="仿宋" w:eastAsia="仿宋" w:cs="仿宋"/>
          <w:sz w:val="28"/>
          <w:szCs w:val="28"/>
          <w:highlight w:val="none"/>
        </w:rPr>
        <w:tab/>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 </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的提供</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的期限：</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的数量：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的内容：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1.6.4 承包人文件</w:t>
      </w:r>
    </w:p>
    <w:p>
      <w:pPr>
        <w:spacing w:line="360" w:lineRule="auto"/>
        <w:ind w:left="795" w:leftChars="284"/>
        <w:jc w:val="left"/>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需要由承包人提供的文件，包括：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p>
    <w:p>
      <w:pPr>
        <w:spacing w:line="360" w:lineRule="auto"/>
        <w:ind w:left="795" w:leftChars="284"/>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承包人提供的文件的期限为：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承包人提供的文件的数量为：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承包人提供的文件的形式为：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发包人审批承包人文件的期限：</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1.6.5 现场</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准备</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关于现场</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准备的约定：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4" w:name="_Toc501726582"/>
      <w:r>
        <w:rPr>
          <w:rFonts w:hint="eastAsia" w:ascii="仿宋" w:hAnsi="仿宋" w:eastAsia="仿宋" w:cs="仿宋"/>
          <w:sz w:val="28"/>
          <w:szCs w:val="28"/>
          <w:highlight w:val="none"/>
        </w:rPr>
        <w:t>1.7 联络</w:t>
      </w:r>
      <w:bookmarkEnd w:id="164"/>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1.7.1发包人和承包人应当在</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天内将与合同有关的通知、批准、证明、证书、指示、指令、要求、请求、同意、意见、确定和决定等书面函件送达对方当事人。</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1.7.2 发包人接收文件的地点：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发包人指定的接收人为：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承包人接收文件的地点：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承包人指定的接收人为：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监理人接收文件的地点：</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监理人指定的接收人为：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65" w:name="_Toc501726583"/>
      <w:r>
        <w:rPr>
          <w:rFonts w:hint="eastAsia" w:ascii="仿宋" w:hAnsi="仿宋" w:eastAsia="仿宋" w:cs="仿宋"/>
          <w:sz w:val="28"/>
          <w:szCs w:val="28"/>
          <w:highlight w:val="none"/>
        </w:rPr>
        <w:t>1.10 交通运输</w:t>
      </w:r>
      <w:bookmarkEnd w:id="165"/>
    </w:p>
    <w:p>
      <w:pPr>
        <w:spacing w:line="360" w:lineRule="auto"/>
        <w:ind w:firstLine="560" w:firstLineChars="200"/>
        <w:rPr>
          <w:rFonts w:hint="eastAsia" w:ascii="仿宋" w:hAnsi="仿宋" w:eastAsia="仿宋" w:cs="仿宋"/>
          <w:sz w:val="28"/>
          <w:szCs w:val="28"/>
          <w:highlight w:val="none"/>
        </w:rPr>
      </w:pPr>
      <w:bookmarkStart w:id="166" w:name="_Toc501726584"/>
      <w:r>
        <w:rPr>
          <w:rFonts w:hint="eastAsia" w:ascii="仿宋" w:hAnsi="仿宋" w:eastAsia="仿宋" w:cs="仿宋"/>
          <w:sz w:val="28"/>
          <w:szCs w:val="28"/>
          <w:highlight w:val="none"/>
        </w:rPr>
        <w:t>1</w:t>
      </w:r>
      <w:bookmarkStart w:id="167" w:name="_Toc318581155"/>
      <w:bookmarkStart w:id="168" w:name="_Toc303539100"/>
      <w:bookmarkStart w:id="169" w:name="_Toc300934943"/>
      <w:bookmarkStart w:id="170" w:name="_Toc304295521"/>
      <w:bookmarkStart w:id="171" w:name="_Toc312677986"/>
      <w:r>
        <w:rPr>
          <w:rFonts w:hint="eastAsia" w:ascii="仿宋" w:hAnsi="仿宋" w:eastAsia="仿宋" w:cs="仿宋"/>
          <w:sz w:val="28"/>
          <w:szCs w:val="28"/>
          <w:highlight w:val="none"/>
        </w:rPr>
        <w:t>.10.1 出入现场的权利</w:t>
      </w:r>
      <w:bookmarkEnd w:id="166"/>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关于出入现场的权利的约定：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bookmarkEnd w:id="167"/>
    <w:bookmarkEnd w:id="168"/>
    <w:bookmarkEnd w:id="169"/>
    <w:bookmarkEnd w:id="170"/>
    <w:bookmarkEnd w:id="171"/>
    <w:p>
      <w:pPr>
        <w:spacing w:line="360" w:lineRule="auto"/>
        <w:ind w:firstLine="560" w:firstLineChars="200"/>
        <w:jc w:val="left"/>
        <w:rPr>
          <w:rFonts w:hint="eastAsia" w:ascii="仿宋" w:hAnsi="仿宋" w:eastAsia="仿宋" w:cs="仿宋"/>
          <w:sz w:val="28"/>
          <w:szCs w:val="28"/>
          <w:highlight w:val="none"/>
        </w:rPr>
      </w:pPr>
      <w:bookmarkStart w:id="172" w:name="_Toc501726585"/>
      <w:r>
        <w:rPr>
          <w:rFonts w:hint="eastAsia" w:ascii="仿宋" w:hAnsi="仿宋" w:eastAsia="仿宋" w:cs="仿宋"/>
          <w:sz w:val="28"/>
          <w:szCs w:val="28"/>
          <w:highlight w:val="none"/>
        </w:rPr>
        <w:t>1</w:t>
      </w:r>
      <w:bookmarkStart w:id="173" w:name="_Toc318581156"/>
      <w:bookmarkStart w:id="174" w:name="_Toc300934944"/>
      <w:bookmarkStart w:id="175" w:name="_Toc304295522"/>
      <w:bookmarkStart w:id="176" w:name="_Toc312677987"/>
      <w:bookmarkStart w:id="177" w:name="_Toc303539101"/>
      <w:r>
        <w:rPr>
          <w:rFonts w:hint="eastAsia" w:ascii="仿宋" w:hAnsi="仿宋" w:eastAsia="仿宋" w:cs="仿宋"/>
          <w:sz w:val="28"/>
          <w:szCs w:val="28"/>
          <w:highlight w:val="none"/>
        </w:rPr>
        <w:t>.10.3 场内交通</w:t>
      </w:r>
      <w:bookmarkEnd w:id="172"/>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关于场外交通和场内交通的边界的约定：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关于发包人向承包人免费提供满足工程施工需要的场内道路和交通设施的约定：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bookmarkEnd w:id="173"/>
      <w:bookmarkEnd w:id="174"/>
      <w:bookmarkEnd w:id="175"/>
      <w:bookmarkEnd w:id="176"/>
      <w:bookmarkEnd w:id="177"/>
      <w:r>
        <w:rPr>
          <w:rFonts w:hint="eastAsia" w:ascii="仿宋" w:hAnsi="仿宋" w:eastAsia="仿宋" w:cs="仿宋"/>
          <w:sz w:val="28"/>
          <w:szCs w:val="28"/>
          <w:highlight w:val="none"/>
        </w:rPr>
        <w:t xml:space="preserve">  </w:t>
      </w:r>
      <w:bookmarkStart w:id="178" w:name="_Toc318581157"/>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1.10.4超大件和超重件的运输</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运输超大件或超重件所需的道路和桥梁临时加固改造费用和其他有关费用由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承担。</w:t>
      </w:r>
    </w:p>
    <w:bookmarkEnd w:id="178"/>
    <w:p>
      <w:pPr>
        <w:spacing w:after="120" w:line="360" w:lineRule="auto"/>
        <w:ind w:firstLine="560" w:firstLineChars="200"/>
        <w:rPr>
          <w:rFonts w:hint="eastAsia" w:ascii="仿宋" w:hAnsi="仿宋" w:eastAsia="仿宋" w:cs="仿宋"/>
          <w:sz w:val="28"/>
          <w:szCs w:val="28"/>
          <w:highlight w:val="none"/>
        </w:rPr>
      </w:pPr>
      <w:bookmarkStart w:id="179" w:name="_Toc501726586"/>
      <w:r>
        <w:rPr>
          <w:rFonts w:hint="eastAsia" w:ascii="仿宋" w:hAnsi="仿宋" w:eastAsia="仿宋" w:cs="仿宋"/>
          <w:sz w:val="28"/>
          <w:szCs w:val="28"/>
          <w:highlight w:val="none"/>
        </w:rPr>
        <w:t>1.11 知识产权</w:t>
      </w:r>
      <w:bookmarkEnd w:id="179"/>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1.11.1关于发包人提供给承包人的</w:t>
      </w:r>
      <w:r>
        <w:rPr>
          <w:rFonts w:hint="eastAsia" w:ascii="仿宋" w:hAnsi="仿宋" w:eastAsia="仿宋" w:cs="仿宋"/>
          <w:sz w:val="28"/>
          <w:szCs w:val="28"/>
          <w:highlight w:val="none"/>
          <w:lang w:eastAsia="zh-CN"/>
        </w:rPr>
        <w:t>图纸</w:t>
      </w:r>
      <w:r>
        <w:rPr>
          <w:rFonts w:hint="eastAsia" w:ascii="仿宋" w:hAnsi="仿宋" w:eastAsia="仿宋" w:cs="仿宋"/>
          <w:sz w:val="28"/>
          <w:szCs w:val="28"/>
          <w:highlight w:val="none"/>
        </w:rPr>
        <w:t>、发包人为实施工程自行编制或委托编制的技术规范以及反映发包人关于合同要求或其他类似性质的文件的著作权的归属：</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关于发包人提供的上述文件的使用限制的要求：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bookmarkStart w:id="180" w:name="_Toc501726587"/>
      <w:r>
        <w:rPr>
          <w:rFonts w:hint="eastAsia" w:ascii="仿宋" w:hAnsi="仿宋" w:eastAsia="仿宋" w:cs="仿宋"/>
          <w:sz w:val="28"/>
          <w:szCs w:val="28"/>
          <w:highlight w:val="none"/>
        </w:rPr>
        <w:t>1.11.2 关于承包人为实施工程所编制文件的著作权的归属：</w:t>
      </w:r>
      <w:bookmarkEnd w:id="180"/>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关于承包人提供的上述文件的使用限制的要求：</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kern w:val="0"/>
          <w:sz w:val="28"/>
          <w:szCs w:val="28"/>
          <w:highlight w:val="none"/>
        </w:rPr>
      </w:pPr>
      <w:bookmarkStart w:id="181" w:name="_Toc501726588"/>
      <w:r>
        <w:rPr>
          <w:rFonts w:hint="eastAsia" w:ascii="仿宋" w:hAnsi="仿宋" w:eastAsia="仿宋" w:cs="仿宋"/>
          <w:sz w:val="28"/>
          <w:szCs w:val="28"/>
          <w:highlight w:val="none"/>
        </w:rPr>
        <w:t>1.11.4 承包人在施工过程中所采用的专利、专有技术、技术秘密的使用费的承担方式：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bookmarkEnd w:id="181"/>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1.13技术要求错误的修正</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出现技术要求错误时，是否调整合同价格：</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允许调整合同价格的工程量偏差范围：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182" w:name="_Toc351203634"/>
      <w:bookmarkStart w:id="183" w:name="_Toc501726589"/>
      <w:r>
        <w:rPr>
          <w:rFonts w:hint="eastAsia" w:ascii="仿宋" w:hAnsi="仿宋" w:eastAsia="仿宋" w:cs="仿宋"/>
          <w:b/>
          <w:sz w:val="28"/>
          <w:szCs w:val="28"/>
          <w:highlight w:val="none"/>
        </w:rPr>
        <w:t>2</w:t>
      </w:r>
      <w:bookmarkStart w:id="184" w:name="_Toc296347156"/>
      <w:bookmarkStart w:id="185" w:name="_Toc296944496"/>
      <w:bookmarkStart w:id="186" w:name="_Toc296503157"/>
      <w:bookmarkStart w:id="187" w:name="_Toc296891197"/>
      <w:bookmarkStart w:id="188" w:name="_Toc296346658"/>
      <w:bookmarkStart w:id="189" w:name="_Toc297120457"/>
      <w:bookmarkStart w:id="190" w:name="_Toc292559362"/>
      <w:bookmarkStart w:id="191" w:name="_Toc296890985"/>
      <w:bookmarkStart w:id="192" w:name="_Toc297048343"/>
      <w:bookmarkStart w:id="193" w:name="_Toc292559867"/>
      <w:r>
        <w:rPr>
          <w:rFonts w:hint="eastAsia" w:ascii="仿宋" w:hAnsi="仿宋" w:eastAsia="仿宋" w:cs="仿宋"/>
          <w:b/>
          <w:sz w:val="28"/>
          <w:szCs w:val="28"/>
          <w:highlight w:val="none"/>
        </w:rPr>
        <w:t>. 发包人</w:t>
      </w:r>
      <w:bookmarkEnd w:id="182"/>
      <w:bookmarkEnd w:id="183"/>
    </w:p>
    <w:bookmarkEnd w:id="184"/>
    <w:bookmarkEnd w:id="185"/>
    <w:bookmarkEnd w:id="186"/>
    <w:bookmarkEnd w:id="187"/>
    <w:bookmarkEnd w:id="188"/>
    <w:bookmarkEnd w:id="189"/>
    <w:bookmarkEnd w:id="190"/>
    <w:bookmarkEnd w:id="191"/>
    <w:bookmarkEnd w:id="192"/>
    <w:bookmarkEnd w:id="193"/>
    <w:p>
      <w:pPr>
        <w:spacing w:after="120" w:line="360" w:lineRule="auto"/>
        <w:ind w:firstLine="560" w:firstLineChars="200"/>
        <w:rPr>
          <w:rFonts w:hint="eastAsia" w:ascii="仿宋" w:hAnsi="仿宋" w:eastAsia="仿宋" w:cs="仿宋"/>
          <w:sz w:val="28"/>
          <w:szCs w:val="28"/>
          <w:highlight w:val="none"/>
        </w:rPr>
      </w:pPr>
      <w:bookmarkStart w:id="194" w:name="_Toc501726590"/>
      <w:r>
        <w:rPr>
          <w:rFonts w:hint="eastAsia" w:ascii="仿宋" w:hAnsi="仿宋" w:eastAsia="仿宋" w:cs="仿宋"/>
          <w:sz w:val="28"/>
          <w:szCs w:val="28"/>
          <w:highlight w:val="none"/>
        </w:rPr>
        <w:t>2.2 发包人代表</w:t>
      </w:r>
      <w:bookmarkEnd w:id="194"/>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发包人代表：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发包人对发包人代表的授权范围如下：</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95" w:name="_Toc501726591"/>
      <w:r>
        <w:rPr>
          <w:rFonts w:hint="eastAsia" w:ascii="仿宋" w:hAnsi="仿宋" w:eastAsia="仿宋" w:cs="仿宋"/>
          <w:sz w:val="28"/>
          <w:szCs w:val="28"/>
          <w:highlight w:val="none"/>
        </w:rPr>
        <w:t>2.4 施工现场、施工条件和基础资料的提供</w:t>
      </w:r>
      <w:bookmarkEnd w:id="195"/>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2.4.1 提供施工现场</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关于发包人移交施工现场的期限要求：</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2.4.2 提供施工条件</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关于发包人应负责提供施工所需要的条件，包括：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196" w:name="_Toc501726592"/>
      <w:r>
        <w:rPr>
          <w:rFonts w:hint="eastAsia" w:ascii="仿宋" w:hAnsi="仿宋" w:eastAsia="仿宋" w:cs="仿宋"/>
          <w:sz w:val="28"/>
          <w:szCs w:val="28"/>
          <w:highlight w:val="none"/>
        </w:rPr>
        <w:t>2.5 资金来源证明及支付担保</w:t>
      </w:r>
      <w:bookmarkEnd w:id="196"/>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发包人提供资金来源证明的期限要求：</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发包人是否提供支付担保：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发包人提供支付担保的形式：</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197" w:name="_Toc351203635"/>
      <w:bookmarkStart w:id="198" w:name="_Toc501726593"/>
      <w:r>
        <w:rPr>
          <w:rFonts w:hint="eastAsia" w:ascii="仿宋" w:hAnsi="仿宋" w:eastAsia="仿宋" w:cs="仿宋"/>
          <w:b/>
          <w:sz w:val="28"/>
          <w:szCs w:val="28"/>
          <w:highlight w:val="none"/>
        </w:rPr>
        <w:t>3</w:t>
      </w:r>
      <w:bookmarkStart w:id="199" w:name="_Toc296503158"/>
      <w:bookmarkStart w:id="200" w:name="_Toc296944497"/>
      <w:bookmarkStart w:id="201" w:name="_Toc296891198"/>
      <w:bookmarkStart w:id="202" w:name="_Toc297048344"/>
      <w:bookmarkStart w:id="203" w:name="_Toc292559363"/>
      <w:bookmarkStart w:id="204" w:name="_Toc292559868"/>
      <w:bookmarkStart w:id="205" w:name="_Toc296890986"/>
      <w:bookmarkStart w:id="206" w:name="_Toc296346659"/>
      <w:bookmarkStart w:id="207" w:name="_Toc297120458"/>
      <w:bookmarkStart w:id="208" w:name="_Toc296347157"/>
      <w:r>
        <w:rPr>
          <w:rFonts w:hint="eastAsia" w:ascii="仿宋" w:hAnsi="仿宋" w:eastAsia="仿宋" w:cs="仿宋"/>
          <w:b/>
          <w:sz w:val="28"/>
          <w:szCs w:val="28"/>
          <w:highlight w:val="none"/>
        </w:rPr>
        <w:t>. 承包人</w:t>
      </w:r>
      <w:bookmarkEnd w:id="197"/>
      <w:bookmarkEnd w:id="198"/>
    </w:p>
    <w:bookmarkEnd w:id="199"/>
    <w:bookmarkEnd w:id="200"/>
    <w:bookmarkEnd w:id="201"/>
    <w:bookmarkEnd w:id="202"/>
    <w:bookmarkEnd w:id="203"/>
    <w:bookmarkEnd w:id="204"/>
    <w:bookmarkEnd w:id="205"/>
    <w:bookmarkEnd w:id="206"/>
    <w:bookmarkEnd w:id="207"/>
    <w:bookmarkEnd w:id="208"/>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承包人的一般义务</w:t>
      </w:r>
    </w:p>
    <w:p>
      <w:pPr>
        <w:spacing w:line="360" w:lineRule="auto"/>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（9）</w:t>
      </w:r>
      <w:r>
        <w:rPr>
          <w:rFonts w:hint="eastAsia" w:ascii="仿宋" w:hAnsi="仿宋" w:eastAsia="仿宋" w:cs="仿宋"/>
          <w:sz w:val="28"/>
          <w:szCs w:val="28"/>
          <w:highlight w:val="none"/>
        </w:rPr>
        <w:t>承包人提交的竣工资料的内容：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承包人需要提交的竣工资料套数：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left="851" w:leftChars="30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承包人提交的竣工资料的费用承担：</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left="851" w:leftChars="30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承包人提交的竣工资料移交时间：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承包人提交的竣工资料形式要求：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（10）承包人应履行的其他义务：</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3.2 </w:t>
      </w:r>
      <w:r>
        <w:rPr>
          <w:rFonts w:hint="eastAsia" w:ascii="仿宋" w:hAnsi="仿宋" w:eastAsia="仿宋" w:cs="仿宋"/>
          <w:sz w:val="28"/>
          <w:szCs w:val="28"/>
          <w:highlight w:val="none"/>
          <w:lang w:eastAsia="zh-CN"/>
        </w:rPr>
        <w:t>项目负责人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 xml:space="preserve">3.2.1 </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建造师执业资格等级：</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建造师注册证书号：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建造师执业印章号：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安全生产考核合格证书号：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承包人对</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的授权范围如下：</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rPr>
      </w:pPr>
      <w:r>
        <w:rPr>
          <w:rFonts w:hint="eastAsia" w:ascii="仿宋" w:hAnsi="仿宋" w:eastAsia="仿宋" w:cs="仿宋"/>
          <w:kern w:val="0"/>
          <w:sz w:val="28"/>
          <w:szCs w:val="28"/>
          <w:highlight w:val="none"/>
        </w:rPr>
        <w:t>关于</w:t>
      </w:r>
      <w:r>
        <w:rPr>
          <w:rFonts w:hint="eastAsia" w:ascii="仿宋" w:hAnsi="仿宋" w:eastAsia="仿宋" w:cs="仿宋"/>
          <w:kern w:val="0"/>
          <w:sz w:val="28"/>
          <w:szCs w:val="28"/>
          <w:highlight w:val="none"/>
          <w:lang w:eastAsia="zh-CN"/>
        </w:rPr>
        <w:t>项目负责人</w:t>
      </w:r>
      <w:r>
        <w:rPr>
          <w:rFonts w:hint="eastAsia" w:ascii="仿宋" w:hAnsi="仿宋" w:eastAsia="仿宋" w:cs="仿宋"/>
          <w:kern w:val="0"/>
          <w:sz w:val="28"/>
          <w:szCs w:val="28"/>
          <w:highlight w:val="none"/>
        </w:rPr>
        <w:t>每月在施工现场的时</w:t>
      </w:r>
      <w:r>
        <w:rPr>
          <w:rFonts w:hint="eastAsia"/>
        </w:rPr>
        <w:t>间要求：</w:t>
      </w:r>
      <w:r>
        <w:rPr>
          <w:rFonts w:hint="eastAsia"/>
          <w:u w:val="single"/>
        </w:rPr>
        <w:t xml:space="preserve">                  </w:t>
      </w:r>
      <w:r>
        <w:rPr>
          <w:rFonts w:hint="eastAsia"/>
          <w:u w:val="single"/>
          <w:lang w:eastAsia="zh-CN"/>
        </w:rPr>
        <w:t xml:space="preserve"> </w:t>
      </w:r>
      <w:r>
        <w:rPr>
          <w:rFonts w:hint="eastAsia"/>
          <w:lang w:eastAsia="zh-CN"/>
        </w:rPr>
        <w:t xml:space="preserve"> </w:t>
      </w:r>
      <w:r>
        <w:rPr>
          <w:rFonts w:hint="eastAsia"/>
        </w:rPr>
        <w:t>。</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承包人未提交劳动合同，以及没有为</w:t>
      </w:r>
      <w:r>
        <w:rPr>
          <w:rFonts w:hint="eastAsia" w:ascii="仿宋" w:hAnsi="仿宋" w:eastAsia="仿宋" w:cs="仿宋"/>
          <w:kern w:val="0"/>
          <w:sz w:val="28"/>
          <w:szCs w:val="28"/>
          <w:highlight w:val="none"/>
          <w:lang w:eastAsia="zh-CN"/>
        </w:rPr>
        <w:t>项目负责人</w:t>
      </w:r>
      <w:r>
        <w:rPr>
          <w:rFonts w:hint="eastAsia" w:ascii="仿宋" w:hAnsi="仿宋" w:eastAsia="仿宋" w:cs="仿宋"/>
          <w:kern w:val="0"/>
          <w:sz w:val="28"/>
          <w:szCs w:val="28"/>
          <w:highlight w:val="none"/>
        </w:rPr>
        <w:t>缴纳社会保险证明的违约责任：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lang w:eastAsia="zh-CN"/>
        </w:rPr>
        <w:t>项目负责人</w:t>
      </w:r>
      <w:r>
        <w:rPr>
          <w:rFonts w:hint="eastAsia" w:ascii="仿宋" w:hAnsi="仿宋" w:eastAsia="仿宋" w:cs="仿宋"/>
          <w:kern w:val="0"/>
          <w:sz w:val="28"/>
          <w:szCs w:val="28"/>
          <w:highlight w:val="none"/>
        </w:rPr>
        <w:t>未经批准，擅自离开施工现场的违约责任：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3.2.3 承包人擅自更换</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bookmarkStart w:id="209" w:name="_Toc501726594"/>
      <w:r>
        <w:rPr>
          <w:rFonts w:hint="eastAsia" w:ascii="仿宋" w:hAnsi="仿宋" w:eastAsia="仿宋" w:cs="仿宋"/>
          <w:sz w:val="28"/>
          <w:szCs w:val="28"/>
          <w:highlight w:val="none"/>
        </w:rPr>
        <w:t>3.2.4 承包人无正当理由拒绝更换</w:t>
      </w:r>
      <w:r>
        <w:rPr>
          <w:rFonts w:hint="eastAsia" w:ascii="仿宋" w:hAnsi="仿宋" w:eastAsia="仿宋" w:cs="仿宋"/>
          <w:sz w:val="28"/>
          <w:szCs w:val="28"/>
          <w:highlight w:val="none"/>
          <w:lang w:eastAsia="zh-CN"/>
        </w:rPr>
        <w:t>项目负责人</w:t>
      </w:r>
      <w:r>
        <w:rPr>
          <w:rFonts w:hint="eastAsia" w:ascii="仿宋" w:hAnsi="仿宋" w:eastAsia="仿宋" w:cs="仿宋"/>
          <w:sz w:val="28"/>
          <w:szCs w:val="28"/>
          <w:highlight w:val="none"/>
        </w:rPr>
        <w:t>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bookmarkEnd w:id="209"/>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 承包人人员</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3.3.1 承包人提交项目管理机构及施工现场管理人员安排报告的期限：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3.3.3 承包人无正当理由拒绝撤换主要施工管理人员的违约责任：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val="0"/>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3.3.4 承包人主要施工管理人员离开施工现场的批准要求：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3.3.5承包人擅自更换主要施工管理人员的违约责任：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承包人主要施工管理人员擅自离开施工现场的违约责任：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bookmarkStart w:id="210" w:name="_Toc297120459"/>
      <w:bookmarkStart w:id="211" w:name="_Toc300934945"/>
      <w:bookmarkStart w:id="212" w:name="_Toc296503159"/>
      <w:bookmarkStart w:id="213" w:name="_Toc296890987"/>
      <w:bookmarkStart w:id="214" w:name="_Toc296944498"/>
      <w:bookmarkStart w:id="215" w:name="_Toc296347158"/>
      <w:bookmarkStart w:id="216" w:name="_Toc303539102"/>
      <w:bookmarkStart w:id="217" w:name="_Toc296346660"/>
      <w:bookmarkStart w:id="218" w:name="_Toc297216151"/>
      <w:bookmarkStart w:id="219" w:name="_Toc304295523"/>
      <w:bookmarkStart w:id="220" w:name="_Toc297048345"/>
      <w:bookmarkStart w:id="221" w:name="_Toc296891199"/>
      <w:bookmarkStart w:id="222" w:name="_Toc312677988"/>
      <w:bookmarkStart w:id="223" w:name="_Toc292559869"/>
      <w:bookmarkStart w:id="224" w:name="_Toc297123492"/>
      <w:bookmarkStart w:id="225" w:name="_Toc292559364"/>
      <w:r>
        <w:rPr>
          <w:rFonts w:hint="eastAsia" w:ascii="仿宋" w:hAnsi="仿宋" w:eastAsia="仿宋" w:cs="仿宋"/>
          <w:sz w:val="28"/>
          <w:szCs w:val="28"/>
          <w:highlight w:val="none"/>
        </w:rPr>
        <w:t>.5 分包</w:t>
      </w:r>
    </w:p>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bookmarkStart w:id="226" w:name="_Toc292559870"/>
      <w:bookmarkStart w:id="227" w:name="_Toc296347159"/>
      <w:bookmarkStart w:id="228" w:name="_Toc296503160"/>
      <w:bookmarkStart w:id="229" w:name="_Toc303539103"/>
      <w:bookmarkStart w:id="230" w:name="_Toc296944499"/>
      <w:bookmarkStart w:id="231" w:name="_Toc296890988"/>
      <w:bookmarkStart w:id="232" w:name="_Toc297216152"/>
      <w:bookmarkStart w:id="233" w:name="_Toc300934946"/>
      <w:bookmarkStart w:id="234" w:name="_Toc297120460"/>
      <w:bookmarkStart w:id="235" w:name="_Toc296891200"/>
      <w:bookmarkStart w:id="236" w:name="_Toc292559365"/>
      <w:bookmarkStart w:id="237" w:name="_Toc304295524"/>
      <w:bookmarkStart w:id="238" w:name="_Toc297123493"/>
      <w:bookmarkStart w:id="239" w:name="_Toc296346661"/>
      <w:bookmarkStart w:id="240" w:name="_Toc297048346"/>
      <w:bookmarkStart w:id="241" w:name="_Toc318581158"/>
      <w:bookmarkStart w:id="242" w:name="_Toc312677989"/>
      <w:r>
        <w:rPr>
          <w:rFonts w:hint="eastAsia" w:ascii="仿宋" w:hAnsi="仿宋" w:eastAsia="仿宋" w:cs="仿宋"/>
          <w:sz w:val="28"/>
          <w:szCs w:val="28"/>
          <w:highlight w:val="none"/>
        </w:rPr>
        <w:t>.5.1 分包的一般约定</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禁止分包的工程包括：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主体结构、关键性工作的范围：</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Start w:id="243" w:name="_Toc296347160"/>
      <w:bookmarkStart w:id="244" w:name="_Toc297123494"/>
      <w:bookmarkStart w:id="245" w:name="_Toc304295525"/>
      <w:bookmarkStart w:id="246" w:name="_Toc297216153"/>
      <w:bookmarkStart w:id="247" w:name="_Toc303539104"/>
      <w:bookmarkStart w:id="248" w:name="_Toc296891201"/>
      <w:bookmarkStart w:id="249" w:name="_Toc300934947"/>
      <w:bookmarkStart w:id="250" w:name="_Toc296890989"/>
      <w:bookmarkStart w:id="251" w:name="_Toc296346662"/>
      <w:bookmarkStart w:id="252" w:name="_Toc297120461"/>
      <w:bookmarkStart w:id="253" w:name="_Toc297048347"/>
      <w:bookmarkStart w:id="254" w:name="_Toc296944500"/>
      <w:bookmarkStart w:id="255" w:name="_Toc296503161"/>
    </w:p>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w:t>
      </w:r>
      <w:bookmarkStart w:id="256" w:name="_Toc318581159"/>
      <w:bookmarkStart w:id="257" w:name="_Toc312677990"/>
      <w:r>
        <w:rPr>
          <w:rFonts w:hint="eastAsia" w:ascii="仿宋" w:hAnsi="仿宋" w:eastAsia="仿宋" w:cs="仿宋"/>
          <w:sz w:val="28"/>
          <w:szCs w:val="28"/>
          <w:highlight w:val="none"/>
        </w:rPr>
        <w:t>.5.2分包的确定</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允许分包的专业工程包括：</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其他关于分包的约定：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3.5.4 分包合同价款</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关于分包合同价款支付的约定：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256"/>
    <w:bookmarkEnd w:id="257"/>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3.6 工程照管与成品、半成品保护</w:t>
      </w:r>
    </w:p>
    <w:p>
      <w:pPr>
        <w:spacing w:before="120" w:after="120" w:line="360" w:lineRule="auto"/>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承包人负责照管工程及工程相关的材料、工程设备的起始时间：</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3.7 履约担保</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承包人是否提供履约担保：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承包人提供履约担保的形式、金额及期限：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258" w:name="_Toc501726595"/>
      <w:bookmarkStart w:id="259" w:name="_Toc351203636"/>
      <w:r>
        <w:rPr>
          <w:rFonts w:hint="eastAsia" w:ascii="仿宋" w:hAnsi="仿宋" w:eastAsia="仿宋" w:cs="仿宋"/>
          <w:b/>
          <w:sz w:val="28"/>
          <w:szCs w:val="28"/>
          <w:highlight w:val="none"/>
        </w:rPr>
        <w:t>4</w:t>
      </w:r>
      <w:bookmarkStart w:id="260" w:name="_Toc296347161"/>
      <w:bookmarkStart w:id="261" w:name="_Toc292559366"/>
      <w:bookmarkStart w:id="262" w:name="_Toc296890990"/>
      <w:bookmarkStart w:id="263" w:name="_Toc297048348"/>
      <w:bookmarkStart w:id="264" w:name="_Toc296503162"/>
      <w:bookmarkStart w:id="265" w:name="_Toc296944501"/>
      <w:bookmarkStart w:id="266" w:name="_Toc296346663"/>
      <w:bookmarkStart w:id="267" w:name="_Toc267251413"/>
      <w:bookmarkStart w:id="268" w:name="_Toc297120462"/>
      <w:bookmarkStart w:id="269" w:name="_Toc296891202"/>
      <w:bookmarkStart w:id="270" w:name="_Toc292559871"/>
      <w:r>
        <w:rPr>
          <w:rFonts w:hint="eastAsia" w:ascii="仿宋" w:hAnsi="仿宋" w:eastAsia="仿宋" w:cs="仿宋"/>
          <w:b/>
          <w:sz w:val="28"/>
          <w:szCs w:val="28"/>
          <w:highlight w:val="none"/>
        </w:rPr>
        <w:t>. 监</w:t>
      </w:r>
      <w:bookmarkEnd w:id="260"/>
      <w:bookmarkEnd w:id="261"/>
      <w:bookmarkEnd w:id="262"/>
      <w:bookmarkEnd w:id="263"/>
      <w:bookmarkEnd w:id="264"/>
      <w:bookmarkEnd w:id="265"/>
      <w:bookmarkEnd w:id="266"/>
      <w:bookmarkEnd w:id="267"/>
      <w:bookmarkEnd w:id="268"/>
      <w:bookmarkEnd w:id="269"/>
      <w:bookmarkEnd w:id="270"/>
      <w:r>
        <w:rPr>
          <w:rFonts w:hint="eastAsia" w:ascii="仿宋" w:hAnsi="仿宋" w:eastAsia="仿宋" w:cs="仿宋"/>
          <w:b/>
          <w:sz w:val="28"/>
          <w:szCs w:val="28"/>
          <w:highlight w:val="none"/>
        </w:rPr>
        <w:t>理人</w:t>
      </w:r>
      <w:bookmarkEnd w:id="258"/>
      <w:bookmarkEnd w:id="259"/>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4.1监理人的一般规定</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关于监理人的监理内容：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关于监理人的监理权限：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关于监理人在施工现场的办公场所、生活场所的提供和费用承担的约定：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 监理人员</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监理工程师执业资格证书号：</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关于监理人的其他约定：</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4.4 商定或确定</w:t>
      </w:r>
    </w:p>
    <w:p>
      <w:pPr>
        <w:spacing w:line="360" w:lineRule="auto"/>
        <w:ind w:firstLine="560" w:firstLineChars="200"/>
        <w:rPr>
          <w:rFonts w:hint="eastAsia" w:ascii="仿宋" w:hAnsi="仿宋" w:eastAsia="仿宋" w:cs="仿宋"/>
          <w:sz w:val="28"/>
          <w:szCs w:val="28"/>
          <w:highlight w:val="none"/>
        </w:rPr>
      </w:pPr>
      <w:bookmarkStart w:id="271" w:name="_Toc267251418"/>
      <w:r>
        <w:rPr>
          <w:rFonts w:hint="eastAsia" w:ascii="仿宋" w:hAnsi="仿宋" w:eastAsia="仿宋" w:cs="仿宋"/>
          <w:sz w:val="28"/>
          <w:szCs w:val="28"/>
          <w:highlight w:val="none"/>
        </w:rPr>
        <w:t>在发包人和承包人不能通过协商达成一致意见时，发包人授权监理人对以下事项进行确定：</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272" w:name="_Toc351203637"/>
      <w:bookmarkStart w:id="273" w:name="_Toc501726596"/>
      <w:r>
        <w:rPr>
          <w:rFonts w:hint="eastAsia" w:ascii="仿宋" w:hAnsi="仿宋" w:eastAsia="仿宋" w:cs="仿宋"/>
          <w:b/>
          <w:sz w:val="28"/>
          <w:szCs w:val="28"/>
          <w:highlight w:val="none"/>
        </w:rPr>
        <w:t>5</w:t>
      </w:r>
      <w:bookmarkEnd w:id="271"/>
      <w:bookmarkStart w:id="274" w:name="_Toc296347162"/>
      <w:bookmarkStart w:id="275" w:name="_Toc296890991"/>
      <w:bookmarkStart w:id="276" w:name="_Toc297120463"/>
      <w:bookmarkStart w:id="277" w:name="_Toc297048349"/>
      <w:bookmarkStart w:id="278" w:name="_Toc296346664"/>
      <w:bookmarkStart w:id="279" w:name="_Toc292559367"/>
      <w:bookmarkStart w:id="280" w:name="_Toc296891203"/>
      <w:bookmarkStart w:id="281" w:name="_Toc296503163"/>
      <w:bookmarkStart w:id="282" w:name="_Toc292559872"/>
      <w:bookmarkStart w:id="283" w:name="_Toc296944502"/>
      <w:r>
        <w:rPr>
          <w:rFonts w:hint="eastAsia" w:ascii="仿宋" w:hAnsi="仿宋" w:eastAsia="仿宋" w:cs="仿宋"/>
          <w:b/>
          <w:sz w:val="28"/>
          <w:szCs w:val="28"/>
          <w:highlight w:val="none"/>
        </w:rPr>
        <w:t>. 工程质量</w:t>
      </w:r>
      <w:bookmarkEnd w:id="272"/>
      <w:bookmarkEnd w:id="273"/>
    </w:p>
    <w:p>
      <w:pPr>
        <w:spacing w:after="120" w:line="360" w:lineRule="auto"/>
        <w:ind w:firstLine="560" w:firstLineChars="200"/>
        <w:rPr>
          <w:rFonts w:hint="eastAsia" w:ascii="仿宋" w:hAnsi="仿宋" w:eastAsia="仿宋" w:cs="仿宋"/>
          <w:sz w:val="28"/>
          <w:szCs w:val="28"/>
          <w:highlight w:val="none"/>
        </w:rPr>
      </w:pPr>
      <w:bookmarkStart w:id="284" w:name="_Toc501726597"/>
      <w:r>
        <w:rPr>
          <w:rFonts w:hint="eastAsia" w:ascii="仿宋" w:hAnsi="仿宋" w:eastAsia="仿宋" w:cs="仿宋"/>
          <w:sz w:val="28"/>
          <w:szCs w:val="28"/>
          <w:highlight w:val="none"/>
        </w:rPr>
        <w:t>5.1 质量要求</w:t>
      </w:r>
      <w:bookmarkEnd w:id="284"/>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w:t>
      </w:r>
      <w:bookmarkStart w:id="285" w:name="_Toc318581164"/>
      <w:bookmarkStart w:id="286" w:name="_Toc304295527"/>
      <w:bookmarkStart w:id="287" w:name="_Toc300934949"/>
      <w:bookmarkStart w:id="288" w:name="_Toc312677997"/>
      <w:bookmarkStart w:id="289" w:name="_Toc297216155"/>
      <w:bookmarkStart w:id="290" w:name="_Toc303539106"/>
      <w:bookmarkStart w:id="291" w:name="_Toc297123496"/>
      <w:r>
        <w:rPr>
          <w:rFonts w:hint="eastAsia" w:ascii="仿宋" w:hAnsi="仿宋" w:eastAsia="仿宋" w:cs="仿宋"/>
          <w:sz w:val="28"/>
          <w:szCs w:val="28"/>
          <w:highlight w:val="none"/>
        </w:rPr>
        <w:t>.1.1 特殊质量标准和要求：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关于工程奖项的约定：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292" w:name="_Toc501726598"/>
      <w:r>
        <w:rPr>
          <w:rFonts w:hint="eastAsia" w:ascii="仿宋" w:hAnsi="仿宋" w:eastAsia="仿宋" w:cs="仿宋"/>
          <w:sz w:val="28"/>
          <w:szCs w:val="28"/>
          <w:highlight w:val="none"/>
        </w:rPr>
        <w:t>5.3 隐蔽工程检查</w:t>
      </w:r>
      <w:bookmarkEnd w:id="292"/>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5.3.2承包人提前通知监理人隐蔽工程检查的期限的约定：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监理人不能按时进行检查时，应提前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小时提交书面延期要求。</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w:t>
      </w:r>
    </w:p>
    <w:p>
      <w:pPr>
        <w:spacing w:before="120" w:after="120" w:line="360" w:lineRule="auto"/>
        <w:rPr>
          <w:rFonts w:hint="eastAsia" w:ascii="仿宋" w:hAnsi="仿宋" w:eastAsia="仿宋" w:cs="仿宋"/>
          <w:b/>
          <w:sz w:val="28"/>
          <w:szCs w:val="28"/>
          <w:highlight w:val="none"/>
        </w:rPr>
      </w:pPr>
      <w:bookmarkStart w:id="293" w:name="_Toc501726599"/>
      <w:bookmarkStart w:id="294" w:name="_Toc351203638"/>
      <w:r>
        <w:rPr>
          <w:rFonts w:hint="eastAsia" w:ascii="仿宋" w:hAnsi="仿宋" w:eastAsia="仿宋" w:cs="仿宋"/>
          <w:b/>
          <w:sz w:val="28"/>
          <w:szCs w:val="28"/>
          <w:highlight w:val="none"/>
        </w:rPr>
        <w:t>6. 安全文明施工与环境保护</w:t>
      </w:r>
      <w:bookmarkEnd w:id="293"/>
      <w:bookmarkEnd w:id="294"/>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6.1安全文明施工</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6.1.1 项目安全生产的达标目标及相应事项的约定：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6.1.4 关于治安保卫的特别约定：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关于编制施工场地治安管理计划的约定：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6.1.5 文明施工</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合同当事人对文明施工的要求：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6.1.6 关于安全文明施工费支付比例和支付期限的约定：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285"/>
    <w:bookmarkEnd w:id="286"/>
    <w:bookmarkEnd w:id="287"/>
    <w:bookmarkEnd w:id="288"/>
    <w:bookmarkEnd w:id="289"/>
    <w:bookmarkEnd w:id="290"/>
    <w:bookmarkEnd w:id="291"/>
    <w:p>
      <w:pPr>
        <w:spacing w:before="120" w:after="120" w:line="360" w:lineRule="auto"/>
        <w:rPr>
          <w:rFonts w:hint="eastAsia" w:ascii="仿宋" w:hAnsi="仿宋" w:eastAsia="仿宋" w:cs="仿宋"/>
          <w:b/>
          <w:sz w:val="28"/>
          <w:szCs w:val="28"/>
          <w:highlight w:val="none"/>
        </w:rPr>
      </w:pPr>
      <w:bookmarkStart w:id="295" w:name="_Toc501726600"/>
      <w:bookmarkStart w:id="296" w:name="_Toc351203639"/>
      <w:r>
        <w:rPr>
          <w:rFonts w:hint="eastAsia" w:ascii="仿宋" w:hAnsi="仿宋" w:eastAsia="仿宋" w:cs="仿宋"/>
          <w:b/>
          <w:sz w:val="28"/>
          <w:szCs w:val="28"/>
          <w:highlight w:val="none"/>
        </w:rPr>
        <w:t>7. 工期和进度</w:t>
      </w:r>
      <w:bookmarkEnd w:id="295"/>
      <w:bookmarkEnd w:id="296"/>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7.1 施工组织设计</w:t>
      </w:r>
    </w:p>
    <w:p>
      <w:pPr>
        <w:autoSpaceDE w:val="0"/>
        <w:autoSpaceDN w:val="0"/>
        <w:adjustRightInd w:val="0"/>
        <w:spacing w:line="360" w:lineRule="auto"/>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7.1.1 合</w:t>
      </w:r>
      <w:r>
        <w:rPr>
          <w:rFonts w:hint="eastAsia" w:ascii="仿宋" w:hAnsi="仿宋" w:eastAsia="仿宋" w:cs="仿宋"/>
          <w:kern w:val="0"/>
          <w:sz w:val="28"/>
          <w:szCs w:val="28"/>
          <w:highlight w:val="none"/>
        </w:rPr>
        <w:t>同当事人约定的施工组织设计应包括的其他内容：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 xml:space="preserve">7.1.2 </w:t>
      </w:r>
      <w:r>
        <w:rPr>
          <w:rFonts w:hint="eastAsia" w:ascii="仿宋" w:hAnsi="仿宋" w:eastAsia="仿宋" w:cs="仿宋"/>
          <w:kern w:val="0"/>
          <w:sz w:val="28"/>
          <w:szCs w:val="28"/>
          <w:highlight w:val="none"/>
        </w:rPr>
        <w:t>施工组织设计的提交和修改</w:t>
      </w:r>
    </w:p>
    <w:p>
      <w:pPr>
        <w:autoSpaceDE w:val="0"/>
        <w:autoSpaceDN w:val="0"/>
        <w:adjustRightInd w:val="0"/>
        <w:spacing w:line="360" w:lineRule="auto"/>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承包人提交详细施工组织设计的期限的约定：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发包人和监理人在收到详细的施工组织设计后确认或提出修改意见的期限：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297" w:name="_Toc300934966"/>
      <w:bookmarkStart w:id="298" w:name="_Toc312678005"/>
      <w:bookmarkStart w:id="299" w:name="_Toc312677479"/>
      <w:bookmarkStart w:id="300" w:name="_Toc297216173"/>
      <w:bookmarkStart w:id="301" w:name="_Toc303539123"/>
      <w:bookmarkStart w:id="302" w:name="_Toc304295541"/>
      <w:bookmarkStart w:id="303" w:name="_Toc297123514"/>
      <w:r>
        <w:rPr>
          <w:rFonts w:hint="eastAsia" w:ascii="仿宋" w:hAnsi="仿宋" w:eastAsia="仿宋" w:cs="仿宋"/>
          <w:sz w:val="28"/>
          <w:szCs w:val="28"/>
          <w:highlight w:val="none"/>
        </w:rPr>
        <w:t>.2 施工进度计划</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7.2.2 施工进度计划的修订</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发包人和监理人在收到修订的施工进度计划后确认或提出修改意见的期限：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7.3 开工</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7.3.1 开工准备</w:t>
      </w:r>
    </w:p>
    <w:p>
      <w:pPr>
        <w:spacing w:line="360" w:lineRule="auto"/>
        <w:ind w:firstLine="645"/>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关于承包人提交</w:t>
      </w:r>
      <w:r>
        <w:rPr>
          <w:rFonts w:hint="eastAsia" w:ascii="仿宋" w:hAnsi="仿宋" w:eastAsia="仿宋" w:cs="仿宋"/>
          <w:kern w:val="0"/>
          <w:sz w:val="28"/>
          <w:szCs w:val="28"/>
          <w:highlight w:val="none"/>
        </w:rPr>
        <w:t>工程开工报审表的期限：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关于发包人应完成的其他开工准备工作及期限：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关于承包人应完成的其他开工准备工作及期限：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7.3.2开工通知</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因发包人原因造成监理人未能在计划开工日期之日起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天内发出开工通知的，承包人有权提出价格调整要求，或者解除合同。</w:t>
      </w:r>
    </w:p>
    <w:bookmarkEnd w:id="297"/>
    <w:bookmarkEnd w:id="298"/>
    <w:bookmarkEnd w:id="299"/>
    <w:bookmarkEnd w:id="300"/>
    <w:bookmarkEnd w:id="301"/>
    <w:bookmarkEnd w:id="302"/>
    <w:bookmarkEnd w:id="303"/>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7.4 测量放线</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7.4.1发包人通过监理人向承包人提供测量基准点、基准线和水准点及其书面资料的期限：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04" w:name="_Toc312677484"/>
      <w:bookmarkStart w:id="305" w:name="_Toc297123516"/>
      <w:bookmarkStart w:id="306" w:name="_Toc312678010"/>
      <w:bookmarkStart w:id="307" w:name="_Toc304295546"/>
      <w:bookmarkStart w:id="308" w:name="_Toc303539125"/>
      <w:bookmarkStart w:id="309" w:name="_Toc297216175"/>
      <w:bookmarkStart w:id="310" w:name="_Toc300934968"/>
      <w:r>
        <w:rPr>
          <w:rFonts w:hint="eastAsia" w:ascii="仿宋" w:hAnsi="仿宋" w:eastAsia="仿宋" w:cs="仿宋"/>
          <w:sz w:val="28"/>
          <w:szCs w:val="28"/>
          <w:highlight w:val="none"/>
        </w:rPr>
        <w:t>.5 工期延误</w:t>
      </w:r>
    </w:p>
    <w:bookmarkEnd w:id="304"/>
    <w:bookmarkEnd w:id="305"/>
    <w:bookmarkEnd w:id="306"/>
    <w:bookmarkEnd w:id="307"/>
    <w:bookmarkEnd w:id="308"/>
    <w:bookmarkEnd w:id="309"/>
    <w:bookmarkEnd w:id="310"/>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7.5.1 因发包人原因导致工期延误</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（7）因发包人原因导致工期延误的其他情形：</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11" w:name="_Toc312678012"/>
      <w:bookmarkStart w:id="312" w:name="_Toc312677486"/>
      <w:bookmarkStart w:id="313" w:name="_Toc318581169"/>
      <w:bookmarkStart w:id="314" w:name="_Toc303539127"/>
      <w:bookmarkStart w:id="315" w:name="_Toc297123518"/>
      <w:bookmarkStart w:id="316" w:name="_Toc304295548"/>
      <w:bookmarkStart w:id="317" w:name="_Toc297216177"/>
      <w:bookmarkStart w:id="318" w:name="_Toc300934970"/>
      <w:r>
        <w:rPr>
          <w:rFonts w:hint="eastAsia" w:ascii="仿宋" w:hAnsi="仿宋" w:eastAsia="仿宋" w:cs="仿宋"/>
          <w:sz w:val="28"/>
          <w:szCs w:val="28"/>
          <w:highlight w:val="none"/>
        </w:rPr>
        <w:t>.5.2 因承包人原因导致工期延误</w:t>
      </w:r>
    </w:p>
    <w:bookmarkEnd w:id="311"/>
    <w:bookmarkEnd w:id="312"/>
    <w:bookmarkEnd w:id="313"/>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w:t>
      </w:r>
      <w:bookmarkStart w:id="319" w:name="_Toc312677487"/>
      <w:bookmarkStart w:id="320" w:name="_Toc312678013"/>
      <w:bookmarkStart w:id="321" w:name="_Toc318581170"/>
      <w:r>
        <w:rPr>
          <w:rFonts w:hint="eastAsia" w:ascii="仿宋" w:hAnsi="仿宋" w:eastAsia="仿宋" w:cs="仿宋"/>
          <w:sz w:val="28"/>
          <w:szCs w:val="28"/>
          <w:highlight w:val="none"/>
        </w:rPr>
        <w:t>承包人原因造成工期延误，逾期竣工违约金的计算方法为：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314"/>
      <w:bookmarkEnd w:id="315"/>
      <w:bookmarkEnd w:id="316"/>
      <w:bookmarkEnd w:id="317"/>
      <w:bookmarkEnd w:id="318"/>
      <w:bookmarkEnd w:id="319"/>
      <w:bookmarkEnd w:id="320"/>
    </w:p>
    <w:bookmarkEnd w:id="321"/>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w:t>
      </w:r>
      <w:bookmarkStart w:id="322" w:name="_Toc312678014"/>
      <w:bookmarkStart w:id="323" w:name="_Toc318581171"/>
      <w:r>
        <w:rPr>
          <w:rFonts w:hint="eastAsia" w:ascii="仿宋" w:hAnsi="仿宋" w:eastAsia="仿宋" w:cs="仿宋"/>
          <w:sz w:val="28"/>
          <w:szCs w:val="28"/>
          <w:highlight w:val="none"/>
        </w:rPr>
        <w:t>期竣工违约金的上限：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322"/>
    <w:bookmarkEnd w:id="323"/>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24" w:name="_Toc312678015"/>
      <w:bookmarkStart w:id="325" w:name="_Toc297123519"/>
      <w:bookmarkStart w:id="326" w:name="_Toc304295549"/>
      <w:bookmarkStart w:id="327" w:name="_Toc297216178"/>
      <w:bookmarkStart w:id="328" w:name="_Toc300934971"/>
      <w:bookmarkStart w:id="329" w:name="_Toc303539128"/>
      <w:r>
        <w:rPr>
          <w:rFonts w:hint="eastAsia" w:ascii="仿宋" w:hAnsi="仿宋" w:eastAsia="仿宋" w:cs="仿宋"/>
          <w:sz w:val="28"/>
          <w:szCs w:val="28"/>
          <w:highlight w:val="none"/>
        </w:rPr>
        <w:t>.6 不</w:t>
      </w:r>
      <w:bookmarkEnd w:id="324"/>
      <w:bookmarkEnd w:id="325"/>
      <w:bookmarkEnd w:id="326"/>
      <w:bookmarkEnd w:id="327"/>
      <w:bookmarkEnd w:id="328"/>
      <w:bookmarkEnd w:id="329"/>
      <w:r>
        <w:rPr>
          <w:rFonts w:hint="eastAsia" w:ascii="仿宋" w:hAnsi="仿宋" w:eastAsia="仿宋" w:cs="仿宋"/>
          <w:sz w:val="28"/>
          <w:szCs w:val="28"/>
          <w:highlight w:val="none"/>
        </w:rPr>
        <w:t>利物质条件</w:t>
      </w:r>
    </w:p>
    <w:p>
      <w:pPr>
        <w:spacing w:line="360" w:lineRule="auto"/>
        <w:jc w:val="left"/>
        <w:rPr>
          <w:rFonts w:hint="eastAsia" w:ascii="仿宋" w:hAnsi="仿宋" w:eastAsia="仿宋" w:cs="仿宋"/>
          <w:sz w:val="28"/>
          <w:szCs w:val="28"/>
          <w:highlight w:val="none"/>
        </w:rPr>
      </w:pPr>
      <w:bookmarkStart w:id="330" w:name="_Toc297216179"/>
      <w:bookmarkStart w:id="331" w:name="_Toc303539129"/>
      <w:bookmarkStart w:id="332" w:name="_Toc297123520"/>
      <w:bookmarkStart w:id="333" w:name="_Toc300934972"/>
      <w:bookmarkStart w:id="334" w:name="_Toc304295550"/>
      <w:bookmarkStart w:id="335" w:name="_Toc312678016"/>
      <w:bookmarkStart w:id="336" w:name="_Toc318581172"/>
      <w:r>
        <w:rPr>
          <w:rFonts w:hint="eastAsia" w:ascii="仿宋" w:hAnsi="仿宋" w:eastAsia="仿宋" w:cs="仿宋"/>
          <w:sz w:val="28"/>
          <w:szCs w:val="28"/>
          <w:highlight w:val="none"/>
        </w:rPr>
        <w:t>不利物质条件的其他情形和有关约定：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330"/>
    <w:bookmarkEnd w:id="331"/>
    <w:bookmarkEnd w:id="332"/>
    <w:bookmarkEnd w:id="333"/>
    <w:bookmarkEnd w:id="334"/>
    <w:bookmarkEnd w:id="335"/>
    <w:bookmarkEnd w:id="336"/>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337" w:name="_Toc297123521"/>
      <w:bookmarkStart w:id="338" w:name="_Toc312678017"/>
      <w:bookmarkStart w:id="339" w:name="_Toc300934973"/>
      <w:bookmarkStart w:id="340" w:name="_Toc297216180"/>
      <w:bookmarkStart w:id="341" w:name="_Toc303539130"/>
      <w:bookmarkStart w:id="342" w:name="_Toc304295551"/>
      <w:r>
        <w:rPr>
          <w:rFonts w:hint="eastAsia" w:ascii="仿宋" w:hAnsi="仿宋" w:eastAsia="仿宋" w:cs="仿宋"/>
          <w:sz w:val="28"/>
          <w:szCs w:val="28"/>
          <w:highlight w:val="none"/>
        </w:rPr>
        <w:t>.7异常恶劣的气候条件</w:t>
      </w:r>
    </w:p>
    <w:bookmarkEnd w:id="337"/>
    <w:bookmarkEnd w:id="338"/>
    <w:bookmarkEnd w:id="339"/>
    <w:bookmarkEnd w:id="340"/>
    <w:bookmarkEnd w:id="341"/>
    <w:bookmarkEnd w:id="342"/>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发包人和承包人同意以下情形视为异常恶劣的气候条件：</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343" w:name="_Toc501726601"/>
      <w:r>
        <w:rPr>
          <w:rFonts w:hint="eastAsia" w:ascii="仿宋" w:hAnsi="仿宋" w:eastAsia="仿宋" w:cs="仿宋"/>
          <w:sz w:val="28"/>
          <w:szCs w:val="28"/>
          <w:highlight w:val="none"/>
        </w:rPr>
        <w:t>7.9 提前竣工的奖励</w:t>
      </w:r>
      <w:bookmarkEnd w:id="343"/>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7.9.2提前竣工的奖励：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before="120" w:after="120" w:line="360" w:lineRule="auto"/>
        <w:rPr>
          <w:rFonts w:hint="eastAsia" w:ascii="仿宋" w:hAnsi="仿宋" w:eastAsia="仿宋" w:cs="仿宋"/>
          <w:b/>
          <w:sz w:val="28"/>
          <w:szCs w:val="28"/>
          <w:highlight w:val="none"/>
        </w:rPr>
      </w:pPr>
      <w:bookmarkStart w:id="344" w:name="_Toc501726602"/>
      <w:bookmarkStart w:id="345" w:name="_Toc351203640"/>
      <w:r>
        <w:rPr>
          <w:rFonts w:hint="eastAsia" w:ascii="仿宋" w:hAnsi="仿宋" w:eastAsia="仿宋" w:cs="仿宋"/>
          <w:b/>
          <w:sz w:val="28"/>
          <w:szCs w:val="28"/>
          <w:highlight w:val="none"/>
        </w:rPr>
        <w:t>8. 材料与设备</w:t>
      </w:r>
      <w:bookmarkEnd w:id="344"/>
      <w:bookmarkEnd w:id="345"/>
    </w:p>
    <w:bookmarkEnd w:id="274"/>
    <w:bookmarkEnd w:id="275"/>
    <w:bookmarkEnd w:id="276"/>
    <w:bookmarkEnd w:id="277"/>
    <w:bookmarkEnd w:id="278"/>
    <w:bookmarkEnd w:id="279"/>
    <w:bookmarkEnd w:id="280"/>
    <w:bookmarkEnd w:id="281"/>
    <w:bookmarkEnd w:id="282"/>
    <w:bookmarkEnd w:id="283"/>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w:t>
      </w:r>
      <w:bookmarkStart w:id="346" w:name="_Toc297048353"/>
      <w:bookmarkStart w:id="347" w:name="_Toc297120467"/>
      <w:bookmarkStart w:id="348" w:name="_Toc296347166"/>
      <w:bookmarkStart w:id="349" w:name="_Toc296503167"/>
      <w:bookmarkStart w:id="350" w:name="_Toc296944506"/>
      <w:bookmarkStart w:id="351" w:name="_Toc300934979"/>
      <w:bookmarkStart w:id="352" w:name="_Toc312677493"/>
      <w:bookmarkStart w:id="353" w:name="_Toc292559372"/>
      <w:bookmarkStart w:id="354" w:name="_Toc312678019"/>
      <w:bookmarkStart w:id="355" w:name="_Toc296891207"/>
      <w:bookmarkStart w:id="356" w:name="_Toc297216186"/>
      <w:bookmarkStart w:id="357" w:name="_Toc304295556"/>
      <w:bookmarkStart w:id="358" w:name="_Toc303539136"/>
      <w:bookmarkStart w:id="359" w:name="_Toc292559877"/>
      <w:bookmarkStart w:id="360" w:name="_Toc296890995"/>
      <w:bookmarkStart w:id="361" w:name="_Toc297123527"/>
      <w:bookmarkStart w:id="362" w:name="_Toc296346668"/>
      <w:bookmarkStart w:id="363" w:name="_Toc280868654"/>
      <w:bookmarkStart w:id="364" w:name="_Toc280868655"/>
      <w:bookmarkStart w:id="365" w:name="_Toc280868656"/>
      <w:bookmarkStart w:id="366" w:name="_Toc267251424"/>
      <w:r>
        <w:rPr>
          <w:rFonts w:hint="eastAsia" w:ascii="仿宋" w:hAnsi="仿宋" w:eastAsia="仿宋" w:cs="仿宋"/>
          <w:sz w:val="28"/>
          <w:szCs w:val="28"/>
          <w:highlight w:val="none"/>
        </w:rPr>
        <w:t>.4材料与工程设备的保管与使用</w:t>
      </w:r>
    </w:p>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w:t>
      </w:r>
      <w:bookmarkStart w:id="367" w:name="_Toc292559878"/>
      <w:bookmarkStart w:id="368" w:name="_Toc292559373"/>
      <w:bookmarkStart w:id="369" w:name="_Toc296944507"/>
      <w:bookmarkStart w:id="370" w:name="_Toc296890996"/>
      <w:bookmarkStart w:id="371" w:name="_Toc300934980"/>
      <w:bookmarkStart w:id="372" w:name="_Toc297123528"/>
      <w:bookmarkStart w:id="373" w:name="_Toc318581173"/>
      <w:bookmarkStart w:id="374" w:name="_Toc297216187"/>
      <w:bookmarkStart w:id="375" w:name="_Toc297048354"/>
      <w:bookmarkStart w:id="376" w:name="_Toc304295557"/>
      <w:bookmarkStart w:id="377" w:name="_Toc312677494"/>
      <w:bookmarkStart w:id="378" w:name="_Toc296503168"/>
      <w:bookmarkStart w:id="379" w:name="_Toc296347167"/>
      <w:bookmarkStart w:id="380" w:name="_Toc303539137"/>
      <w:bookmarkStart w:id="381" w:name="_Toc296346669"/>
      <w:bookmarkStart w:id="382" w:name="_Toc312678020"/>
      <w:bookmarkStart w:id="383" w:name="_Toc297120468"/>
      <w:bookmarkStart w:id="384" w:name="_Toc296891208"/>
      <w:r>
        <w:rPr>
          <w:rFonts w:hint="eastAsia" w:ascii="仿宋" w:hAnsi="仿宋" w:eastAsia="仿宋" w:cs="仿宋"/>
          <w:sz w:val="28"/>
          <w:szCs w:val="28"/>
          <w:highlight w:val="none"/>
        </w:rPr>
        <w:t>.4.1发包人供应的材料设备的保管费用的承担：</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367"/>
      <w:bookmarkEnd w:id="368"/>
    </w:p>
    <w:p>
      <w:pPr>
        <w:spacing w:after="120" w:line="360" w:lineRule="auto"/>
        <w:ind w:firstLine="560" w:firstLineChars="200"/>
        <w:rPr>
          <w:rFonts w:hint="eastAsia" w:ascii="仿宋" w:hAnsi="仿宋" w:eastAsia="仿宋" w:cs="仿宋"/>
          <w:sz w:val="28"/>
          <w:szCs w:val="28"/>
          <w:highlight w:val="none"/>
        </w:rPr>
      </w:pPr>
      <w:bookmarkStart w:id="385" w:name="_Toc501726603"/>
      <w:r>
        <w:rPr>
          <w:rFonts w:hint="eastAsia" w:ascii="仿宋" w:hAnsi="仿宋" w:eastAsia="仿宋" w:cs="仿宋"/>
          <w:sz w:val="28"/>
          <w:szCs w:val="28"/>
          <w:highlight w:val="none"/>
        </w:rPr>
        <w:t>8.6 样品</w:t>
      </w:r>
      <w:bookmarkEnd w:id="385"/>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8.6.1</w:t>
      </w:r>
      <w:r>
        <w:rPr>
          <w:rFonts w:hint="eastAsia" w:ascii="仿宋" w:hAnsi="仿宋" w:eastAsia="仿宋" w:cs="仿宋"/>
          <w:kern w:val="0"/>
          <w:sz w:val="28"/>
          <w:szCs w:val="28"/>
          <w:highlight w:val="none"/>
        </w:rPr>
        <w:tab/>
      </w:r>
      <w:r>
        <w:rPr>
          <w:rFonts w:hint="eastAsia" w:ascii="仿宋" w:hAnsi="仿宋" w:eastAsia="仿宋" w:cs="仿宋"/>
          <w:kern w:val="0"/>
          <w:sz w:val="28"/>
          <w:szCs w:val="28"/>
          <w:highlight w:val="none"/>
        </w:rPr>
        <w:t>样品的报送与封存</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需要承包人报送样品的材料或工程设备，样品的种类、名称、规格、数量要求：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386" w:name="_Toc501726604"/>
      <w:r>
        <w:rPr>
          <w:rFonts w:hint="eastAsia" w:ascii="仿宋" w:hAnsi="仿宋" w:eastAsia="仿宋" w:cs="仿宋"/>
          <w:sz w:val="28"/>
          <w:szCs w:val="28"/>
          <w:highlight w:val="none"/>
        </w:rPr>
        <w:t>8.8 施工设备和临时设施</w:t>
      </w:r>
      <w:bookmarkEnd w:id="386"/>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8.8.1 承包人提供的施工设备和临时设施关于修建临时设施费用承担的约定：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Pr>
        <w:spacing w:before="120" w:after="120" w:line="360" w:lineRule="auto"/>
        <w:rPr>
          <w:rFonts w:hint="eastAsia" w:ascii="仿宋" w:hAnsi="仿宋" w:eastAsia="仿宋" w:cs="仿宋"/>
          <w:b/>
          <w:sz w:val="28"/>
          <w:szCs w:val="28"/>
          <w:highlight w:val="none"/>
        </w:rPr>
      </w:pPr>
      <w:bookmarkStart w:id="387" w:name="_Toc501726605"/>
      <w:bookmarkStart w:id="388" w:name="_Toc351203641"/>
      <w:r>
        <w:rPr>
          <w:rFonts w:hint="eastAsia" w:ascii="仿宋" w:hAnsi="仿宋" w:eastAsia="仿宋" w:cs="仿宋"/>
          <w:b/>
          <w:sz w:val="28"/>
          <w:szCs w:val="28"/>
          <w:highlight w:val="none"/>
        </w:rPr>
        <w:t>9</w:t>
      </w:r>
      <w:bookmarkEnd w:id="364"/>
      <w:bookmarkEnd w:id="365"/>
      <w:bookmarkEnd w:id="366"/>
      <w:bookmarkStart w:id="389" w:name="_Toc297216192"/>
      <w:bookmarkStart w:id="390" w:name="_Toc304295559"/>
      <w:bookmarkStart w:id="391" w:name="_Toc312678021"/>
      <w:bookmarkStart w:id="392" w:name="_Toc297123533"/>
      <w:bookmarkStart w:id="393" w:name="_Toc312677495"/>
      <w:bookmarkStart w:id="394" w:name="_Toc303539139"/>
      <w:bookmarkStart w:id="395" w:name="_Toc300934982"/>
      <w:bookmarkStart w:id="396" w:name="_Toc296891001"/>
      <w:bookmarkStart w:id="397" w:name="_Toc296346674"/>
      <w:bookmarkStart w:id="398" w:name="_Toc267251427"/>
      <w:bookmarkStart w:id="399" w:name="_Toc296347172"/>
      <w:bookmarkStart w:id="400" w:name="_Toc296503173"/>
      <w:bookmarkStart w:id="401" w:name="_Toc297048359"/>
      <w:bookmarkStart w:id="402" w:name="_Toc267251428"/>
      <w:bookmarkStart w:id="403" w:name="_Toc292559883"/>
      <w:bookmarkStart w:id="404" w:name="_Toc292559378"/>
      <w:bookmarkStart w:id="405" w:name="_Toc297120473"/>
      <w:bookmarkStart w:id="406" w:name="_Toc296891213"/>
      <w:bookmarkStart w:id="407" w:name="_Toc296944512"/>
      <w:r>
        <w:rPr>
          <w:rFonts w:hint="eastAsia" w:ascii="仿宋" w:hAnsi="仿宋" w:eastAsia="仿宋" w:cs="仿宋"/>
          <w:b/>
          <w:sz w:val="28"/>
          <w:szCs w:val="28"/>
          <w:highlight w:val="none"/>
        </w:rPr>
        <w:t>. 试验与检验</w:t>
      </w:r>
      <w:bookmarkEnd w:id="387"/>
      <w:bookmarkEnd w:id="388"/>
    </w:p>
    <w:bookmarkEnd w:id="389"/>
    <w:bookmarkEnd w:id="390"/>
    <w:bookmarkEnd w:id="391"/>
    <w:bookmarkEnd w:id="392"/>
    <w:bookmarkEnd w:id="393"/>
    <w:bookmarkEnd w:id="394"/>
    <w:bookmarkEnd w:id="395"/>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w:t>
      </w:r>
      <w:bookmarkStart w:id="408" w:name="_Toc312678022"/>
      <w:bookmarkStart w:id="409" w:name="_Toc312677496"/>
      <w:bookmarkStart w:id="410" w:name="_Toc300934983"/>
      <w:bookmarkStart w:id="411" w:name="_Toc304295560"/>
      <w:bookmarkStart w:id="412" w:name="_Toc297216193"/>
      <w:bookmarkStart w:id="413" w:name="_Toc297123534"/>
      <w:bookmarkStart w:id="414" w:name="_Toc303539140"/>
      <w:r>
        <w:rPr>
          <w:rFonts w:hint="eastAsia" w:ascii="仿宋" w:hAnsi="仿宋" w:eastAsia="仿宋" w:cs="仿宋"/>
          <w:sz w:val="28"/>
          <w:szCs w:val="28"/>
          <w:highlight w:val="none"/>
        </w:rPr>
        <w:t>.1试验设备与试验人员</w:t>
      </w:r>
    </w:p>
    <w:bookmarkEnd w:id="408"/>
    <w:bookmarkEnd w:id="409"/>
    <w:bookmarkEnd w:id="410"/>
    <w:bookmarkEnd w:id="411"/>
    <w:bookmarkEnd w:id="412"/>
    <w:bookmarkEnd w:id="413"/>
    <w:bookmarkEnd w:id="414"/>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9</w:t>
      </w:r>
      <w:bookmarkStart w:id="415" w:name="_Toc304295561"/>
      <w:bookmarkStart w:id="416" w:name="_Toc297123535"/>
      <w:bookmarkStart w:id="417" w:name="_Toc312677497"/>
      <w:bookmarkStart w:id="418" w:name="_Toc312678023"/>
      <w:bookmarkStart w:id="419" w:name="_Toc300934984"/>
      <w:bookmarkStart w:id="420" w:name="_Toc303539141"/>
      <w:bookmarkStart w:id="421" w:name="_Toc297216194"/>
      <w:bookmarkStart w:id="422" w:name="_Toc318581174"/>
      <w:r>
        <w:rPr>
          <w:rFonts w:hint="eastAsia" w:ascii="仿宋" w:hAnsi="仿宋" w:eastAsia="仿宋" w:cs="仿宋"/>
          <w:sz w:val="28"/>
          <w:szCs w:val="28"/>
          <w:highlight w:val="none"/>
        </w:rPr>
        <w:t>.1.2 试验设备</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施工现场需要配置的试验场所：</w:t>
      </w:r>
      <w:bookmarkEnd w:id="415"/>
      <w:bookmarkEnd w:id="416"/>
      <w:bookmarkEnd w:id="417"/>
      <w:bookmarkEnd w:id="418"/>
      <w:bookmarkEnd w:id="419"/>
      <w:bookmarkEnd w:id="420"/>
      <w:bookmarkEnd w:id="421"/>
      <w:bookmarkStart w:id="423" w:name="_Toc312677498"/>
      <w:bookmarkStart w:id="424" w:name="_Toc300934985"/>
      <w:bookmarkStart w:id="425" w:name="_Toc312678024"/>
      <w:bookmarkStart w:id="426" w:name="_Toc304295562"/>
      <w:bookmarkStart w:id="427" w:name="_Toc303539142"/>
      <w:bookmarkStart w:id="428" w:name="_Toc297216195"/>
      <w:bookmarkStart w:id="429" w:name="_Toc297123536"/>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施工现场需要配备的试验设备：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施工现场需要具备的其他试验条件：</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430" w:name="_Toc501726606"/>
      <w:r>
        <w:rPr>
          <w:rFonts w:hint="eastAsia" w:ascii="仿宋" w:hAnsi="仿宋" w:eastAsia="仿宋" w:cs="仿宋"/>
          <w:sz w:val="28"/>
          <w:szCs w:val="28"/>
          <w:highlight w:val="none"/>
        </w:rPr>
        <w:t>9.4 现场工艺试验</w:t>
      </w:r>
      <w:bookmarkEnd w:id="430"/>
      <w:r>
        <w:rPr>
          <w:rFonts w:hint="eastAsia" w:ascii="仿宋" w:hAnsi="仿宋" w:eastAsia="仿宋" w:cs="仿宋"/>
          <w:sz w:val="28"/>
          <w:szCs w:val="28"/>
          <w:highlight w:val="non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现场工艺试验的有关约定：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422"/>
    <w:bookmarkEnd w:id="423"/>
    <w:bookmarkEnd w:id="424"/>
    <w:bookmarkEnd w:id="425"/>
    <w:bookmarkEnd w:id="426"/>
    <w:bookmarkEnd w:id="427"/>
    <w:bookmarkEnd w:id="428"/>
    <w:bookmarkEnd w:id="429"/>
    <w:p>
      <w:pPr>
        <w:spacing w:before="120" w:after="120" w:line="360" w:lineRule="auto"/>
        <w:rPr>
          <w:rFonts w:hint="eastAsia" w:ascii="仿宋" w:hAnsi="仿宋" w:eastAsia="仿宋" w:cs="仿宋"/>
          <w:b/>
          <w:sz w:val="28"/>
          <w:szCs w:val="28"/>
          <w:highlight w:val="none"/>
        </w:rPr>
      </w:pPr>
      <w:bookmarkStart w:id="431" w:name="_Toc501726607"/>
      <w:bookmarkStart w:id="432" w:name="_Toc351203642"/>
      <w:r>
        <w:rPr>
          <w:rFonts w:hint="eastAsia" w:ascii="仿宋" w:hAnsi="仿宋" w:eastAsia="仿宋" w:cs="仿宋"/>
          <w:b/>
          <w:sz w:val="28"/>
          <w:szCs w:val="28"/>
          <w:highlight w:val="none"/>
        </w:rPr>
        <w:t>1</w:t>
      </w:r>
      <w:bookmarkEnd w:id="396"/>
      <w:bookmarkEnd w:id="397"/>
      <w:bookmarkEnd w:id="398"/>
      <w:bookmarkEnd w:id="399"/>
      <w:bookmarkEnd w:id="400"/>
      <w:bookmarkEnd w:id="401"/>
      <w:bookmarkEnd w:id="402"/>
      <w:bookmarkEnd w:id="403"/>
      <w:bookmarkEnd w:id="404"/>
      <w:bookmarkEnd w:id="405"/>
      <w:bookmarkEnd w:id="406"/>
      <w:bookmarkEnd w:id="407"/>
      <w:bookmarkStart w:id="433" w:name="_Toc292559398"/>
      <w:bookmarkStart w:id="434" w:name="_Toc297216199"/>
      <w:bookmarkStart w:id="435" w:name="_Toc300934989"/>
      <w:bookmarkStart w:id="436" w:name="_Toc297123540"/>
      <w:bookmarkStart w:id="437" w:name="_Toc296503193"/>
      <w:bookmarkStart w:id="438" w:name="_Toc297120493"/>
      <w:bookmarkStart w:id="439" w:name="_Toc303539146"/>
      <w:bookmarkStart w:id="440" w:name="_Toc292559903"/>
      <w:bookmarkStart w:id="441" w:name="_Toc304295566"/>
      <w:bookmarkStart w:id="442" w:name="_Toc296891021"/>
      <w:bookmarkStart w:id="443" w:name="_Toc296891233"/>
      <w:bookmarkStart w:id="444" w:name="_Toc296944532"/>
      <w:bookmarkStart w:id="445" w:name="_Toc297048379"/>
      <w:bookmarkStart w:id="446" w:name="_Toc296346694"/>
      <w:bookmarkStart w:id="447" w:name="_Toc296347192"/>
      <w:bookmarkStart w:id="448" w:name="_Toc312677499"/>
      <w:bookmarkStart w:id="449" w:name="_Toc312678025"/>
      <w:bookmarkStart w:id="450" w:name="_Toc267251433"/>
      <w:bookmarkStart w:id="451" w:name="_Toc267251437"/>
      <w:bookmarkStart w:id="452" w:name="_Toc267251441"/>
      <w:bookmarkStart w:id="453" w:name="_Toc267251439"/>
      <w:bookmarkStart w:id="454" w:name="_Toc267251440"/>
      <w:bookmarkStart w:id="455" w:name="_Toc267251435"/>
      <w:bookmarkStart w:id="456" w:name="_Toc267251442"/>
      <w:r>
        <w:rPr>
          <w:rFonts w:hint="eastAsia" w:ascii="仿宋" w:hAnsi="仿宋" w:eastAsia="仿宋" w:cs="仿宋"/>
          <w:b/>
          <w:sz w:val="28"/>
          <w:szCs w:val="28"/>
          <w:highlight w:val="none"/>
        </w:rPr>
        <w:t>0. 变更</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bookmarkEnd w:id="448"/>
    <w:bookmarkEnd w:id="449"/>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457" w:name="_Toc296944533"/>
      <w:bookmarkStart w:id="458" w:name="_Toc300934990"/>
      <w:bookmarkStart w:id="459" w:name="_Toc297123541"/>
      <w:bookmarkStart w:id="460" w:name="_Toc297120494"/>
      <w:bookmarkStart w:id="461" w:name="_Toc296891022"/>
      <w:bookmarkStart w:id="462" w:name="_Toc303539147"/>
      <w:bookmarkStart w:id="463" w:name="_Toc312678026"/>
      <w:bookmarkStart w:id="464" w:name="_Toc296503194"/>
      <w:bookmarkStart w:id="465" w:name="_Toc292559399"/>
      <w:bookmarkStart w:id="466" w:name="_Toc304295567"/>
      <w:bookmarkStart w:id="467" w:name="_Toc296346695"/>
      <w:bookmarkStart w:id="468" w:name="_Toc297216200"/>
      <w:bookmarkStart w:id="469" w:name="_Toc312677500"/>
      <w:bookmarkStart w:id="470" w:name="_Toc296891234"/>
      <w:bookmarkStart w:id="471" w:name="_Toc292559904"/>
      <w:bookmarkStart w:id="472" w:name="_Toc297048380"/>
      <w:bookmarkStart w:id="473" w:name="_Toc296347193"/>
      <w:r>
        <w:rPr>
          <w:rFonts w:hint="eastAsia" w:ascii="仿宋" w:hAnsi="仿宋" w:eastAsia="仿宋" w:cs="仿宋"/>
          <w:sz w:val="28"/>
          <w:szCs w:val="28"/>
          <w:highlight w:val="none"/>
        </w:rPr>
        <w:t>0.1变更的范围</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关于变更的范围的约定：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474" w:name="_Toc501726608"/>
      <w:r>
        <w:rPr>
          <w:rFonts w:hint="eastAsia" w:ascii="仿宋" w:hAnsi="仿宋" w:eastAsia="仿宋" w:cs="仿宋"/>
          <w:sz w:val="28"/>
          <w:szCs w:val="28"/>
          <w:highlight w:val="none"/>
        </w:rPr>
        <w:t>10.4 变更估价</w:t>
      </w:r>
      <w:bookmarkEnd w:id="474"/>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10.4.1 变更估价原则</w:t>
      </w:r>
    </w:p>
    <w:p>
      <w:pPr>
        <w:spacing w:line="360" w:lineRule="auto"/>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关于变更估价的约定: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Start w:id="475" w:name="_Toc300934993"/>
      <w:bookmarkStart w:id="476" w:name="_Toc296891237"/>
      <w:bookmarkStart w:id="477" w:name="_Toc297216203"/>
      <w:bookmarkStart w:id="478" w:name="_Toc296346698"/>
      <w:bookmarkStart w:id="479" w:name="_Toc292559907"/>
      <w:bookmarkStart w:id="480" w:name="_Toc297123544"/>
      <w:bookmarkStart w:id="481" w:name="_Toc303539150"/>
      <w:bookmarkStart w:id="482" w:name="_Toc296503197"/>
      <w:bookmarkStart w:id="483" w:name="_Toc292559402"/>
      <w:bookmarkStart w:id="484" w:name="_Toc296347196"/>
      <w:bookmarkStart w:id="485" w:name="_Toc297120497"/>
      <w:bookmarkStart w:id="486" w:name="_Toc296944536"/>
      <w:bookmarkStart w:id="487" w:name="_Toc296891025"/>
      <w:bookmarkStart w:id="488" w:name="_Toc297048383"/>
      <w:bookmarkStart w:id="489" w:name="_Toc304295570"/>
      <w:bookmarkStart w:id="490" w:name="_Toc312677503"/>
      <w:bookmarkStart w:id="491" w:name="_Toc312678029"/>
      <w:r>
        <w:rPr>
          <w:rFonts w:hint="eastAsia" w:ascii="仿宋" w:hAnsi="仿宋" w:eastAsia="仿宋" w:cs="仿宋"/>
          <w:sz w:val="28"/>
          <w:szCs w:val="28"/>
          <w:highlight w:val="none"/>
        </w:rPr>
        <w:t>0.5承</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Start w:id="492" w:name="_Toc297048389"/>
      <w:bookmarkStart w:id="493" w:name="_Toc296891243"/>
      <w:bookmarkStart w:id="494" w:name="_Toc300934994"/>
      <w:bookmarkStart w:id="495" w:name="_Toc296944542"/>
      <w:bookmarkStart w:id="496" w:name="_Toc292559408"/>
      <w:bookmarkStart w:id="497" w:name="_Toc303539151"/>
      <w:bookmarkStart w:id="498" w:name="_Toc296503203"/>
      <w:bookmarkStart w:id="499" w:name="_Toc297120503"/>
      <w:bookmarkStart w:id="500" w:name="_Toc296347202"/>
      <w:bookmarkStart w:id="501" w:name="_Toc296346704"/>
      <w:bookmarkStart w:id="502" w:name="_Toc296891031"/>
      <w:bookmarkStart w:id="503" w:name="_Toc297123545"/>
      <w:bookmarkStart w:id="504" w:name="_Toc297216204"/>
      <w:bookmarkStart w:id="505" w:name="_Toc292559913"/>
      <w:r>
        <w:rPr>
          <w:rFonts w:hint="eastAsia" w:ascii="仿宋" w:hAnsi="仿宋" w:eastAsia="仿宋" w:cs="仿宋"/>
          <w:sz w:val="28"/>
          <w:szCs w:val="28"/>
          <w:highlight w:val="none"/>
        </w:rPr>
        <w:t>包人的合理化建议</w:t>
      </w:r>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监理人审查承包人合理化建议的期限：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发包人审批承包人合理化建议的期限：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承</w:t>
      </w:r>
      <w:bookmarkStart w:id="506" w:name="_Toc296891244"/>
      <w:bookmarkStart w:id="507" w:name="_Toc297216205"/>
      <w:bookmarkStart w:id="508" w:name="_Toc304295571"/>
      <w:bookmarkStart w:id="509" w:name="_Toc303539152"/>
      <w:bookmarkStart w:id="510" w:name="_Toc296891032"/>
      <w:bookmarkStart w:id="511" w:name="_Toc297123546"/>
      <w:bookmarkStart w:id="512" w:name="_Toc292559409"/>
      <w:bookmarkStart w:id="513" w:name="_Toc300934995"/>
      <w:bookmarkStart w:id="514" w:name="_Toc312677504"/>
      <w:bookmarkStart w:id="515" w:name="_Toc296944543"/>
      <w:bookmarkStart w:id="516" w:name="_Toc312678030"/>
      <w:bookmarkStart w:id="517" w:name="_Toc296503204"/>
      <w:bookmarkStart w:id="518" w:name="_Toc297048390"/>
      <w:bookmarkStart w:id="519" w:name="_Toc297120504"/>
      <w:bookmarkStart w:id="520" w:name="_Toc318581175"/>
      <w:bookmarkStart w:id="521" w:name="_Toc292559914"/>
      <w:bookmarkStart w:id="522" w:name="_Toc296346705"/>
      <w:bookmarkStart w:id="523" w:name="_Toc296347203"/>
      <w:r>
        <w:rPr>
          <w:rFonts w:hint="eastAsia" w:ascii="仿宋" w:hAnsi="仿宋" w:eastAsia="仿宋" w:cs="仿宋"/>
          <w:sz w:val="28"/>
          <w:szCs w:val="28"/>
          <w:highlight w:val="none"/>
        </w:rPr>
        <w:t>包人提出的合理化建议降低了合同价格或者提高了工程经济效益的奖励的方法和金额为：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Pr>
        <w:spacing w:after="120" w:line="360" w:lineRule="auto"/>
        <w:ind w:firstLine="560" w:firstLineChars="200"/>
        <w:rPr>
          <w:rFonts w:hint="eastAsia" w:ascii="仿宋" w:hAnsi="仿宋" w:eastAsia="仿宋" w:cs="仿宋"/>
          <w:sz w:val="28"/>
          <w:szCs w:val="28"/>
          <w:highlight w:val="none"/>
        </w:rPr>
      </w:pPr>
      <w:bookmarkStart w:id="524" w:name="_Toc501726609"/>
      <w:r>
        <w:rPr>
          <w:rFonts w:hint="eastAsia" w:ascii="仿宋" w:hAnsi="仿宋" w:eastAsia="仿宋" w:cs="仿宋"/>
          <w:sz w:val="28"/>
          <w:szCs w:val="28"/>
          <w:highlight w:val="none"/>
        </w:rPr>
        <w:t>1</w:t>
      </w:r>
      <w:bookmarkStart w:id="525" w:name="_Toc312677507"/>
      <w:bookmarkStart w:id="526" w:name="_Toc312678033"/>
      <w:bookmarkStart w:id="527" w:name="_Toc297120499"/>
      <w:bookmarkStart w:id="528" w:name="_Toc292559404"/>
      <w:bookmarkStart w:id="529" w:name="_Toc296347198"/>
      <w:bookmarkStart w:id="530" w:name="_Toc297216207"/>
      <w:bookmarkStart w:id="531" w:name="_Toc297048385"/>
      <w:bookmarkStart w:id="532" w:name="_Toc300934997"/>
      <w:bookmarkStart w:id="533" w:name="_Toc296944538"/>
      <w:bookmarkStart w:id="534" w:name="_Toc292559909"/>
      <w:bookmarkStart w:id="535" w:name="_Toc296503199"/>
      <w:bookmarkStart w:id="536" w:name="_Toc296891239"/>
      <w:bookmarkStart w:id="537" w:name="_Toc296891027"/>
      <w:bookmarkStart w:id="538" w:name="_Toc296346700"/>
      <w:bookmarkStart w:id="539" w:name="_Toc303539154"/>
      <w:bookmarkStart w:id="540" w:name="_Toc297123548"/>
      <w:bookmarkStart w:id="541" w:name="_Toc304295574"/>
      <w:r>
        <w:rPr>
          <w:rFonts w:hint="eastAsia" w:ascii="仿宋" w:hAnsi="仿宋" w:eastAsia="仿宋" w:cs="仿宋"/>
          <w:sz w:val="28"/>
          <w:szCs w:val="28"/>
          <w:highlight w:val="none"/>
        </w:rPr>
        <w:t>0.7 暂估价</w:t>
      </w:r>
      <w:bookmarkEnd w:id="524"/>
    </w:p>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暂</w:t>
      </w:r>
      <w:bookmarkStart w:id="542" w:name="_Toc318581176"/>
      <w:bookmarkStart w:id="543" w:name="_Toc312678034"/>
      <w:bookmarkStart w:id="544" w:name="_Toc312677508"/>
      <w:r>
        <w:rPr>
          <w:rFonts w:hint="eastAsia" w:ascii="仿宋" w:hAnsi="仿宋" w:eastAsia="仿宋" w:cs="仿宋"/>
          <w:kern w:val="0"/>
          <w:sz w:val="28"/>
          <w:szCs w:val="28"/>
          <w:highlight w:val="none"/>
        </w:rPr>
        <w:t>估价材料和工程设备的明细详见附件11：《</w:t>
      </w:r>
      <w:r>
        <w:rPr>
          <w:rFonts w:hint="eastAsia" w:ascii="仿宋" w:hAnsi="仿宋" w:eastAsia="仿宋" w:cs="仿宋"/>
          <w:sz w:val="28"/>
          <w:szCs w:val="28"/>
          <w:highlight w:val="none"/>
        </w:rPr>
        <w:t>暂估价一览表》</w:t>
      </w:r>
      <w:r>
        <w:rPr>
          <w:rFonts w:hint="eastAsia" w:ascii="仿宋" w:hAnsi="仿宋" w:eastAsia="仿宋" w:cs="仿宋"/>
          <w:kern w:val="0"/>
          <w:sz w:val="28"/>
          <w:szCs w:val="28"/>
          <w:highlight w:val="none"/>
        </w:rPr>
        <w:t>。</w:t>
      </w:r>
    </w:p>
    <w:bookmarkEnd w:id="542"/>
    <w:bookmarkEnd w:id="543"/>
    <w:bookmarkEnd w:id="544"/>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545" w:name="_Toc312677509"/>
      <w:bookmarkStart w:id="546" w:name="_Toc312678035"/>
      <w:bookmarkStart w:id="547" w:name="_Toc318581177"/>
      <w:r>
        <w:rPr>
          <w:rFonts w:hint="eastAsia" w:ascii="仿宋" w:hAnsi="仿宋" w:eastAsia="仿宋" w:cs="仿宋"/>
          <w:sz w:val="28"/>
          <w:szCs w:val="28"/>
          <w:highlight w:val="none"/>
        </w:rPr>
        <w:t>0.7.1 依法必须招标的暂估价项目</w:t>
      </w:r>
    </w:p>
    <w:bookmarkEnd w:id="545"/>
    <w:bookmarkEnd w:id="546"/>
    <w:bookmarkEnd w:id="547"/>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对于依法必须招标的暂估价项目的确认和批准采取第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种方式确定。</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10.7.2 不属于依法必须招标的暂估价项目</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对于不属于依法必须招标的暂估价项目的确认和批准采取第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种方式确定。</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第3种方式：</w:t>
      </w:r>
      <w:r>
        <w:rPr>
          <w:rFonts w:hint="eastAsia" w:ascii="仿宋" w:hAnsi="仿宋" w:eastAsia="仿宋" w:cs="仿宋"/>
          <w:kern w:val="0"/>
          <w:sz w:val="28"/>
          <w:szCs w:val="28"/>
          <w:highlight w:val="none"/>
        </w:rPr>
        <w:t>承包人直接实施的暂估价项目</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承包人直接实施的暂估价项目的约定：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10.8 暂列金额</w:t>
      </w:r>
    </w:p>
    <w:p>
      <w:pPr>
        <w:autoSpaceDE w:val="0"/>
        <w:autoSpaceDN w:val="0"/>
        <w:adjustRightInd w:val="0"/>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合同当事人关于暂列金额使用的约定：</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548" w:name="_Toc501726610"/>
      <w:bookmarkStart w:id="549" w:name="_Toc351203643"/>
      <w:r>
        <w:rPr>
          <w:rFonts w:hint="eastAsia" w:ascii="仿宋" w:hAnsi="仿宋" w:eastAsia="仿宋" w:cs="仿宋"/>
          <w:b/>
          <w:sz w:val="28"/>
          <w:szCs w:val="28"/>
          <w:highlight w:val="none"/>
        </w:rPr>
        <w:t>11. 价格调整</w:t>
      </w:r>
      <w:bookmarkEnd w:id="548"/>
      <w:bookmarkEnd w:id="549"/>
    </w:p>
    <w:p>
      <w:pPr>
        <w:spacing w:after="120" w:line="360" w:lineRule="auto"/>
        <w:ind w:firstLine="560" w:firstLineChars="200"/>
        <w:rPr>
          <w:rFonts w:hint="eastAsia" w:ascii="仿宋" w:hAnsi="仿宋" w:eastAsia="仿宋" w:cs="仿宋"/>
          <w:sz w:val="28"/>
          <w:szCs w:val="28"/>
          <w:highlight w:val="none"/>
        </w:rPr>
      </w:pPr>
      <w:bookmarkStart w:id="550" w:name="_Toc296891029"/>
      <w:bookmarkStart w:id="551" w:name="_Toc297216209"/>
      <w:bookmarkStart w:id="552" w:name="_Toc300935000"/>
      <w:bookmarkStart w:id="553" w:name="_Toc296891241"/>
      <w:bookmarkStart w:id="554" w:name="_Toc292559911"/>
      <w:bookmarkStart w:id="555" w:name="_Toc296347200"/>
      <w:bookmarkStart w:id="556" w:name="_Toc292559406"/>
      <w:bookmarkStart w:id="557" w:name="_Toc312678039"/>
      <w:bookmarkStart w:id="558" w:name="_Toc296346702"/>
      <w:bookmarkStart w:id="559" w:name="_Toc304295577"/>
      <w:bookmarkStart w:id="560" w:name="_Toc297048387"/>
      <w:bookmarkStart w:id="561" w:name="_Toc296944540"/>
      <w:bookmarkStart w:id="562" w:name="_Toc297123550"/>
      <w:bookmarkStart w:id="563" w:name="_Toc297120501"/>
      <w:bookmarkStart w:id="564" w:name="_Toc296503201"/>
      <w:bookmarkStart w:id="565" w:name="_Toc303539157"/>
      <w:r>
        <w:rPr>
          <w:rFonts w:hint="eastAsia" w:ascii="仿宋" w:hAnsi="仿宋" w:eastAsia="仿宋" w:cs="仿宋"/>
          <w:sz w:val="28"/>
          <w:szCs w:val="28"/>
          <w:highlight w:val="none"/>
        </w:rPr>
        <w:t>11.1 市场价格波动引起的调整</w:t>
      </w:r>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市场价格波动是否调整合同价格的约定：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因市场价格波动调整合同价格，采用以下第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种方式对合同价格进行调整：</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第1种方式：采用价格指数进行价格调整。</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关于各可调因子、定值和变值权重，以及基本价格指数及其来源的约定：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第2种方式：采用造价信息进行价格调整。</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（2）关于基准价格的约定：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专用合同条款①承包人在预算书中载明的材料单价低于基准价格的：专用合同条款合同履行期间材料单价涨幅以基准价格为基础超过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%时，或材料单价跌幅以预算书中载明材料单价为基础超过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%时，其超过部分据实调整。</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②承包人在预算书中载明的材料单价高于基准价格的：专用合同条款合同履行期间材料单价跌幅以基准价格为基础超过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%时，材料单价涨幅以预算书中载明材料单价为基础超过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%时，其超过部分据实调整。</w:t>
      </w:r>
    </w:p>
    <w:p>
      <w:pPr>
        <w:spacing w:line="360" w:lineRule="auto"/>
        <w:ind w:firstLine="64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③承包人在预算书中载明的材料单价等于基准单价的：专用合同条款合同履行期间材料单价涨跌幅以基准单价为基础超过±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%时，其超过部分据实调整。</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第3种方式：其他价格调整方式：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450"/>
    <w:bookmarkEnd w:id="451"/>
    <w:bookmarkEnd w:id="452"/>
    <w:bookmarkEnd w:id="453"/>
    <w:bookmarkEnd w:id="454"/>
    <w:bookmarkEnd w:id="455"/>
    <w:p>
      <w:pPr>
        <w:spacing w:before="120" w:after="120" w:line="360" w:lineRule="auto"/>
        <w:rPr>
          <w:rFonts w:hint="eastAsia" w:ascii="仿宋" w:hAnsi="仿宋" w:eastAsia="仿宋" w:cs="仿宋"/>
          <w:b/>
          <w:sz w:val="28"/>
          <w:szCs w:val="28"/>
          <w:highlight w:val="none"/>
        </w:rPr>
      </w:pPr>
      <w:bookmarkStart w:id="566" w:name="_Toc292559915"/>
      <w:bookmarkStart w:id="567" w:name="_Toc296891033"/>
      <w:bookmarkStart w:id="568" w:name="_Toc296347204"/>
      <w:bookmarkStart w:id="569" w:name="_Toc296503205"/>
      <w:bookmarkStart w:id="570" w:name="_Toc296346706"/>
      <w:bookmarkStart w:id="571" w:name="_Toc297048391"/>
      <w:bookmarkStart w:id="572" w:name="_Toc297120505"/>
      <w:bookmarkStart w:id="573" w:name="_Toc292559410"/>
      <w:bookmarkStart w:id="574" w:name="_Toc296944544"/>
      <w:bookmarkStart w:id="575" w:name="_Toc296891245"/>
      <w:bookmarkStart w:id="576" w:name="_Toc501726611"/>
      <w:bookmarkStart w:id="577" w:name="_Toc351203644"/>
      <w:bookmarkStart w:id="578" w:name="_Toc304295579"/>
      <w:bookmarkStart w:id="579" w:name="_Toc312678040"/>
      <w:bookmarkStart w:id="580" w:name="_Toc297123552"/>
      <w:bookmarkStart w:id="581" w:name="_Toc297216211"/>
      <w:bookmarkStart w:id="582" w:name="_Toc300935002"/>
      <w:bookmarkStart w:id="583" w:name="_Toc303539159"/>
      <w:r>
        <w:rPr>
          <w:rFonts w:hint="eastAsia" w:ascii="仿宋" w:hAnsi="仿宋" w:eastAsia="仿宋" w:cs="仿宋"/>
          <w:b/>
          <w:sz w:val="28"/>
          <w:szCs w:val="28"/>
          <w:highlight w:val="none"/>
        </w:rPr>
        <w:t xml:space="preserve">12. </w:t>
      </w:r>
      <w:bookmarkEnd w:id="566"/>
      <w:bookmarkEnd w:id="567"/>
      <w:bookmarkEnd w:id="568"/>
      <w:bookmarkEnd w:id="569"/>
      <w:bookmarkEnd w:id="570"/>
      <w:bookmarkEnd w:id="571"/>
      <w:bookmarkEnd w:id="572"/>
      <w:bookmarkEnd w:id="573"/>
      <w:bookmarkEnd w:id="574"/>
      <w:bookmarkEnd w:id="575"/>
      <w:r>
        <w:rPr>
          <w:rFonts w:hint="eastAsia" w:ascii="仿宋" w:hAnsi="仿宋" w:eastAsia="仿宋" w:cs="仿宋"/>
          <w:b/>
          <w:sz w:val="28"/>
          <w:szCs w:val="28"/>
          <w:highlight w:val="none"/>
        </w:rPr>
        <w:t>合同价格、计量与支付</w:t>
      </w:r>
      <w:bookmarkEnd w:id="576"/>
      <w:bookmarkEnd w:id="577"/>
    </w:p>
    <w:bookmarkEnd w:id="578"/>
    <w:bookmarkEnd w:id="579"/>
    <w:bookmarkEnd w:id="580"/>
    <w:bookmarkEnd w:id="581"/>
    <w:bookmarkEnd w:id="582"/>
    <w:bookmarkEnd w:id="583"/>
    <w:p>
      <w:pPr>
        <w:spacing w:after="120" w:line="360" w:lineRule="auto"/>
        <w:ind w:firstLine="560" w:firstLineChars="200"/>
        <w:rPr>
          <w:rFonts w:hint="eastAsia" w:ascii="仿宋" w:hAnsi="仿宋" w:eastAsia="仿宋" w:cs="仿宋"/>
          <w:sz w:val="28"/>
          <w:szCs w:val="28"/>
          <w:highlight w:val="none"/>
        </w:rPr>
      </w:pPr>
      <w:bookmarkStart w:id="584" w:name="_Toc267251461"/>
      <w:bookmarkStart w:id="585" w:name="_Toc292559411"/>
      <w:bookmarkStart w:id="586" w:name="_Toc292559916"/>
      <w:bookmarkStart w:id="587" w:name="_Toc296944545"/>
      <w:bookmarkStart w:id="588" w:name="_Toc296503206"/>
      <w:bookmarkStart w:id="589" w:name="_Toc296346707"/>
      <w:bookmarkStart w:id="590" w:name="_Toc296347205"/>
      <w:bookmarkStart w:id="591" w:name="_Toc296891034"/>
      <w:bookmarkStart w:id="592" w:name="_Toc296891246"/>
      <w:bookmarkStart w:id="593" w:name="_Toc297120506"/>
      <w:bookmarkStart w:id="594" w:name="_Toc297048392"/>
      <w:bookmarkStart w:id="595" w:name="_Toc304295580"/>
      <w:bookmarkStart w:id="596" w:name="_Toc312678041"/>
      <w:bookmarkStart w:id="597" w:name="_Toc300935003"/>
      <w:bookmarkStart w:id="598" w:name="_Toc303539160"/>
      <w:bookmarkStart w:id="599" w:name="_Toc297123553"/>
      <w:bookmarkStart w:id="600" w:name="_Toc297216212"/>
      <w:r>
        <w:rPr>
          <w:rFonts w:hint="eastAsia" w:ascii="仿宋" w:hAnsi="仿宋" w:eastAsia="仿宋" w:cs="仿宋"/>
          <w:sz w:val="28"/>
          <w:szCs w:val="28"/>
          <w:highlight w:val="none"/>
        </w:rPr>
        <w:t>12.1 合</w:t>
      </w:r>
      <w:bookmarkEnd w:id="584"/>
      <w:bookmarkEnd w:id="585"/>
      <w:bookmarkEnd w:id="586"/>
      <w:r>
        <w:rPr>
          <w:rFonts w:hint="eastAsia" w:ascii="仿宋" w:hAnsi="仿宋" w:eastAsia="仿宋" w:cs="仿宋"/>
          <w:sz w:val="28"/>
          <w:szCs w:val="28"/>
          <w:highlight w:val="none"/>
        </w:rPr>
        <w:t>同价</w:t>
      </w:r>
      <w:bookmarkEnd w:id="587"/>
      <w:bookmarkEnd w:id="588"/>
      <w:bookmarkEnd w:id="589"/>
      <w:bookmarkEnd w:id="590"/>
      <w:bookmarkEnd w:id="591"/>
      <w:bookmarkEnd w:id="592"/>
      <w:bookmarkEnd w:id="593"/>
      <w:bookmarkEnd w:id="594"/>
      <w:r>
        <w:rPr>
          <w:rFonts w:hint="eastAsia" w:ascii="仿宋" w:hAnsi="仿宋" w:eastAsia="仿宋" w:cs="仿宋"/>
          <w:sz w:val="28"/>
          <w:szCs w:val="28"/>
          <w:highlight w:val="none"/>
        </w:rPr>
        <w:t>格形式</w:t>
      </w:r>
    </w:p>
    <w:bookmarkEnd w:id="595"/>
    <w:bookmarkEnd w:id="596"/>
    <w:bookmarkEnd w:id="597"/>
    <w:bookmarkEnd w:id="598"/>
    <w:bookmarkEnd w:id="599"/>
    <w:bookmarkEnd w:id="600"/>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1、单价合同。</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综合单价包含的风险范围：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2、总价合同。</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总价包含的风险范围：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3、其他价格方式：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12.3 计量</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12.3.1 计量原则</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工程量计算规则：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12.3.2 计量周期</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关于计量周期的约定：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12.3.3 单价合同的计量</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关于单价合同计量的约定：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12.3.4 总价合同的计量</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关于总价合同计量的约定：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12.3.5总价合同采用支付分解表计量支付的，是否适用第</w:t>
      </w:r>
      <w:r>
        <w:rPr>
          <w:rFonts w:hint="eastAsia" w:ascii="仿宋" w:hAnsi="仿宋" w:eastAsia="仿宋" w:cs="仿宋"/>
          <w:kern w:val="0"/>
          <w:sz w:val="28"/>
          <w:szCs w:val="28"/>
          <w:highlight w:val="none"/>
        </w:rPr>
        <w:t xml:space="preserve">12.3.4 </w:t>
      </w:r>
      <w:r>
        <w:rPr>
          <w:rFonts w:hint="eastAsia" w:ascii="仿宋" w:hAnsi="仿宋" w:eastAsia="仿宋" w:cs="仿宋"/>
          <w:sz w:val="28"/>
          <w:szCs w:val="28"/>
          <w:highlight w:val="none"/>
        </w:rPr>
        <w:t>项</w:t>
      </w:r>
      <w:r>
        <w:rPr>
          <w:rFonts w:hint="eastAsia" w:ascii="仿宋" w:hAnsi="仿宋" w:eastAsia="仿宋" w:cs="仿宋"/>
          <w:kern w:val="0"/>
          <w:sz w:val="28"/>
          <w:szCs w:val="28"/>
          <w:highlight w:val="none"/>
        </w:rPr>
        <w:t>〔总价合同的计量〕</w:t>
      </w:r>
      <w:r>
        <w:rPr>
          <w:rFonts w:hint="eastAsia" w:ascii="仿宋" w:hAnsi="仿宋" w:eastAsia="仿宋" w:cs="仿宋"/>
          <w:sz w:val="28"/>
          <w:szCs w:val="28"/>
          <w:highlight w:val="none"/>
        </w:rPr>
        <w:t>约定进行计量：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12.3.6 其他价格形式合同的计量</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其他价格形式的计量方式和程序：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12.4 工程进度款支付</w:t>
      </w:r>
    </w:p>
    <w:p>
      <w:pPr>
        <w:spacing w:line="360" w:lineRule="auto"/>
        <w:ind w:firstLine="560" w:firstLineChars="200"/>
        <w:jc w:val="left"/>
        <w:rPr>
          <w:rFonts w:hint="eastAsia" w:ascii="仿宋" w:hAnsi="仿宋" w:eastAsia="仿宋" w:cs="仿宋"/>
          <w:sz w:val="28"/>
          <w:szCs w:val="28"/>
          <w:highlight w:val="none"/>
        </w:rPr>
      </w:pPr>
      <w:bookmarkStart w:id="601" w:name="_Toc292559921"/>
      <w:bookmarkStart w:id="602" w:name="_Toc296891251"/>
      <w:bookmarkStart w:id="603" w:name="_Toc296891039"/>
      <w:bookmarkStart w:id="604" w:name="_Toc296944550"/>
      <w:bookmarkStart w:id="605" w:name="_Toc296346712"/>
      <w:bookmarkStart w:id="606" w:name="_Toc297120511"/>
      <w:bookmarkStart w:id="607" w:name="_Toc292559416"/>
      <w:bookmarkStart w:id="608" w:name="_Toc296503211"/>
      <w:bookmarkStart w:id="609" w:name="_Toc297123556"/>
      <w:bookmarkStart w:id="610" w:name="_Toc297048397"/>
      <w:bookmarkStart w:id="611" w:name="_Toc303539163"/>
      <w:bookmarkStart w:id="612" w:name="_Toc296347210"/>
      <w:bookmarkStart w:id="613" w:name="_Toc300935006"/>
      <w:bookmarkStart w:id="614" w:name="_Toc297216215"/>
      <w:r>
        <w:rPr>
          <w:rFonts w:hint="eastAsia" w:ascii="仿宋" w:hAnsi="仿宋" w:eastAsia="仿宋" w:cs="仿宋"/>
          <w:sz w:val="28"/>
          <w:szCs w:val="28"/>
          <w:highlight w:val="none"/>
        </w:rPr>
        <w:t>12.4.1 付款周期</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关于付款周期的约定：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12.4.2 进度付款申请单的编制</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关于进度付款申请单编制的约定：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hint="eastAsia" w:ascii="仿宋" w:hAnsi="仿宋" w:eastAsia="仿宋" w:cs="仿宋"/>
          <w:sz w:val="28"/>
          <w:szCs w:val="28"/>
          <w:highlight w:val="none"/>
        </w:rPr>
        <w:t>2.4.3 进度付款申请单的提交</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（1）单价合同进度付款申请单提交的约定：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（2）总价合同进度付款申请单提交的约定：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（3）其他价格形式合同进度付款申请单提交的约定：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12.4.4 进度款审核和支付</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（1）监理人审查并报送发包人的期限：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发包人完成审批并签发进度款支付证书的期限：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（2）发包人支付进度款的期限：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发包人逾期支付进度款的违约金的计算方式：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700" w:firstLineChars="25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12.4.6 支付分解表的编制</w:t>
      </w:r>
    </w:p>
    <w:p>
      <w:pPr>
        <w:spacing w:line="360" w:lineRule="auto"/>
        <w:ind w:left="4200" w:hanging="5600" w:hangingChars="20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2、总价合同支付分解表的编制与审批：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3、单价合同的总价项目支付分解表的编制与审批：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456"/>
    <w:p>
      <w:pPr>
        <w:spacing w:before="120" w:after="120" w:line="360" w:lineRule="auto"/>
        <w:rPr>
          <w:rFonts w:hint="eastAsia" w:ascii="仿宋" w:hAnsi="仿宋" w:eastAsia="仿宋" w:cs="仿宋"/>
          <w:b/>
          <w:sz w:val="28"/>
          <w:szCs w:val="28"/>
          <w:highlight w:val="none"/>
        </w:rPr>
      </w:pPr>
      <w:bookmarkStart w:id="615" w:name="_Toc501726612"/>
      <w:bookmarkStart w:id="616" w:name="_Toc351203645"/>
      <w:bookmarkStart w:id="617" w:name="_Toc296346720"/>
      <w:bookmarkStart w:id="618" w:name="_Toc300935015"/>
      <w:bookmarkStart w:id="619" w:name="_Toc292559424"/>
      <w:bookmarkStart w:id="620" w:name="_Toc297048405"/>
      <w:bookmarkStart w:id="621" w:name="_Toc296891047"/>
      <w:bookmarkStart w:id="622" w:name="_Toc292559929"/>
      <w:bookmarkStart w:id="623" w:name="_Toc297216223"/>
      <w:bookmarkStart w:id="624" w:name="_Toc304295593"/>
      <w:bookmarkStart w:id="625" w:name="_Toc296944558"/>
      <w:bookmarkStart w:id="626" w:name="_Toc303539172"/>
      <w:bookmarkStart w:id="627" w:name="_Toc296503219"/>
      <w:bookmarkStart w:id="628" w:name="_Toc297120519"/>
      <w:bookmarkStart w:id="629" w:name="_Toc297123564"/>
      <w:bookmarkStart w:id="630" w:name="_Toc296891259"/>
      <w:bookmarkStart w:id="631" w:name="_Toc296347218"/>
      <w:bookmarkStart w:id="632" w:name="_Toc312678053"/>
      <w:r>
        <w:rPr>
          <w:rFonts w:hint="eastAsia" w:ascii="仿宋" w:hAnsi="仿宋" w:eastAsia="仿宋" w:cs="仿宋"/>
          <w:b/>
          <w:sz w:val="28"/>
          <w:szCs w:val="28"/>
          <w:highlight w:val="none"/>
        </w:rPr>
        <w:t>13. 验收和工程试车</w:t>
      </w:r>
      <w:bookmarkEnd w:id="615"/>
      <w:bookmarkEnd w:id="616"/>
    </w:p>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 分部分项工程验收</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13.1.2监理人不能按时进行验收时，应提前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小时提交书面延期要求。</w:t>
      </w:r>
    </w:p>
    <w:p>
      <w:pPr>
        <w:spacing w:line="360" w:lineRule="auto"/>
        <w:ind w:firstLine="560" w:firstLineChars="200"/>
        <w:jc w:val="left"/>
        <w:rPr>
          <w:rFonts w:hint="eastAsia" w:ascii="仿宋" w:hAnsi="仿宋" w:eastAsia="仿宋" w:cs="仿宋"/>
          <w:b/>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w:t>
      </w:r>
    </w:p>
    <w:p>
      <w:pPr>
        <w:spacing w:after="120" w:line="360" w:lineRule="auto"/>
        <w:ind w:firstLine="560" w:firstLineChars="200"/>
        <w:rPr>
          <w:rFonts w:hint="eastAsia" w:ascii="仿宋" w:hAnsi="仿宋" w:eastAsia="仿宋" w:cs="仿宋"/>
          <w:sz w:val="28"/>
          <w:szCs w:val="28"/>
          <w:highlight w:val="none"/>
        </w:rPr>
      </w:pPr>
      <w:bookmarkStart w:id="633" w:name="_Toc297120523"/>
      <w:bookmarkStart w:id="634" w:name="_Toc312678056"/>
      <w:bookmarkStart w:id="635" w:name="_Toc296346724"/>
      <w:bookmarkStart w:id="636" w:name="_Toc300935016"/>
      <w:bookmarkStart w:id="637" w:name="_Toc292559933"/>
      <w:bookmarkStart w:id="638" w:name="_Toc297216224"/>
      <w:bookmarkStart w:id="639" w:name="_Toc304295596"/>
      <w:bookmarkStart w:id="640" w:name="_Toc296944562"/>
      <w:bookmarkStart w:id="641" w:name="_Toc296891263"/>
      <w:bookmarkStart w:id="642" w:name="_Toc297123565"/>
      <w:bookmarkStart w:id="643" w:name="_Toc296347222"/>
      <w:bookmarkStart w:id="644" w:name="_Toc292559428"/>
      <w:bookmarkStart w:id="645" w:name="_Toc296503223"/>
      <w:bookmarkStart w:id="646" w:name="_Toc303539173"/>
      <w:bookmarkStart w:id="647" w:name="_Toc296891051"/>
      <w:bookmarkStart w:id="648" w:name="_Toc297048409"/>
      <w:bookmarkStart w:id="649" w:name="_Toc267251471"/>
      <w:bookmarkStart w:id="650" w:name="_Toc267251473"/>
      <w:bookmarkStart w:id="651" w:name="_Toc267251472"/>
      <w:bookmarkStart w:id="652" w:name="_Toc267251470"/>
      <w:bookmarkStart w:id="653" w:name="_Toc267251475"/>
      <w:bookmarkStart w:id="654" w:name="_Toc267251474"/>
      <w:bookmarkStart w:id="655" w:name="_Toc267251476"/>
      <w:r>
        <w:rPr>
          <w:rFonts w:hint="eastAsia" w:ascii="仿宋" w:hAnsi="仿宋" w:eastAsia="仿宋" w:cs="仿宋"/>
          <w:sz w:val="28"/>
          <w:szCs w:val="28"/>
          <w:highlight w:val="none"/>
        </w:rPr>
        <w:t>13.2 竣工验收</w:t>
      </w:r>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Pr>
        <w:spacing w:line="360" w:lineRule="auto"/>
        <w:ind w:firstLine="560" w:firstLineChars="200"/>
        <w:jc w:val="left"/>
        <w:rPr>
          <w:rFonts w:hint="eastAsia" w:ascii="仿宋" w:hAnsi="仿宋" w:eastAsia="仿宋" w:cs="仿宋"/>
          <w:sz w:val="28"/>
          <w:szCs w:val="28"/>
          <w:highlight w:val="none"/>
        </w:rPr>
      </w:pPr>
      <w:bookmarkStart w:id="656" w:name="_Toc280868704"/>
      <w:bookmarkStart w:id="657" w:name="_Toc280868705"/>
      <w:bookmarkStart w:id="658" w:name="_Toc280868706"/>
      <w:bookmarkStart w:id="659" w:name="_Toc280868707"/>
      <w:bookmarkStart w:id="660" w:name="_Toc280868708"/>
      <w:bookmarkStart w:id="661" w:name="_Toc280868709"/>
      <w:r>
        <w:rPr>
          <w:rFonts w:hint="eastAsia" w:ascii="仿宋" w:hAnsi="仿宋" w:eastAsia="仿宋" w:cs="仿宋"/>
          <w:sz w:val="28"/>
          <w:szCs w:val="28"/>
          <w:highlight w:val="none"/>
        </w:rPr>
        <w:t>13.2.2竣工验收程序</w:t>
      </w:r>
    </w:p>
    <w:bookmarkEnd w:id="656"/>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关于竣工验收程序的约定：</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发包人不按照本项约定组织竣工验收、颁发工程接收证书的违约金的计算方法：</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57"/>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13.2.5移交、接收全部与部分工程</w:t>
      </w:r>
    </w:p>
    <w:bookmarkEnd w:id="658"/>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承包人向发包人移交工程的期限：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rPr>
        <w:t>发包人未按本合同约定接收全部或部分工程的，违约金的计算方法为：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59"/>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承包人未按时移交工程的，违约金的计算方法为：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13.3 工程试车</w:t>
      </w:r>
    </w:p>
    <w:bookmarkEnd w:id="660"/>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13.3.1 试车程序</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工程试车内容：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（1）单机无负荷试车费用由</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承担；</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（2）无负荷联动试车费用由</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承担。</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13.3.3 投料试车</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关于投料试车相关事项的约定：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662" w:name="_Toc501726613"/>
      <w:r>
        <w:rPr>
          <w:rFonts w:hint="eastAsia" w:ascii="仿宋" w:hAnsi="仿宋" w:eastAsia="仿宋" w:cs="仿宋"/>
          <w:sz w:val="28"/>
          <w:szCs w:val="28"/>
          <w:highlight w:val="none"/>
        </w:rPr>
        <w:t>13.6 竣工退场</w:t>
      </w:r>
      <w:bookmarkEnd w:id="662"/>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13.6.1 竣工退场</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承包人完成竣工退场的期限：</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663" w:name="_Toc501726614"/>
      <w:bookmarkStart w:id="664" w:name="_Toc351203646"/>
      <w:r>
        <w:rPr>
          <w:rFonts w:hint="eastAsia" w:ascii="仿宋" w:hAnsi="仿宋" w:eastAsia="仿宋" w:cs="仿宋"/>
          <w:b/>
          <w:sz w:val="28"/>
          <w:szCs w:val="28"/>
          <w:highlight w:val="none"/>
        </w:rPr>
        <w:t>14. 竣工结算</w:t>
      </w:r>
      <w:bookmarkEnd w:id="663"/>
      <w:bookmarkEnd w:id="664"/>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14.1 竣工结算申请</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承包人提交竣工结算申请单的期限：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竣工结算申请单应包括的内容：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665" w:name="_Toc501726615"/>
      <w:r>
        <w:rPr>
          <w:rFonts w:hint="eastAsia" w:ascii="仿宋" w:hAnsi="仿宋" w:eastAsia="仿宋" w:cs="仿宋"/>
          <w:sz w:val="28"/>
          <w:szCs w:val="28"/>
          <w:highlight w:val="none"/>
        </w:rPr>
        <w:t>14.2 竣工结算审核</w:t>
      </w:r>
      <w:bookmarkEnd w:id="665"/>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发包人审批竣工付款申请单的期限：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发包人完成竣工付款的期限：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关于竣工付款证书异议部分复核的方式和程序：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14.4 最终结清</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14.4.1 最终结清申请单</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承包人提交最终结清申请单的份数：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承包人提交最终结算申请单的期限：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14.4.2 最终结清证书和支付</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（1）发包人完成最终结清申请单的审批并颁发最终结清证书的期限：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（2）发包人完成支付的期限：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49"/>
    <w:bookmarkEnd w:id="650"/>
    <w:bookmarkEnd w:id="651"/>
    <w:bookmarkEnd w:id="652"/>
    <w:bookmarkEnd w:id="653"/>
    <w:bookmarkEnd w:id="654"/>
    <w:bookmarkEnd w:id="655"/>
    <w:bookmarkEnd w:id="661"/>
    <w:p>
      <w:pPr>
        <w:spacing w:before="120" w:after="120" w:line="360" w:lineRule="auto"/>
        <w:rPr>
          <w:rFonts w:hint="eastAsia" w:ascii="仿宋" w:hAnsi="仿宋" w:eastAsia="仿宋" w:cs="仿宋"/>
          <w:b/>
          <w:sz w:val="28"/>
          <w:szCs w:val="28"/>
          <w:highlight w:val="none"/>
        </w:rPr>
      </w:pPr>
      <w:bookmarkStart w:id="666" w:name="_Toc501726616"/>
      <w:bookmarkStart w:id="667" w:name="_Toc351203647"/>
      <w:bookmarkStart w:id="668" w:name="_Toc267251483"/>
      <w:bookmarkStart w:id="669" w:name="_Toc267251484"/>
      <w:bookmarkStart w:id="670" w:name="_Toc267251482"/>
      <w:bookmarkStart w:id="671" w:name="_Toc267251485"/>
      <w:bookmarkStart w:id="672" w:name="_Toc267251490"/>
      <w:bookmarkStart w:id="673" w:name="_Toc267251488"/>
      <w:bookmarkStart w:id="674" w:name="_Toc267251489"/>
      <w:bookmarkStart w:id="675" w:name="_Toc267251486"/>
      <w:bookmarkStart w:id="676" w:name="_Toc267251493"/>
      <w:bookmarkStart w:id="677" w:name="_Toc267251498"/>
      <w:bookmarkStart w:id="678" w:name="_Toc267251501"/>
      <w:bookmarkStart w:id="679" w:name="_Toc267251499"/>
      <w:bookmarkStart w:id="680" w:name="_Toc267251495"/>
      <w:bookmarkStart w:id="681" w:name="_Toc267251503"/>
      <w:bookmarkStart w:id="682" w:name="_Toc267251497"/>
      <w:bookmarkStart w:id="683" w:name="_Toc267251502"/>
      <w:bookmarkStart w:id="684" w:name="_Toc267251492"/>
      <w:bookmarkStart w:id="685" w:name="_Toc267251491"/>
      <w:bookmarkStart w:id="686" w:name="_Toc267251494"/>
      <w:bookmarkStart w:id="687" w:name="_Toc267251496"/>
      <w:bookmarkStart w:id="688" w:name="_Toc267251504"/>
      <w:bookmarkStart w:id="689" w:name="_Toc267251506"/>
      <w:bookmarkStart w:id="690" w:name="_Toc267251507"/>
      <w:bookmarkStart w:id="691" w:name="_Toc267251508"/>
      <w:bookmarkStart w:id="692" w:name="_Toc267251515"/>
      <w:bookmarkStart w:id="693" w:name="_Toc267251511"/>
      <w:bookmarkStart w:id="694" w:name="_Toc267251509"/>
      <w:bookmarkStart w:id="695" w:name="_Toc267251514"/>
      <w:bookmarkStart w:id="696" w:name="_Toc267251513"/>
      <w:bookmarkStart w:id="697" w:name="_Toc267251510"/>
      <w:r>
        <w:rPr>
          <w:rFonts w:hint="eastAsia" w:ascii="仿宋" w:hAnsi="仿宋" w:eastAsia="仿宋" w:cs="仿宋"/>
          <w:b/>
          <w:sz w:val="28"/>
          <w:szCs w:val="28"/>
          <w:highlight w:val="none"/>
        </w:rPr>
        <w:t>15. 缺陷责任期与保修</w:t>
      </w:r>
      <w:bookmarkEnd w:id="666"/>
      <w:bookmarkEnd w:id="667"/>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15.2缺陷责任期</w:t>
      </w:r>
      <w:bookmarkEnd w:id="668"/>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缺陷责任期的具体期限：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698" w:name="_Toc501726617"/>
      <w:r>
        <w:rPr>
          <w:rFonts w:hint="eastAsia" w:ascii="仿宋" w:hAnsi="仿宋" w:eastAsia="仿宋" w:cs="仿宋"/>
          <w:sz w:val="28"/>
          <w:szCs w:val="28"/>
          <w:highlight w:val="none"/>
        </w:rPr>
        <w:t>15.3 质量保证金</w:t>
      </w:r>
      <w:bookmarkEnd w:id="698"/>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关于是否扣留质量保证金的约定：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。在工程项目竣工前，承包人按专用合同条款第3.7条提供履约担保的，发包人不得同时预留工程质量保证金。</w:t>
      </w:r>
    </w:p>
    <w:p>
      <w:pPr>
        <w:spacing w:line="360" w:lineRule="auto"/>
        <w:ind w:firstLine="560" w:firstLineChars="200"/>
        <w:jc w:val="left"/>
        <w:rPr>
          <w:rFonts w:hint="eastAsia" w:ascii="仿宋" w:hAnsi="仿宋" w:eastAsia="仿宋" w:cs="仿宋"/>
          <w:sz w:val="28"/>
          <w:szCs w:val="28"/>
          <w:highlight w:val="none"/>
        </w:rPr>
      </w:pPr>
      <w:bookmarkStart w:id="699" w:name="_Toc501726618"/>
      <w:r>
        <w:rPr>
          <w:rFonts w:hint="eastAsia" w:ascii="仿宋" w:hAnsi="仿宋" w:eastAsia="仿宋" w:cs="仿宋"/>
          <w:sz w:val="28"/>
          <w:szCs w:val="28"/>
          <w:highlight w:val="none"/>
        </w:rPr>
        <w:t>15.3.1 承包人提供质量保证金的方式</w:t>
      </w:r>
      <w:bookmarkEnd w:id="699"/>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质量保证金采用以下第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（1）质量保证金保函，保证金额为：</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 xml:space="preserve">； </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%的工程款；</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（3）其他方式:</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bookmarkStart w:id="700" w:name="_Toc501726619"/>
      <w:r>
        <w:rPr>
          <w:rFonts w:hint="eastAsia" w:ascii="仿宋" w:hAnsi="仿宋" w:eastAsia="仿宋" w:cs="仿宋"/>
          <w:sz w:val="28"/>
          <w:szCs w:val="28"/>
          <w:highlight w:val="none"/>
        </w:rPr>
        <w:t>15.3.2 质量保证金的扣留</w:t>
      </w:r>
      <w:bookmarkEnd w:id="700"/>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质量保证金的扣留采取以下第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（1）在支付工程进度款时逐次扣留，在此情形下，质量保证金的计算基数不包括预付款的支付、扣回以及价格调整的金额；</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bookmarkStart w:id="701" w:name="_Toc501726620"/>
      <w:r>
        <w:rPr>
          <w:rFonts w:hint="eastAsia" w:ascii="仿宋" w:hAnsi="仿宋" w:eastAsia="仿宋" w:cs="仿宋"/>
          <w:kern w:val="0"/>
          <w:sz w:val="28"/>
          <w:szCs w:val="28"/>
          <w:highlight w:val="none"/>
        </w:rPr>
        <w:t>（2）工程竣工结算时一次性扣留质量保证金；</w:t>
      </w:r>
      <w:bookmarkEnd w:id="701"/>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（3）其他扣留方式:</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关于质量保证金的补充约定：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bookmarkEnd w:id="669"/>
    <w:bookmarkEnd w:id="670"/>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15.4保修</w:t>
      </w:r>
    </w:p>
    <w:bookmarkEnd w:id="671"/>
    <w:p>
      <w:pPr>
        <w:spacing w:line="360" w:lineRule="auto"/>
        <w:ind w:firstLine="546" w:firstLineChars="19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15.4.1 保修责任</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工程保修期为：</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single"/>
          <w:lang w:val="en-US" w:eastAsia="zh-CN"/>
        </w:rPr>
        <w:t xml:space="preserve">免费保修期按照合同约定 </w:t>
      </w:r>
      <w:r>
        <w:rPr>
          <w:rFonts w:hint="eastAsia" w:ascii="仿宋" w:hAnsi="仿宋" w:eastAsia="仿宋" w:cs="仿宋"/>
          <w:kern w:val="0"/>
          <w:sz w:val="28"/>
          <w:szCs w:val="28"/>
          <w:highlight w:val="none"/>
        </w:rPr>
        <w:t>。</w:t>
      </w:r>
    </w:p>
    <w:p>
      <w:pPr>
        <w:spacing w:line="360" w:lineRule="auto"/>
        <w:ind w:firstLine="546" w:firstLineChars="195"/>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15.4.3 修复通知</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承包人收到保修通知并到达工程现场的合理时间：</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bookmarkEnd w:id="672"/>
    <w:bookmarkEnd w:id="673"/>
    <w:bookmarkEnd w:id="674"/>
    <w:bookmarkEnd w:id="675"/>
    <w:p>
      <w:pPr>
        <w:spacing w:before="120" w:after="120" w:line="360" w:lineRule="auto"/>
        <w:rPr>
          <w:rFonts w:hint="eastAsia" w:ascii="仿宋" w:hAnsi="仿宋" w:eastAsia="仿宋" w:cs="仿宋"/>
          <w:b/>
          <w:sz w:val="28"/>
          <w:szCs w:val="28"/>
          <w:highlight w:val="none"/>
        </w:rPr>
      </w:pPr>
      <w:bookmarkStart w:id="702" w:name="_Toc351203648"/>
      <w:bookmarkStart w:id="703" w:name="_Toc501726621"/>
      <w:bookmarkStart w:id="704" w:name="_Toc280868717"/>
      <w:bookmarkStart w:id="705" w:name="_Toc280868718"/>
      <w:r>
        <w:rPr>
          <w:rFonts w:hint="eastAsia" w:ascii="仿宋" w:hAnsi="仿宋" w:eastAsia="仿宋" w:cs="仿宋"/>
          <w:b/>
          <w:sz w:val="28"/>
          <w:szCs w:val="28"/>
          <w:highlight w:val="none"/>
        </w:rPr>
        <w:t>16. 违约</w:t>
      </w:r>
      <w:bookmarkEnd w:id="702"/>
      <w:bookmarkEnd w:id="703"/>
    </w:p>
    <w:p>
      <w:pPr>
        <w:spacing w:after="120" w:line="360" w:lineRule="auto"/>
        <w:ind w:firstLine="560" w:firstLineChars="200"/>
        <w:rPr>
          <w:rFonts w:hint="eastAsia" w:ascii="仿宋" w:hAnsi="仿宋" w:eastAsia="仿宋" w:cs="仿宋"/>
          <w:sz w:val="28"/>
          <w:szCs w:val="28"/>
          <w:highlight w:val="none"/>
        </w:rPr>
      </w:pPr>
      <w:bookmarkStart w:id="706" w:name="_Toc501726622"/>
      <w:r>
        <w:rPr>
          <w:rFonts w:hint="eastAsia" w:ascii="仿宋" w:hAnsi="仿宋" w:eastAsia="仿宋" w:cs="仿宋"/>
          <w:sz w:val="28"/>
          <w:szCs w:val="28"/>
          <w:highlight w:val="none"/>
        </w:rPr>
        <w:t>16.1 发包人违约</w:t>
      </w:r>
      <w:bookmarkEnd w:id="706"/>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16.1.1发包人违约的情形</w:t>
      </w:r>
    </w:p>
    <w:p>
      <w:pPr>
        <w:spacing w:line="360" w:lineRule="auto"/>
        <w:ind w:left="1050" w:hanging="1400" w:hangingChars="5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发包人违约的其他情形：</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left="1050" w:hanging="1400" w:hangingChars="5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 xml:space="preserve">    16.1.2 发包人违约的责任</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发包人违约责任的承担方式和计算方法：</w:t>
      </w:r>
    </w:p>
    <w:p>
      <w:pPr>
        <w:spacing w:line="360" w:lineRule="auto"/>
        <w:ind w:firstLine="560" w:firstLineChars="200"/>
        <w:jc w:val="left"/>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（1）因发包人原因未能在计划开工日期前7天内下达开工通知的违约责任：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（2）因发包人原因未能按合同约定支付合同价款的违约责任：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（3）发包人违反第10.1款〔变更的范围〕第（2）项约定，自行实施被取消的工作或转由他人实施的违约责任：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（5）因发包人违反合同约定造成暂停施工的违约责任：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（6）发包人无正当理由没有在约定期限内发出复工指示，导致承包人无法复工的违约责任：</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（7）其他：</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16.1.3 因发包人违约解除合同</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承包人按16.1.1项〔发包人违约的情形〕约定暂停施工满</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天后发包人仍不纠正其违约行为并致使合同目的不能实现的，承包人有权解除合同。</w:t>
      </w:r>
    </w:p>
    <w:p>
      <w:pPr>
        <w:spacing w:after="120" w:line="360" w:lineRule="auto"/>
        <w:ind w:firstLine="560" w:firstLineChars="200"/>
        <w:rPr>
          <w:rFonts w:hint="eastAsia" w:ascii="仿宋" w:hAnsi="仿宋" w:eastAsia="仿宋" w:cs="仿宋"/>
          <w:sz w:val="28"/>
          <w:szCs w:val="28"/>
          <w:highlight w:val="none"/>
        </w:rPr>
      </w:pPr>
      <w:bookmarkStart w:id="707" w:name="_Toc501726623"/>
      <w:r>
        <w:rPr>
          <w:rFonts w:hint="eastAsia" w:ascii="仿宋" w:hAnsi="仿宋" w:eastAsia="仿宋" w:cs="仿宋"/>
          <w:sz w:val="28"/>
          <w:szCs w:val="28"/>
          <w:highlight w:val="none"/>
        </w:rPr>
        <w:t>16.2 承包人违约</w:t>
      </w:r>
      <w:bookmarkEnd w:id="707"/>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16.2.1 承包人违约的情形</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承包人违约的其他情形：</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16.2.2承包人违约的责任</w:t>
      </w:r>
    </w:p>
    <w:p>
      <w:pPr>
        <w:spacing w:line="360" w:lineRule="auto"/>
        <w:ind w:left="1050" w:hanging="1400" w:hangingChars="500"/>
        <w:jc w:val="left"/>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承包人违约责任的承担方式和计算方法：</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16.2.3 因承包人违约解除合同</w:t>
      </w:r>
    </w:p>
    <w:p>
      <w:pPr>
        <w:spacing w:before="120" w:after="120" w:line="360" w:lineRule="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关于承包人违约解除合同的特别约定：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发包人继续使用承包人在施工现场的材料、设备、临时工程、承包人文件和由承包人或以其名义编制的其他文件的费用承担方式：</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before="120" w:after="120" w:line="360" w:lineRule="auto"/>
        <w:rPr>
          <w:rFonts w:hint="eastAsia" w:ascii="仿宋" w:hAnsi="仿宋" w:eastAsia="仿宋" w:cs="仿宋"/>
          <w:b/>
          <w:sz w:val="28"/>
          <w:szCs w:val="28"/>
          <w:highlight w:val="none"/>
        </w:rPr>
      </w:pPr>
      <w:bookmarkStart w:id="708" w:name="_Toc351203649"/>
      <w:bookmarkStart w:id="709" w:name="_Toc501726624"/>
      <w:r>
        <w:rPr>
          <w:rFonts w:hint="eastAsia" w:ascii="仿宋" w:hAnsi="仿宋" w:eastAsia="仿宋" w:cs="仿宋"/>
          <w:b/>
          <w:sz w:val="28"/>
          <w:szCs w:val="28"/>
          <w:highlight w:val="none"/>
        </w:rPr>
        <w:t>17. 不可抗力</w:t>
      </w:r>
      <w:bookmarkEnd w:id="708"/>
      <w:bookmarkEnd w:id="709"/>
      <w:r>
        <w:rPr>
          <w:rFonts w:hint="eastAsia" w:ascii="仿宋" w:hAnsi="仿宋" w:eastAsia="仿宋" w:cs="仿宋"/>
          <w:b/>
          <w:sz w:val="28"/>
          <w:szCs w:val="28"/>
          <w:highlight w:val="none"/>
        </w:rPr>
        <w:t xml:space="preserve"> </w:t>
      </w:r>
      <w:bookmarkEnd w:id="704"/>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17.1 不可抗力的确认</w:t>
      </w:r>
    </w:p>
    <w:p>
      <w:pPr>
        <w:spacing w:line="360" w:lineRule="auto"/>
        <w:ind w:firstLine="560" w:firstLineChars="200"/>
        <w:jc w:val="left"/>
        <w:rPr>
          <w:rFonts w:hint="eastAsia" w:ascii="仿宋" w:hAnsi="仿宋" w:eastAsia="仿宋" w:cs="仿宋"/>
          <w:kern w:val="0"/>
          <w:sz w:val="28"/>
          <w:szCs w:val="28"/>
          <w:highlight w:val="none"/>
          <w:u w:val="single"/>
        </w:rPr>
      </w:pPr>
      <w:r>
        <w:rPr>
          <w:rFonts w:hint="eastAsia" w:ascii="仿宋" w:hAnsi="仿宋" w:eastAsia="仿宋" w:cs="仿宋"/>
          <w:sz w:val="28"/>
          <w:szCs w:val="28"/>
          <w:highlight w:val="none"/>
        </w:rPr>
        <w:t xml:space="preserve">除通用合同条款约定的不可抗力事件之外，视为不可抗力的其他情形：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710" w:name="_Toc501726625"/>
      <w:r>
        <w:rPr>
          <w:rFonts w:hint="eastAsia" w:ascii="仿宋" w:hAnsi="仿宋" w:eastAsia="仿宋" w:cs="仿宋"/>
          <w:sz w:val="28"/>
          <w:szCs w:val="28"/>
          <w:highlight w:val="none"/>
        </w:rPr>
        <w:t>17.4 因不可抗力解除合同</w:t>
      </w:r>
      <w:bookmarkEnd w:id="710"/>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合同解除后，发包人应在商定或确定发包人应支付款项后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天内完成款项的支付。</w:t>
      </w:r>
    </w:p>
    <w:p>
      <w:pPr>
        <w:spacing w:before="120" w:after="120" w:line="360" w:lineRule="auto"/>
        <w:rPr>
          <w:rFonts w:hint="eastAsia" w:ascii="仿宋" w:hAnsi="仿宋" w:eastAsia="仿宋" w:cs="仿宋"/>
          <w:b/>
          <w:sz w:val="28"/>
          <w:szCs w:val="28"/>
          <w:highlight w:val="none"/>
        </w:rPr>
      </w:pPr>
      <w:bookmarkStart w:id="711" w:name="_Toc351203650"/>
      <w:bookmarkStart w:id="712" w:name="_Toc501726626"/>
      <w:r>
        <w:rPr>
          <w:rFonts w:hint="eastAsia" w:ascii="仿宋" w:hAnsi="仿宋" w:eastAsia="仿宋" w:cs="仿宋"/>
          <w:b/>
          <w:sz w:val="28"/>
          <w:szCs w:val="28"/>
          <w:highlight w:val="none"/>
        </w:rPr>
        <w:t>18. 保险</w:t>
      </w:r>
      <w:bookmarkEnd w:id="711"/>
      <w:bookmarkEnd w:id="712"/>
    </w:p>
    <w:bookmarkEnd w:id="705"/>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18.1 工程保险</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关于工程保险的特别约定：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713" w:name="_Toc501726627"/>
      <w:r>
        <w:rPr>
          <w:rFonts w:hint="eastAsia" w:ascii="仿宋" w:hAnsi="仿宋" w:eastAsia="仿宋" w:cs="仿宋"/>
          <w:sz w:val="28"/>
          <w:szCs w:val="28"/>
          <w:highlight w:val="none"/>
        </w:rPr>
        <w:t>18.3 其他保险</w:t>
      </w:r>
      <w:bookmarkEnd w:id="713"/>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关于其他保险的约定：</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承包人是否应为其施工设备等办理财产保险：</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18.7 通知义务</w:t>
      </w:r>
    </w:p>
    <w:p>
      <w:pPr>
        <w:spacing w:line="360" w:lineRule="auto"/>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关于变更保险合同时的通知义务的约定：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76"/>
    <w:bookmarkEnd w:id="677"/>
    <w:bookmarkEnd w:id="678"/>
    <w:bookmarkEnd w:id="679"/>
    <w:bookmarkEnd w:id="680"/>
    <w:bookmarkEnd w:id="681"/>
    <w:bookmarkEnd w:id="682"/>
    <w:bookmarkEnd w:id="683"/>
    <w:bookmarkEnd w:id="684"/>
    <w:bookmarkEnd w:id="685"/>
    <w:bookmarkEnd w:id="686"/>
    <w:bookmarkEnd w:id="687"/>
    <w:p>
      <w:pPr>
        <w:spacing w:before="120" w:after="120" w:line="360" w:lineRule="auto"/>
        <w:rPr>
          <w:rFonts w:hint="eastAsia" w:ascii="仿宋" w:hAnsi="仿宋" w:eastAsia="仿宋" w:cs="仿宋"/>
          <w:b/>
          <w:sz w:val="28"/>
          <w:szCs w:val="28"/>
          <w:highlight w:val="none"/>
        </w:rPr>
      </w:pPr>
      <w:bookmarkStart w:id="714" w:name="_Toc501726628"/>
      <w:bookmarkStart w:id="715" w:name="_Toc351203651"/>
      <w:r>
        <w:rPr>
          <w:rFonts w:hint="eastAsia" w:ascii="仿宋" w:hAnsi="仿宋" w:eastAsia="仿宋" w:cs="仿宋"/>
          <w:b/>
          <w:sz w:val="28"/>
          <w:szCs w:val="28"/>
          <w:highlight w:val="none"/>
        </w:rPr>
        <w:t>20. 争议解决</w:t>
      </w:r>
      <w:bookmarkEnd w:id="714"/>
      <w:bookmarkEnd w:id="715"/>
    </w:p>
    <w:bookmarkEnd w:id="688"/>
    <w:bookmarkEnd w:id="689"/>
    <w:p>
      <w:pPr>
        <w:spacing w:after="120" w:line="360" w:lineRule="auto"/>
        <w:ind w:firstLine="560" w:firstLineChars="200"/>
        <w:rPr>
          <w:rFonts w:hint="eastAsia" w:ascii="仿宋" w:hAnsi="仿宋" w:eastAsia="仿宋" w:cs="仿宋"/>
          <w:sz w:val="28"/>
          <w:szCs w:val="28"/>
          <w:highlight w:val="none"/>
        </w:rPr>
      </w:pPr>
      <w:bookmarkStart w:id="716" w:name="_Toc501726629"/>
      <w:r>
        <w:rPr>
          <w:rFonts w:hint="eastAsia" w:ascii="仿宋" w:hAnsi="仿宋" w:eastAsia="仿宋" w:cs="仿宋"/>
          <w:sz w:val="28"/>
          <w:szCs w:val="28"/>
          <w:highlight w:val="none"/>
        </w:rPr>
        <w:t>20.3 争</w:t>
      </w:r>
      <w:bookmarkEnd w:id="690"/>
      <w:r>
        <w:rPr>
          <w:rFonts w:hint="eastAsia" w:ascii="仿宋" w:hAnsi="仿宋" w:eastAsia="仿宋" w:cs="仿宋"/>
          <w:sz w:val="28"/>
          <w:szCs w:val="28"/>
          <w:highlight w:val="none"/>
        </w:rPr>
        <w:t>议评审</w:t>
      </w:r>
      <w:bookmarkEnd w:id="716"/>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合同当事人是否同意将工程争议提交争议评审小组决定：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bookmarkStart w:id="717" w:name="_Toc501726630"/>
      <w:r>
        <w:rPr>
          <w:rFonts w:hint="eastAsia" w:ascii="仿宋" w:hAnsi="仿宋" w:eastAsia="仿宋" w:cs="仿宋"/>
          <w:sz w:val="28"/>
          <w:szCs w:val="28"/>
          <w:highlight w:val="none"/>
        </w:rPr>
        <w:t>20.3.1 争议评审小组的确定</w:t>
      </w:r>
      <w:bookmarkEnd w:id="717"/>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争议评审小组成员的确定：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选定争议评审员的期限：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争议评审小组成员的报酬承担方式：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其他事项的约定：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kern w:val="0"/>
          <w:sz w:val="28"/>
          <w:szCs w:val="28"/>
          <w:highlight w:val="none"/>
        </w:rPr>
      </w:pPr>
      <w:bookmarkStart w:id="718" w:name="_Toc501726631"/>
      <w:r>
        <w:rPr>
          <w:rFonts w:hint="eastAsia" w:ascii="仿宋" w:hAnsi="仿宋" w:eastAsia="仿宋" w:cs="仿宋"/>
          <w:kern w:val="0"/>
          <w:sz w:val="28"/>
          <w:szCs w:val="28"/>
          <w:highlight w:val="none"/>
        </w:rPr>
        <w:t>20.3.2 争议评审小组的决定</w:t>
      </w:r>
      <w:bookmarkEnd w:id="718"/>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合同当事人关于本项的约定：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after="120" w:line="360" w:lineRule="auto"/>
        <w:ind w:firstLine="560" w:firstLineChars="200"/>
        <w:rPr>
          <w:rFonts w:hint="eastAsia" w:ascii="仿宋" w:hAnsi="仿宋" w:eastAsia="仿宋" w:cs="仿宋"/>
          <w:sz w:val="28"/>
          <w:szCs w:val="28"/>
          <w:highlight w:val="none"/>
        </w:rPr>
      </w:pPr>
      <w:bookmarkStart w:id="719" w:name="_Toc501726632"/>
      <w:r>
        <w:rPr>
          <w:rFonts w:hint="eastAsia" w:ascii="仿宋" w:hAnsi="仿宋" w:eastAsia="仿宋" w:cs="仿宋"/>
          <w:sz w:val="28"/>
          <w:szCs w:val="28"/>
          <w:highlight w:val="none"/>
        </w:rPr>
        <w:t>20.4仲裁或诉讼</w:t>
      </w:r>
      <w:bookmarkEnd w:id="691"/>
      <w:bookmarkEnd w:id="719"/>
    </w:p>
    <w:p>
      <w:pPr>
        <w:spacing w:after="120"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因合同及合同有关事项发生的争议，按下列第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lang w:val="en-US" w:eastAsia="zh-CN"/>
        </w:rPr>
        <w:t>2</w:t>
      </w:r>
      <w:r>
        <w:rPr>
          <w:rFonts w:hint="eastAsia" w:ascii="仿宋" w:hAnsi="仿宋" w:eastAsia="仿宋" w:cs="仿宋"/>
          <w:sz w:val="28"/>
          <w:szCs w:val="28"/>
          <w:highlight w:val="none"/>
          <w:u w:val="singl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种方式解决：</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项目所在地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仲裁委员会申请仲裁；</w:t>
      </w:r>
    </w:p>
    <w:p>
      <w:pPr>
        <w:spacing w:line="360" w:lineRule="auto"/>
        <w:ind w:left="-2"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项目所在地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人民法院起诉。</w:t>
      </w:r>
      <w:bookmarkEnd w:id="692"/>
      <w:bookmarkEnd w:id="693"/>
      <w:bookmarkEnd w:id="694"/>
      <w:bookmarkEnd w:id="695"/>
      <w:bookmarkEnd w:id="696"/>
      <w:bookmarkEnd w:id="697"/>
    </w:p>
    <w:p>
      <w:pPr>
        <w:spacing w:before="120" w:after="120" w:line="360" w:lineRule="auto"/>
        <w:rPr>
          <w:rFonts w:hint="eastAsia" w:ascii="仿宋" w:hAnsi="仿宋" w:eastAsia="仿宋" w:cs="仿宋"/>
          <w:sz w:val="28"/>
          <w:szCs w:val="28"/>
          <w:highlight w:val="none"/>
          <w:lang w:val="en-US" w:eastAsia="zh-CN"/>
        </w:rPr>
      </w:pPr>
      <w:r>
        <w:rPr>
          <w:rFonts w:hint="eastAsia" w:ascii="仿宋" w:hAnsi="仿宋" w:eastAsia="仿宋" w:cs="仿宋"/>
          <w:b/>
          <w:sz w:val="28"/>
          <w:szCs w:val="28"/>
          <w:highlight w:val="none"/>
          <w:lang w:val="en-US" w:eastAsia="zh-CN"/>
        </w:rPr>
        <w:t>21.其他事宜</w:t>
      </w:r>
    </w:p>
    <w:p>
      <w:p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21.1消防应急灯及疏散指示灯具的数量：不受招标数量限制，以在施工中招标人确定安装的实际数量为准，进行结算；</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21.2消防应急灯及疏散指示灯具的费用；供应商应依据市场价情况自主合</w:t>
      </w:r>
      <w:r>
        <w:rPr>
          <w:rFonts w:hint="eastAsia" w:cs="仿宋"/>
          <w:sz w:val="28"/>
          <w:szCs w:val="28"/>
          <w:highlight w:val="none"/>
          <w:lang w:val="en-US" w:eastAsia="zh-CN"/>
        </w:rPr>
        <w:t>理确</w:t>
      </w:r>
      <w:r>
        <w:rPr>
          <w:rFonts w:hint="eastAsia" w:ascii="仿宋" w:hAnsi="仿宋" w:eastAsia="仿宋" w:cs="仿宋"/>
          <w:sz w:val="28"/>
          <w:szCs w:val="28"/>
          <w:highlight w:val="none"/>
          <w:lang w:val="en-US" w:eastAsia="zh-CN"/>
        </w:rPr>
        <w:t>定、报投标综合单价；施工中招标人确定安装的实际工程量发生变化时，增加和减少的工程量，均按照招标人的控制价（综合单价）进行结算；</w:t>
      </w:r>
    </w:p>
    <w:p>
      <w:pPr>
        <w:rPr>
          <w:rFonts w:hint="default"/>
          <w:lang w:val="en-US" w:eastAsia="zh-CN"/>
        </w:rPr>
      </w:pPr>
    </w:p>
    <w:p>
      <w:pPr>
        <w:rPr>
          <w:rFonts w:hint="default"/>
          <w:lang w:val="en-US" w:eastAsia="zh-CN"/>
        </w:rPr>
      </w:pPr>
    </w:p>
    <w:p>
      <w:pPr>
        <w:rPr>
          <w:rFonts w:hint="default"/>
          <w:b/>
          <w:bCs/>
          <w:lang w:val="en-US" w:eastAsia="zh-CN"/>
        </w:rPr>
      </w:pPr>
      <w:bookmarkStart w:id="720" w:name="_Toc3065"/>
      <w:r>
        <w:rPr>
          <w:rFonts w:hint="default"/>
          <w:b/>
          <w:bCs/>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sz w:val="32"/>
          <w:szCs w:val="32"/>
          <w:lang w:val="en-US" w:eastAsia="zh-CN"/>
        </w:rPr>
      </w:pPr>
      <w:r>
        <w:rPr>
          <w:rFonts w:hint="default"/>
          <w:b/>
          <w:bCs/>
          <w:sz w:val="32"/>
          <w:szCs w:val="32"/>
          <w:lang w:val="en-US" w:eastAsia="zh-CN"/>
        </w:rPr>
        <w:t>第五章 工程量清单</w:t>
      </w:r>
      <w:bookmarkEnd w:id="720"/>
      <w:r>
        <w:rPr>
          <w:rFonts w:hint="eastAsia"/>
          <w:b/>
          <w:bCs/>
          <w:sz w:val="32"/>
          <w:szCs w:val="32"/>
          <w:lang w:val="en-US" w:eastAsia="zh-CN"/>
        </w:rPr>
        <w:t>及图纸</w:t>
      </w:r>
    </w:p>
    <w:p>
      <w:pPr>
        <w:jc w:val="center"/>
        <w:rPr>
          <w:rFonts w:hint="default"/>
          <w:lang w:val="en-US" w:eastAsia="zh-CN"/>
        </w:rPr>
      </w:pPr>
      <w:r>
        <w:rPr>
          <w:rFonts w:hint="default"/>
          <w:lang w:val="en-US" w:eastAsia="zh-CN"/>
        </w:rPr>
        <w:t>（另附</w:t>
      </w:r>
      <w:r>
        <w:rPr>
          <w:rFonts w:hint="eastAsia"/>
          <w:lang w:val="en-US" w:eastAsia="zh-CN"/>
        </w:rPr>
        <w:t>）</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b/>
          <w:bCs/>
          <w:sz w:val="32"/>
          <w:szCs w:val="32"/>
          <w:lang w:val="en-US" w:eastAsia="zh-CN"/>
        </w:rPr>
      </w:pPr>
      <w:bookmarkStart w:id="721" w:name="_Toc25214"/>
      <w:bookmarkStart w:id="722" w:name="_Toc14416"/>
      <w:r>
        <w:rPr>
          <w:rFonts w:hint="default"/>
          <w:b/>
          <w:bCs/>
          <w:sz w:val="32"/>
          <w:szCs w:val="32"/>
          <w:lang w:val="en-US"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b/>
          <w:bCs/>
          <w:sz w:val="32"/>
          <w:szCs w:val="32"/>
          <w:lang w:val="en-US" w:eastAsia="zh-CN"/>
        </w:rPr>
      </w:pPr>
      <w:r>
        <w:rPr>
          <w:rFonts w:hint="default"/>
          <w:b/>
          <w:bCs/>
          <w:sz w:val="32"/>
          <w:szCs w:val="32"/>
          <w:lang w:val="en-US" w:eastAsia="zh-CN"/>
        </w:rPr>
        <w:t>第六章 响应文件格式</w:t>
      </w:r>
      <w:bookmarkEnd w:id="721"/>
      <w:bookmarkEnd w:id="722"/>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b/>
          <w:bCs/>
          <w:u w:val="single"/>
          <w:lang w:val="en-US" w:eastAsia="zh-CN"/>
        </w:rPr>
      </w:pPr>
      <w:bookmarkStart w:id="723" w:name="_Toc15074"/>
      <w:r>
        <w:rPr>
          <w:rFonts w:hint="default"/>
          <w:b/>
          <w:bCs/>
          <w:u w:val="single"/>
          <w:lang w:val="en-US" w:eastAsia="zh-CN"/>
        </w:rPr>
        <w:t>（项目名称及标段）</w:t>
      </w:r>
      <w:bookmarkEnd w:id="723"/>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b/>
          <w:bCs/>
          <w:sz w:val="36"/>
          <w:szCs w:val="36"/>
          <w:lang w:val="en-US" w:eastAsia="zh-CN"/>
        </w:rPr>
      </w:pPr>
      <w:bookmarkStart w:id="724" w:name="_Toc8703"/>
      <w:r>
        <w:rPr>
          <w:rFonts w:hint="default"/>
          <w:b/>
          <w:bCs/>
          <w:sz w:val="36"/>
          <w:szCs w:val="36"/>
          <w:lang w:val="en-US" w:eastAsia="zh-CN"/>
        </w:rPr>
        <w:t>响 应 文 件</w:t>
      </w:r>
      <w:bookmarkEnd w:id="724"/>
    </w:p>
    <w:p>
      <w:pPr>
        <w:jc w:val="center"/>
        <w:rPr>
          <w:rFonts w:hint="default"/>
          <w:lang w:val="en-US" w:eastAsia="zh-CN"/>
        </w:rPr>
      </w:pPr>
      <w:bookmarkStart w:id="725" w:name="_Toc19998"/>
      <w:r>
        <w:rPr>
          <w:rFonts w:hint="default"/>
          <w:lang w:val="en-US" w:eastAsia="zh-CN"/>
        </w:rPr>
        <w:t>项目编号：</w:t>
      </w:r>
      <w:bookmarkEnd w:id="725"/>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rPr>
          <w:rFonts w:hint="default"/>
          <w:lang w:val="en-US" w:eastAsia="zh-CN"/>
        </w:rPr>
      </w:pPr>
      <w:bookmarkStart w:id="726" w:name="_Toc23433"/>
      <w:r>
        <w:rPr>
          <w:rFonts w:hint="default"/>
          <w:lang w:val="en-US" w:eastAsia="zh-CN"/>
        </w:rPr>
        <w:t>供应商：</w:t>
      </w:r>
      <w:r>
        <w:rPr>
          <w:rFonts w:hint="eastAsia"/>
          <w:u w:val="single"/>
          <w:lang w:val="en-US" w:eastAsia="zh-CN"/>
        </w:rPr>
        <w:t xml:space="preserve">            </w:t>
      </w:r>
      <w:r>
        <w:rPr>
          <w:rFonts w:hint="default"/>
          <w:u w:val="single"/>
          <w:lang w:val="en-US" w:eastAsia="zh-CN"/>
        </w:rPr>
        <w:tab/>
      </w:r>
      <w:r>
        <w:rPr>
          <w:rFonts w:hint="default"/>
          <w:lang w:val="en-US" w:eastAsia="zh-CN"/>
        </w:rPr>
        <w:t>（盖单位公章）</w:t>
      </w:r>
    </w:p>
    <w:p>
      <w:pPr>
        <w:jc w:val="center"/>
        <w:rPr>
          <w:rFonts w:hint="default"/>
          <w:lang w:val="en-US" w:eastAsia="zh-CN"/>
        </w:rPr>
      </w:pPr>
      <w:r>
        <w:rPr>
          <w:rFonts w:hint="default"/>
          <w:lang w:val="en-US" w:eastAsia="zh-CN"/>
        </w:rPr>
        <w:t>法定代表人：</w:t>
      </w:r>
      <w:r>
        <w:rPr>
          <w:rFonts w:hint="default"/>
          <w:u w:val="single"/>
          <w:lang w:val="en-US" w:eastAsia="zh-CN"/>
        </w:rPr>
        <w:tab/>
      </w:r>
      <w:r>
        <w:rPr>
          <w:rFonts w:hint="eastAsia"/>
          <w:u w:val="single"/>
          <w:lang w:val="en-US" w:eastAsia="zh-CN"/>
        </w:rPr>
        <w:t xml:space="preserve">         </w:t>
      </w:r>
      <w:r>
        <w:rPr>
          <w:rFonts w:hint="default"/>
          <w:lang w:val="en-US" w:eastAsia="zh-CN"/>
        </w:rPr>
        <w:t>（签字或盖章）</w:t>
      </w:r>
      <w:bookmarkEnd w:id="726"/>
    </w:p>
    <w:p>
      <w:pPr>
        <w:jc w:val="center"/>
        <w:rPr>
          <w:rFonts w:hint="default"/>
          <w:lang w:val="en-US" w:eastAsia="zh-CN"/>
        </w:rPr>
      </w:pPr>
      <w:bookmarkStart w:id="727" w:name="_Toc7007"/>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bookmarkEnd w:id="727"/>
    </w:p>
    <w:p>
      <w:pPr>
        <w:jc w:val="center"/>
        <w:rPr>
          <w:rFonts w:hint="default"/>
          <w:lang w:val="en-US" w:eastAsia="zh-CN"/>
        </w:rPr>
      </w:pPr>
    </w:p>
    <w:p>
      <w:pPr>
        <w:jc w:val="center"/>
        <w:rPr>
          <w:rFonts w:hint="default"/>
          <w:lang w:val="en-US" w:eastAsia="zh-CN"/>
        </w:rPr>
      </w:pPr>
    </w:p>
    <w:p>
      <w:pPr>
        <w:jc w:val="center"/>
        <w:rPr>
          <w:rFonts w:hint="default"/>
          <w:lang w:val="en-US" w:eastAsia="zh-CN"/>
        </w:rPr>
      </w:pPr>
      <w:bookmarkStart w:id="728" w:name="_Toc2891"/>
      <w:r>
        <w:rPr>
          <w:rFonts w:hint="default"/>
          <w:lang w:val="en-US" w:eastAsia="zh-CN"/>
        </w:rPr>
        <w:t>目 录</w:t>
      </w:r>
      <w:bookmarkEnd w:id="728"/>
    </w:p>
    <w:p>
      <w:pPr>
        <w:jc w:val="center"/>
        <w:rPr>
          <w:rFonts w:hint="default"/>
          <w:lang w:val="en-US" w:eastAsia="zh-CN"/>
        </w:rPr>
      </w:pPr>
    </w:p>
    <w:p>
      <w:pPr>
        <w:jc w:val="center"/>
        <w:rPr>
          <w:rFonts w:hint="default"/>
          <w:lang w:val="en-US" w:eastAsia="zh-CN"/>
        </w:rPr>
      </w:pPr>
      <w:r>
        <w:rPr>
          <w:rFonts w:hint="default"/>
          <w:lang w:val="en-US" w:eastAsia="zh-CN"/>
        </w:rPr>
        <w:t>（格式自拟）</w:t>
      </w: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lang w:val="en-US" w:eastAsia="zh-CN"/>
        </w:rPr>
      </w:pPr>
    </w:p>
    <w:p>
      <w:pPr>
        <w:jc w:val="center"/>
        <w:rPr>
          <w:rFonts w:hint="default"/>
          <w:b/>
          <w:bCs/>
          <w:lang w:val="en-US" w:eastAsia="zh-CN"/>
        </w:rPr>
      </w:pPr>
      <w:bookmarkStart w:id="729" w:name="_Toc13869"/>
      <w:r>
        <w:rPr>
          <w:rFonts w:hint="default"/>
          <w:b/>
          <w:bCs/>
          <w:lang w:val="en-US" w:eastAsia="zh-CN"/>
        </w:rPr>
        <w:t>一、响应函及响应函附录</w:t>
      </w:r>
      <w:bookmarkEnd w:id="729"/>
    </w:p>
    <w:p>
      <w:pPr>
        <w:jc w:val="center"/>
        <w:rPr>
          <w:rFonts w:hint="default"/>
          <w:lang w:val="en-US" w:eastAsia="zh-CN"/>
        </w:rPr>
      </w:pPr>
      <w:bookmarkStart w:id="730" w:name="_Toc27329"/>
      <w:r>
        <w:rPr>
          <w:rFonts w:hint="default"/>
          <w:b/>
          <w:bCs/>
          <w:lang w:val="en-US" w:eastAsia="zh-CN"/>
        </w:rPr>
        <w:t>（一）响应函</w:t>
      </w:r>
      <w:bookmarkEnd w:id="7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u w:val="single"/>
          <w:lang w:val="en-US" w:eastAsia="zh-CN"/>
        </w:rPr>
        <w:t xml:space="preserve">            </w:t>
      </w:r>
      <w:r>
        <w:rPr>
          <w:rFonts w:hint="default"/>
          <w:lang w:val="en-US" w:eastAsia="zh-CN"/>
        </w:rPr>
        <w:t>（采购人名称）：</w:t>
      </w:r>
    </w:p>
    <w:p>
      <w:pPr>
        <w:keepNext w:val="0"/>
        <w:keepLines w:val="0"/>
        <w:pageBreakBefore w:val="0"/>
        <w:widowControl w:val="0"/>
        <w:kinsoku/>
        <w:wordWrap w:val="0"/>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我方</w:t>
      </w:r>
      <w:r>
        <w:rPr>
          <w:rFonts w:hint="eastAsia"/>
          <w:lang w:val="en-US" w:eastAsia="zh-CN"/>
        </w:rPr>
        <w:t>已</w:t>
      </w:r>
      <w:r>
        <w:rPr>
          <w:rFonts w:hint="default"/>
          <w:lang w:val="en-US" w:eastAsia="zh-CN"/>
        </w:rPr>
        <w:t>仔细研究了</w:t>
      </w:r>
      <w:r>
        <w:rPr>
          <w:rFonts w:hint="default"/>
          <w:u w:val="single"/>
          <w:lang w:val="en-US" w:eastAsia="zh-CN"/>
        </w:rPr>
        <w:tab/>
      </w:r>
      <w:r>
        <w:rPr>
          <w:rFonts w:hint="default"/>
          <w:u w:val="single"/>
          <w:lang w:val="en-US" w:eastAsia="zh-CN"/>
        </w:rPr>
        <w:tab/>
      </w:r>
      <w:r>
        <w:rPr>
          <w:rFonts w:hint="default"/>
          <w:u w:val="single"/>
          <w:lang w:val="en-US" w:eastAsia="zh-CN"/>
        </w:rPr>
        <w:t>（项目名称及标段）</w:t>
      </w:r>
      <w:r>
        <w:rPr>
          <w:rFonts w:hint="default"/>
          <w:lang w:val="en-US" w:eastAsia="zh-CN"/>
        </w:rPr>
        <w:t>竞争性磋商文件的全部内容，愿意以人民币（大写）</w:t>
      </w:r>
      <w:r>
        <w:rPr>
          <w:rFonts w:hint="default"/>
          <w:u w:val="single"/>
          <w:lang w:val="en-US" w:eastAsia="zh-CN"/>
        </w:rPr>
        <w:tab/>
      </w:r>
      <w:r>
        <w:rPr>
          <w:rFonts w:hint="default"/>
          <w:u w:val="single"/>
          <w:lang w:val="en-US" w:eastAsia="zh-CN"/>
        </w:rPr>
        <w:tab/>
      </w:r>
      <w:r>
        <w:rPr>
          <w:rFonts w:hint="default"/>
          <w:lang w:val="en-US" w:eastAsia="zh-CN"/>
        </w:rPr>
        <w:t>（小写）</w:t>
      </w:r>
      <w:r>
        <w:rPr>
          <w:rFonts w:hint="eastAsia"/>
          <w:u w:val="single"/>
          <w:lang w:val="en-US" w:eastAsia="zh-CN"/>
        </w:rPr>
        <w:t xml:space="preserve">      </w:t>
      </w:r>
      <w:r>
        <w:rPr>
          <w:rFonts w:hint="default"/>
          <w:lang w:val="en-US" w:eastAsia="zh-CN"/>
        </w:rPr>
        <w:t>元的第一次磋商报价，工期</w:t>
      </w:r>
      <w:r>
        <w:rPr>
          <w:rFonts w:hint="eastAsia"/>
          <w:u w:val="single"/>
          <w:lang w:val="en-US" w:eastAsia="zh-CN"/>
        </w:rPr>
        <w:t xml:space="preserve">      </w:t>
      </w:r>
      <w:r>
        <w:rPr>
          <w:rFonts w:hint="default"/>
          <w:lang w:val="en-US" w:eastAsia="zh-CN"/>
        </w:rPr>
        <w:t>日历天，按合同约定实施和完成承包工程， 修补工程中的任何缺陷，质量达到：</w:t>
      </w:r>
      <w:r>
        <w:rPr>
          <w:rFonts w:hint="default"/>
          <w:u w:val="single"/>
          <w:lang w:val="en-US" w:eastAsia="zh-CN"/>
        </w:rPr>
        <w:tab/>
      </w:r>
      <w:r>
        <w:rPr>
          <w:rFonts w:hint="default"/>
          <w:u w:val="single"/>
          <w:lang w:val="en-US" w:eastAsia="zh-CN"/>
        </w:rPr>
        <w:tab/>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我方承诺磋商有效期在 60 日历天内（从响应文件递交截止之日算起）不修改、撤销响应文件。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随同本响应函提交磋商承诺函一份。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4.</w:t>
      </w:r>
      <w:r>
        <w:rPr>
          <w:rFonts w:hint="default"/>
          <w:lang w:val="en-US" w:eastAsia="zh-CN"/>
        </w:rPr>
        <w:t>如我方成交：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（1）</w:t>
      </w:r>
      <w:r>
        <w:rPr>
          <w:rFonts w:hint="default"/>
          <w:lang w:val="en-US" w:eastAsia="zh-CN"/>
        </w:rPr>
        <w:t>我方承诺在收到成交通知书后，在成交通知书规定的期限内与你方签订合同。</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（2）</w:t>
      </w:r>
      <w:r>
        <w:rPr>
          <w:rFonts w:hint="default"/>
          <w:lang w:val="en-US" w:eastAsia="zh-CN"/>
        </w:rPr>
        <w:t>随同本响应函递交的响应函附录属于合同文件的组成部分。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（3）</w:t>
      </w:r>
      <w:r>
        <w:rPr>
          <w:rFonts w:hint="default"/>
          <w:lang w:val="en-US" w:eastAsia="zh-CN"/>
        </w:rPr>
        <w:t>我方承诺在合同约定的期限内完成并移交全部合同工程。</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 xml:space="preserve">5. </w:t>
      </w:r>
      <w:r>
        <w:rPr>
          <w:rFonts w:hint="eastAsia"/>
          <w:u w:val="single"/>
          <w:lang w:val="en-US" w:eastAsia="zh-CN"/>
        </w:rPr>
        <w:t xml:space="preserve">         </w:t>
      </w:r>
      <w:r>
        <w:rPr>
          <w:rFonts w:hint="default"/>
          <w:lang w:val="en-US" w:eastAsia="zh-CN"/>
        </w:rPr>
        <w:t>（其他补充说明）。</w:t>
      </w:r>
    </w:p>
    <w:p>
      <w:pPr>
        <w:rPr>
          <w:rFonts w:hint="default"/>
          <w:lang w:val="en-US" w:eastAsia="zh-CN"/>
        </w:rPr>
      </w:pPr>
    </w:p>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jc w:val="right"/>
        <w:rPr>
          <w:rFonts w:hint="default"/>
          <w:lang w:val="en-US" w:eastAsia="zh-CN"/>
        </w:rPr>
      </w:pPr>
    </w:p>
    <w:p>
      <w:pPr>
        <w:jc w:val="right"/>
        <w:rPr>
          <w:rFonts w:hint="default"/>
          <w:lang w:val="en-US" w:eastAsia="zh-CN"/>
        </w:rPr>
      </w:pPr>
    </w:p>
    <w:p>
      <w:pPr>
        <w:jc w:val="center"/>
        <w:rPr>
          <w:rFonts w:hint="default"/>
          <w:b/>
          <w:bCs/>
          <w:lang w:val="en-US" w:eastAsia="zh-CN"/>
        </w:rPr>
      </w:pPr>
      <w:bookmarkStart w:id="731" w:name="_Toc32202"/>
      <w:r>
        <w:rPr>
          <w:rFonts w:hint="default"/>
          <w:b/>
          <w:bCs/>
          <w:lang w:val="en-US" w:eastAsia="zh-CN"/>
        </w:rPr>
        <w:t>（二）响应函附录</w:t>
      </w:r>
      <w:bookmarkEnd w:id="731"/>
    </w:p>
    <w:tbl>
      <w:tblPr>
        <w:tblStyle w:val="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96"/>
        <w:gridCol w:w="2292"/>
        <w:gridCol w:w="832"/>
        <w:gridCol w:w="794"/>
        <w:gridCol w:w="398"/>
        <w:gridCol w:w="1180"/>
        <w:gridCol w:w="12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项目名称</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2396" w:type="dxa"/>
            <w:noWrap w:val="0"/>
            <w:vAlign w:val="center"/>
          </w:tcPr>
          <w:p>
            <w:pPr>
              <w:jc w:val="center"/>
              <w:rPr>
                <w:rFonts w:hint="default"/>
                <w:lang w:val="en-US" w:eastAsia="zh-CN"/>
              </w:rPr>
            </w:pPr>
            <w:r>
              <w:rPr>
                <w:rFonts w:hint="default"/>
                <w:lang w:val="en-US" w:eastAsia="zh-CN"/>
              </w:rPr>
              <w:t>标段</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供应商名称</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响应范围</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第一次磋商报价</w:t>
            </w:r>
          </w:p>
        </w:tc>
        <w:tc>
          <w:tcPr>
            <w:tcW w:w="3918" w:type="dxa"/>
            <w:gridSpan w:val="3"/>
            <w:noWrap w:val="0"/>
            <w:vAlign w:val="center"/>
          </w:tcPr>
          <w:p>
            <w:pPr>
              <w:jc w:val="left"/>
              <w:rPr>
                <w:rFonts w:hint="default"/>
                <w:lang w:val="en-US" w:eastAsia="zh-CN"/>
              </w:rPr>
            </w:pPr>
            <w:r>
              <w:rPr>
                <w:rFonts w:hint="default"/>
                <w:lang w:val="en-US" w:eastAsia="zh-CN"/>
              </w:rPr>
              <w:t>大写：</w:t>
            </w:r>
          </w:p>
        </w:tc>
        <w:tc>
          <w:tcPr>
            <w:tcW w:w="2873" w:type="dxa"/>
            <w:gridSpan w:val="3"/>
            <w:noWrap w:val="0"/>
            <w:vAlign w:val="center"/>
          </w:tcPr>
          <w:p>
            <w:pPr>
              <w:jc w:val="left"/>
              <w:rPr>
                <w:rFonts w:hint="default"/>
                <w:lang w:val="en-US" w:eastAsia="zh-CN"/>
              </w:rPr>
            </w:pPr>
            <w:r>
              <w:rPr>
                <w:rFonts w:hint="default"/>
                <w:lang w:val="en-US" w:eastAsia="zh-CN"/>
              </w:rPr>
              <w:t>小写：</w:t>
            </w:r>
            <w:r>
              <w:rPr>
                <w:rFonts w:hint="default"/>
                <w:lang w:val="en-US" w:eastAsia="zh-CN"/>
              </w:rPr>
              <w:tab/>
            </w:r>
            <w:r>
              <w:rPr>
                <w:rFonts w:hint="default"/>
                <w:lang w:val="en-US" w:eastAsia="zh-CN"/>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计划工期</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质量要求</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缺陷责任期</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2396" w:type="dxa"/>
            <w:noWrap w:val="0"/>
            <w:vAlign w:val="center"/>
          </w:tcPr>
          <w:p>
            <w:pPr>
              <w:jc w:val="center"/>
              <w:rPr>
                <w:rFonts w:hint="default"/>
                <w:lang w:val="en-US" w:eastAsia="zh-CN"/>
              </w:rPr>
            </w:pPr>
            <w:r>
              <w:rPr>
                <w:rFonts w:hint="default"/>
                <w:lang w:val="en-US" w:eastAsia="zh-CN"/>
              </w:rPr>
              <w:t>磋商有效期</w:t>
            </w:r>
          </w:p>
        </w:tc>
        <w:tc>
          <w:tcPr>
            <w:tcW w:w="6791" w:type="dxa"/>
            <w:gridSpan w:val="6"/>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2396" w:type="dxa"/>
            <w:noWrap w:val="0"/>
            <w:vAlign w:val="center"/>
          </w:tcPr>
          <w:p>
            <w:pPr>
              <w:jc w:val="center"/>
              <w:rPr>
                <w:rFonts w:hint="default"/>
                <w:lang w:val="en-US" w:eastAsia="zh-CN"/>
              </w:rPr>
            </w:pPr>
            <w:r>
              <w:rPr>
                <w:rFonts w:hint="default"/>
                <w:lang w:val="en-US" w:eastAsia="zh-CN"/>
              </w:rPr>
              <w:t>项目经理</w:t>
            </w:r>
          </w:p>
        </w:tc>
        <w:tc>
          <w:tcPr>
            <w:tcW w:w="2292" w:type="dxa"/>
            <w:noWrap w:val="0"/>
            <w:vAlign w:val="center"/>
          </w:tcPr>
          <w:p>
            <w:pPr>
              <w:jc w:val="center"/>
              <w:rPr>
                <w:rFonts w:hint="default"/>
                <w:lang w:val="en-US" w:eastAsia="zh-CN"/>
              </w:rPr>
            </w:pPr>
          </w:p>
        </w:tc>
        <w:tc>
          <w:tcPr>
            <w:tcW w:w="832" w:type="dxa"/>
            <w:noWrap w:val="0"/>
            <w:vAlign w:val="center"/>
          </w:tcPr>
          <w:p>
            <w:pPr>
              <w:jc w:val="center"/>
              <w:rPr>
                <w:rFonts w:hint="default"/>
                <w:lang w:val="en-US" w:eastAsia="zh-CN"/>
              </w:rPr>
            </w:pPr>
            <w:r>
              <w:rPr>
                <w:rFonts w:hint="default"/>
                <w:lang w:val="en-US" w:eastAsia="zh-CN"/>
              </w:rPr>
              <w:t>专业</w:t>
            </w:r>
          </w:p>
        </w:tc>
        <w:tc>
          <w:tcPr>
            <w:tcW w:w="1192" w:type="dxa"/>
            <w:gridSpan w:val="2"/>
            <w:noWrap w:val="0"/>
            <w:vAlign w:val="center"/>
          </w:tcPr>
          <w:p>
            <w:pPr>
              <w:jc w:val="center"/>
              <w:rPr>
                <w:rFonts w:hint="default"/>
                <w:lang w:val="en-US" w:eastAsia="zh-CN"/>
              </w:rPr>
            </w:pPr>
          </w:p>
        </w:tc>
        <w:tc>
          <w:tcPr>
            <w:tcW w:w="1180" w:type="dxa"/>
            <w:noWrap w:val="0"/>
            <w:vAlign w:val="center"/>
          </w:tcPr>
          <w:p>
            <w:pPr>
              <w:jc w:val="center"/>
              <w:rPr>
                <w:rFonts w:hint="default"/>
                <w:lang w:val="en-US" w:eastAsia="zh-CN"/>
              </w:rPr>
            </w:pPr>
            <w:r>
              <w:rPr>
                <w:rFonts w:hint="default"/>
                <w:lang w:val="en-US" w:eastAsia="zh-CN"/>
              </w:rPr>
              <w:t>证书编号</w:t>
            </w:r>
          </w:p>
          <w:p>
            <w:pPr>
              <w:jc w:val="center"/>
              <w:rPr>
                <w:rFonts w:hint="default"/>
                <w:lang w:val="en-US" w:eastAsia="zh-CN"/>
              </w:rPr>
            </w:pPr>
            <w:r>
              <w:rPr>
                <w:rFonts w:hint="default"/>
                <w:lang w:val="en-US" w:eastAsia="zh-CN"/>
              </w:rPr>
              <w:t>（如有）</w:t>
            </w:r>
          </w:p>
        </w:tc>
        <w:tc>
          <w:tcPr>
            <w:tcW w:w="1295"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jc w:val="center"/>
        </w:trPr>
        <w:tc>
          <w:tcPr>
            <w:tcW w:w="2396" w:type="dxa"/>
            <w:noWrap w:val="0"/>
            <w:vAlign w:val="center"/>
          </w:tcPr>
          <w:p>
            <w:pPr>
              <w:jc w:val="center"/>
              <w:rPr>
                <w:rFonts w:hint="default"/>
                <w:lang w:val="en-US" w:eastAsia="zh-CN"/>
              </w:rPr>
            </w:pPr>
            <w:r>
              <w:rPr>
                <w:rFonts w:hint="default"/>
                <w:lang w:val="en-US" w:eastAsia="zh-CN"/>
              </w:rPr>
              <w:t>其他声明</w:t>
            </w:r>
          </w:p>
        </w:tc>
        <w:tc>
          <w:tcPr>
            <w:tcW w:w="6791" w:type="dxa"/>
            <w:gridSpan w:val="6"/>
            <w:noWrap w:val="0"/>
            <w:vAlign w:val="center"/>
          </w:tcPr>
          <w:p>
            <w:pPr>
              <w:jc w:val="center"/>
              <w:rPr>
                <w:rFonts w:hint="default"/>
                <w:lang w:val="en-US" w:eastAsia="zh-CN"/>
              </w:rPr>
            </w:pPr>
          </w:p>
        </w:tc>
      </w:tr>
    </w:tbl>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jc w:val="right"/>
        <w:rPr>
          <w:rFonts w:hint="default"/>
          <w:lang w:val="en-US" w:eastAsia="zh-CN"/>
        </w:rPr>
      </w:pPr>
    </w:p>
    <w:p>
      <w:pPr>
        <w:jc w:val="center"/>
        <w:rPr>
          <w:rFonts w:hint="default"/>
          <w:b/>
          <w:bCs/>
          <w:lang w:val="en-US" w:eastAsia="zh-CN"/>
        </w:rPr>
      </w:pPr>
      <w:bookmarkStart w:id="732" w:name="_Toc275"/>
      <w:r>
        <w:rPr>
          <w:rFonts w:hint="default"/>
          <w:b/>
          <w:bCs/>
          <w:lang w:val="en-US" w:eastAsia="zh-CN"/>
        </w:rPr>
        <w:t>二、法定代表人身份证明</w:t>
      </w:r>
      <w:bookmarkEnd w:id="7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u w:val="single"/>
          <w:lang w:val="en-US" w:eastAsia="zh-CN"/>
        </w:rPr>
      </w:pPr>
      <w:r>
        <w:rPr>
          <w:rFonts w:hint="default"/>
          <w:lang w:val="en-US" w:eastAsia="zh-CN"/>
        </w:rPr>
        <w:t>供应商名称：</w:t>
      </w:r>
      <w:r>
        <w:rPr>
          <w:rFonts w:hint="default"/>
          <w:u w:val="single"/>
          <w:lang w:val="en-US" w:eastAsia="zh-CN"/>
        </w:rPr>
        <w:t xml:space="preserve"> </w:t>
      </w:r>
      <w:r>
        <w:rPr>
          <w:rFonts w:hint="default"/>
          <w:u w:val="single"/>
          <w:lang w:val="en-US" w:eastAsia="zh-CN"/>
        </w:rPr>
        <w:tab/>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单位性质：</w:t>
      </w:r>
      <w:r>
        <w:rPr>
          <w:rFonts w:hint="default"/>
          <w:u w:val="single"/>
          <w:lang w:val="en-US" w:eastAsia="zh-CN"/>
        </w:rPr>
        <w:tab/>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u w:val="single"/>
          <w:lang w:val="en-US" w:eastAsia="zh-CN"/>
        </w:rPr>
      </w:pPr>
      <w:r>
        <w:rPr>
          <w:rFonts w:hint="default"/>
          <w:lang w:val="en-US" w:eastAsia="zh-CN"/>
        </w:rPr>
        <w:t>地址：</w:t>
      </w:r>
      <w:r>
        <w:rPr>
          <w:rFonts w:hint="default"/>
          <w:u w:val="single"/>
          <w:lang w:val="en-US" w:eastAsia="zh-CN"/>
        </w:rPr>
        <w:tab/>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成立时间：</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经营期限：</w:t>
      </w:r>
      <w:r>
        <w:rPr>
          <w:rFonts w:hint="default"/>
          <w:u w:val="single"/>
          <w:lang w:val="en-US" w:eastAsia="zh-CN"/>
        </w:rPr>
        <w:tab/>
      </w:r>
      <w:r>
        <w:rPr>
          <w:rFonts w:hint="eastAsia"/>
          <w:u w:val="single"/>
          <w:lang w:val="en-US" w:eastAsia="zh-CN"/>
        </w:rPr>
        <w:t xml:space="preserve">                          </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姓名：</w:t>
      </w:r>
      <w:r>
        <w:rPr>
          <w:rFonts w:hint="eastAsia"/>
          <w:u w:val="single"/>
          <w:lang w:val="en-US" w:eastAsia="zh-CN"/>
        </w:rPr>
        <w:t xml:space="preserve">      </w:t>
      </w:r>
      <w:r>
        <w:rPr>
          <w:rFonts w:hint="default"/>
          <w:lang w:val="en-US" w:eastAsia="zh-CN"/>
        </w:rPr>
        <w:t>性别：</w:t>
      </w:r>
      <w:r>
        <w:rPr>
          <w:rFonts w:hint="eastAsia"/>
          <w:u w:val="single"/>
          <w:lang w:val="en-US" w:eastAsia="zh-CN"/>
        </w:rPr>
        <w:t xml:space="preserve">      </w:t>
      </w:r>
      <w:r>
        <w:rPr>
          <w:rFonts w:hint="default"/>
          <w:lang w:val="en-US" w:eastAsia="zh-CN"/>
        </w:rPr>
        <w:t>年龄：</w:t>
      </w:r>
      <w:r>
        <w:rPr>
          <w:rFonts w:hint="eastAsia"/>
          <w:u w:val="single"/>
          <w:lang w:val="en-US" w:eastAsia="zh-CN"/>
        </w:rPr>
        <w:t xml:space="preserve">      </w:t>
      </w:r>
      <w:r>
        <w:rPr>
          <w:rFonts w:hint="default"/>
          <w:lang w:val="en-US" w:eastAsia="zh-CN"/>
        </w:rPr>
        <w:t>职务：</w:t>
      </w:r>
      <w:r>
        <w:rPr>
          <w:rFonts w:hint="eastAsia"/>
          <w:u w:val="single"/>
          <w:lang w:val="en-US" w:eastAsia="zh-CN"/>
        </w:rPr>
        <w:t xml:space="preserve">         </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系</w:t>
      </w:r>
      <w:r>
        <w:rPr>
          <w:rFonts w:hint="default"/>
          <w:u w:val="single"/>
          <w:lang w:val="en-US" w:eastAsia="zh-CN"/>
        </w:rPr>
        <w:tab/>
      </w:r>
      <w:r>
        <w:rPr>
          <w:rFonts w:hint="eastAsia"/>
          <w:u w:val="single"/>
          <w:lang w:val="en-US" w:eastAsia="zh-CN"/>
        </w:rPr>
        <w:t xml:space="preserve">                          </w:t>
      </w:r>
      <w:r>
        <w:rPr>
          <w:rFonts w:hint="default"/>
          <w:lang w:val="en-US" w:eastAsia="zh-CN"/>
        </w:rPr>
        <w:t>（供应商名称）的法定代表人。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特此证明。</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附：法定代表人身份证（正、反两面）扫描件</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pPr>
      <w:bookmarkStart w:id="733" w:name="_Toc5626"/>
      <w:r>
        <w:rPr>
          <w:rFonts w:hint="eastAsia"/>
          <w:b/>
          <w:bCs/>
          <w:lang w:val="en-US" w:eastAsia="zh-CN"/>
        </w:rPr>
        <w:t>三、授权委托书</w:t>
      </w:r>
      <w:bookmarkEnd w:id="733"/>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本人</w:t>
      </w:r>
      <w:r>
        <w:rPr>
          <w:u w:val="single"/>
        </w:rPr>
        <w:tab/>
      </w:r>
      <w:r>
        <w:rPr>
          <w:u w:val="single"/>
        </w:rPr>
        <w:tab/>
      </w:r>
      <w:r>
        <w:rPr>
          <w:u w:val="single"/>
        </w:rPr>
        <w:t>（姓名）</w:t>
      </w:r>
      <w:r>
        <w:t>系</w:t>
      </w:r>
      <w:r>
        <w:rPr>
          <w:u w:val="single"/>
        </w:rPr>
        <w:tab/>
      </w:r>
      <w:r>
        <w:rPr>
          <w:u w:val="single"/>
        </w:rPr>
        <w:t>（供应商名称）</w:t>
      </w:r>
      <w:r>
        <w:t>的法定代表人，现委托</w:t>
      </w:r>
      <w:r>
        <w:rPr>
          <w:u w:val="single"/>
        </w:rPr>
        <w:tab/>
      </w:r>
      <w:r>
        <w:rPr>
          <w:u w:val="single"/>
        </w:rPr>
        <w:t>（姓名）</w:t>
      </w:r>
      <w:r>
        <w:t>为我方代理人。代理人根据授权，以我方名义签署、澄清、说明、补正、递交、撤回、修改</w:t>
      </w:r>
      <w:r>
        <w:rPr>
          <w:u w:val="single"/>
        </w:rPr>
        <w:tab/>
      </w:r>
      <w:r>
        <w:rPr>
          <w:u w:val="single"/>
        </w:rPr>
        <w:tab/>
      </w:r>
      <w:r>
        <w:rPr>
          <w:u w:val="single"/>
        </w:rPr>
        <w:t>（</w:t>
      </w:r>
      <w:r>
        <w:rPr>
          <w:rFonts w:hint="eastAsia"/>
          <w:u w:val="single"/>
          <w:lang w:eastAsia="zh-CN"/>
        </w:rPr>
        <w:t>项目名称及标段</w:t>
      </w:r>
      <w:r>
        <w:rPr>
          <w:u w:val="single"/>
        </w:rPr>
        <w:t>）</w:t>
      </w:r>
      <w:r>
        <w:t>响应文件、签订合同和处理有关事宜，其法律后果由我方承担。</w:t>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委托期限：</w:t>
      </w:r>
      <w:r>
        <w:rPr>
          <w:rFonts w:hint="eastAsia"/>
          <w:u w:val="single"/>
          <w:lang w:val="en-US" w:eastAsia="zh-CN"/>
        </w:rPr>
        <w:t xml:space="preserve">            </w:t>
      </w:r>
      <w: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代理人无转委托权。</w:t>
      </w:r>
    </w:p>
    <w:p>
      <w:pPr>
        <w:keepNext w:val="0"/>
        <w:keepLines w:val="0"/>
        <w:pageBreakBefore w:val="0"/>
        <w:widowControl w:val="0"/>
        <w:kinsoku/>
        <w:wordWrap/>
        <w:overflowPunct/>
        <w:topLinePunct w:val="0"/>
        <w:autoSpaceDE/>
        <w:autoSpaceDN/>
        <w:bidi w:val="0"/>
        <w:adjustRightInd/>
        <w:snapToGrid/>
        <w:textAlignment w:val="auto"/>
      </w:pPr>
    </w:p>
    <w:p>
      <w:pPr>
        <w:keepNext w:val="0"/>
        <w:keepLines w:val="0"/>
        <w:pageBreakBefore w:val="0"/>
        <w:widowControl w:val="0"/>
        <w:kinsoku/>
        <w:wordWrap/>
        <w:overflowPunct/>
        <w:topLinePunct w:val="0"/>
        <w:autoSpaceDE/>
        <w:autoSpaceDN/>
        <w:bidi w:val="0"/>
        <w:adjustRightInd/>
        <w:snapToGrid/>
        <w:ind w:firstLine="560" w:firstLineChars="200"/>
        <w:textAlignment w:val="auto"/>
      </w:pP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t>附：法定代表人、委托代理人身份证（正、反两面）扫描件</w:t>
      </w:r>
    </w:p>
    <w:p/>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rPr>
          <w:rFonts w:hint="default"/>
          <w:lang w:val="en-US" w:eastAsia="zh-CN"/>
        </w:rPr>
      </w:pPr>
    </w:p>
    <w:p>
      <w:pPr>
        <w:jc w:val="right"/>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rPr>
          <w:rFonts w:hint="default"/>
          <w:b/>
          <w:bCs/>
          <w:lang w:val="en-US" w:eastAsia="zh-CN"/>
        </w:rPr>
      </w:pPr>
      <w:bookmarkStart w:id="734" w:name="_Toc16171"/>
      <w:r>
        <w:rPr>
          <w:rFonts w:hint="default"/>
          <w:b/>
          <w:bCs/>
          <w:lang w:val="en-US" w:eastAsia="zh-CN"/>
        </w:rPr>
        <w:t>四、磋商承诺函</w:t>
      </w:r>
      <w:bookmarkEnd w:id="73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u w:val="single"/>
          <w:lang w:val="en-US" w:eastAsia="zh-CN"/>
        </w:rPr>
      </w:pPr>
      <w:r>
        <w:rPr>
          <w:rFonts w:hint="default"/>
          <w:lang w:val="en-US" w:eastAsia="zh-CN"/>
        </w:rPr>
        <w:t>致：</w:t>
      </w:r>
      <w:r>
        <w:rPr>
          <w:rFonts w:hint="default"/>
          <w:u w:val="single"/>
          <w:lang w:val="en-US" w:eastAsia="zh-CN"/>
        </w:rPr>
        <w:tab/>
      </w:r>
      <w:r>
        <w:rPr>
          <w:rFonts w:hint="default"/>
          <w:u w:val="single"/>
          <w:lang w:val="en-US" w:eastAsia="zh-CN"/>
        </w:rPr>
        <w:t>（采购人名称）</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我公司作为本次采购项目的供应商，根据竞争性磋商文件要求，现郑重承诺如下：</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一、具备《中华人民共和国政府采购法》第二十二条第一款和本项目规定的条件：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（一）具有独立承担民事责任的能力；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（二）具有良好的商业信誉和健全的财务会计制度；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（三）具有履行合同所必需的设备和专业技术能力；</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（四）有依法缴纳税收和社会保障资金的良好记录；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（五）参加政府采购活动前三年内，在经营活动中没有重大违法记录；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（六）法律、行政法规规定的其他条件；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（七）根据采购项目提出的特殊条件。</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完全接受和满足本项目竞争性磋商文件中规定的实质性要求，如对竞争性磋商文件有异议，已经在提交首次响应文件截止之日前依法进行维权救济，不存在对竞争性磋商文件有异议的同时又参加磋商以求侥幸成交或者为实现其他非法目的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三、参加本次采购活动，不存在与单位负责人为同一人或者存在直接控股、管理关系的其他供应商参与同一合同项下的政府采购活动的行为。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四、参加本次采购活动，不存在为采购项目提供整体设计、规范编制或者项目管理、监理、检测等服务的行为。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五、参加本次采购活动，不存在和其他供应商在同一合同项下的采购项目中， 同时委托同一个自然人、同一家庭的人员、同一单位的人员作为代理人的行为。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六、供应商参加本次政府采购活动要求在近三年内供应商和其法定代表人没有行贿犯罪行为。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七、参加本次采购活动，不存在联合体投标。</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八、响应文件中提供的能够给予我公司带来优惠、好处的任何材料资料和技术、服务、商务等响应承诺情况都是真实的、有效的、合法的。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九、存在以下行为之一的愿意接受相关部门的处理：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（一）磋商有效期内撤销响应文件的；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（二）在采购人确定成交人以前放弃成交候选资格的；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（三）由于成交人的原因未能按照竞争性磋商文件的规定与采购人签订合同；</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（四）由于成交人的原因未能按照竞争性磋商文件的规定交纳履约担保；</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（五）在响应文件中提供虚假材料谋取成交；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（六）与采购人、其他供应商或者采购代理机构恶意串通的；</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（七）磋商有效期内，供应商在政府采购活动中有违法、违规、违纪行为。由此产生的一切法律后果和责任由我公司承担。我公司声明放弃对此提出任何异议和追索的权利。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本公司对上述承诺的内容事项真实性负责。如经查实上述承诺的内容事项存在虚假，我公司愿意接受以提供虚假材料谋取中标追究法律责任。</w:t>
      </w: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numPr>
          <w:ilvl w:val="0"/>
          <w:numId w:val="1"/>
        </w:numPr>
        <w:jc w:val="center"/>
        <w:rPr>
          <w:rFonts w:hint="default"/>
          <w:b/>
          <w:bCs/>
          <w:lang w:val="en-US" w:eastAsia="zh-CN"/>
        </w:rPr>
      </w:pPr>
      <w:bookmarkStart w:id="735" w:name="_Toc32599"/>
      <w:r>
        <w:rPr>
          <w:rFonts w:hint="default"/>
          <w:b/>
          <w:bCs/>
          <w:lang w:val="en-US" w:eastAsia="zh-CN"/>
        </w:rPr>
        <w:t>已标价工程量清单</w:t>
      </w:r>
      <w:bookmarkEnd w:id="735"/>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widowControl w:val="0"/>
        <w:numPr>
          <w:ilvl w:val="0"/>
          <w:numId w:val="0"/>
        </w:numPr>
        <w:spacing w:line="560" w:lineRule="exact"/>
        <w:jc w:val="center"/>
        <w:rPr>
          <w:rFonts w:hint="default"/>
          <w:b/>
          <w:bCs/>
          <w:lang w:val="en-US" w:eastAsia="zh-CN"/>
        </w:rPr>
      </w:pPr>
    </w:p>
    <w:p>
      <w:pPr>
        <w:jc w:val="center"/>
        <w:rPr>
          <w:rFonts w:hint="default"/>
          <w:b/>
          <w:bCs/>
          <w:lang w:val="en-US" w:eastAsia="zh-CN"/>
        </w:rPr>
      </w:pPr>
      <w:bookmarkStart w:id="736" w:name="_Toc29002"/>
      <w:r>
        <w:rPr>
          <w:rFonts w:hint="default"/>
          <w:b/>
          <w:bCs/>
          <w:lang w:val="en-US" w:eastAsia="zh-CN"/>
        </w:rPr>
        <w:t>六、施工组织设计</w:t>
      </w:r>
      <w:bookmarkEnd w:id="736"/>
    </w:p>
    <w:p>
      <w:pPr>
        <w:jc w:val="center"/>
        <w:rPr>
          <w:rFonts w:hint="default"/>
          <w:b/>
          <w:bCs/>
          <w:lang w:val="en-US" w:eastAsia="zh-CN"/>
        </w:rPr>
      </w:pPr>
      <w:r>
        <w:rPr>
          <w:rFonts w:hint="default"/>
          <w:b/>
          <w:bCs/>
          <w:lang w:val="en-US" w:eastAsia="zh-CN"/>
        </w:rPr>
        <w:t>根据评分办法自行编制</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center"/>
        <w:rPr>
          <w:rFonts w:hint="default"/>
          <w:b/>
          <w:bCs/>
          <w:lang w:val="en-US" w:eastAsia="zh-CN"/>
        </w:rPr>
      </w:pPr>
      <w:r>
        <w:rPr>
          <w:rFonts w:hint="default"/>
          <w:b/>
          <w:bCs/>
          <w:lang w:val="en-US" w:eastAsia="zh-CN"/>
        </w:rPr>
        <w:t>七、项目管理机构</w:t>
      </w:r>
    </w:p>
    <w:p>
      <w:pPr>
        <w:jc w:val="center"/>
        <w:rPr>
          <w:rFonts w:hint="default"/>
          <w:b/>
          <w:bCs/>
          <w:lang w:val="en-US" w:eastAsia="zh-CN"/>
        </w:rPr>
      </w:pPr>
      <w:bookmarkStart w:id="737" w:name="_Toc23160"/>
      <w:r>
        <w:rPr>
          <w:rFonts w:hint="default"/>
          <w:b/>
          <w:bCs/>
          <w:lang w:val="en-US" w:eastAsia="zh-CN"/>
        </w:rPr>
        <w:t>（一）项目管理机构组成表</w:t>
      </w:r>
      <w:bookmarkEnd w:id="737"/>
    </w:p>
    <w:tbl>
      <w:tblPr>
        <w:tblStyle w:val="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1"/>
        <w:gridCol w:w="721"/>
        <w:gridCol w:w="719"/>
        <w:gridCol w:w="1081"/>
        <w:gridCol w:w="1193"/>
        <w:gridCol w:w="1417"/>
        <w:gridCol w:w="1813"/>
        <w:gridCol w:w="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vMerge w:val="restart"/>
            <w:noWrap w:val="0"/>
            <w:vAlign w:val="center"/>
          </w:tcPr>
          <w:p>
            <w:pPr>
              <w:jc w:val="center"/>
              <w:rPr>
                <w:rFonts w:hint="default"/>
                <w:lang w:val="en-US" w:eastAsia="zh-CN"/>
              </w:rPr>
            </w:pPr>
          </w:p>
          <w:p>
            <w:pPr>
              <w:jc w:val="center"/>
              <w:rPr>
                <w:rFonts w:hint="default"/>
                <w:lang w:val="en-US" w:eastAsia="zh-CN"/>
              </w:rPr>
            </w:pPr>
          </w:p>
          <w:p>
            <w:pPr>
              <w:jc w:val="center"/>
              <w:rPr>
                <w:rFonts w:hint="default"/>
                <w:lang w:val="en-US" w:eastAsia="zh-CN"/>
              </w:rPr>
            </w:pPr>
            <w:r>
              <w:rPr>
                <w:rFonts w:hint="default"/>
                <w:lang w:val="en-US" w:eastAsia="zh-CN"/>
              </w:rPr>
              <w:t>职务</w:t>
            </w:r>
          </w:p>
        </w:tc>
        <w:tc>
          <w:tcPr>
            <w:tcW w:w="721" w:type="dxa"/>
            <w:vMerge w:val="restart"/>
            <w:noWrap w:val="0"/>
            <w:vAlign w:val="center"/>
          </w:tcPr>
          <w:p>
            <w:pPr>
              <w:jc w:val="center"/>
              <w:rPr>
                <w:rFonts w:hint="default"/>
                <w:lang w:val="en-US" w:eastAsia="zh-CN"/>
              </w:rPr>
            </w:pPr>
          </w:p>
          <w:p>
            <w:pPr>
              <w:jc w:val="center"/>
              <w:rPr>
                <w:rFonts w:hint="default"/>
                <w:lang w:val="en-US" w:eastAsia="zh-CN"/>
              </w:rPr>
            </w:pPr>
          </w:p>
          <w:p>
            <w:pPr>
              <w:jc w:val="center"/>
              <w:rPr>
                <w:rFonts w:hint="default"/>
                <w:lang w:val="en-US" w:eastAsia="zh-CN"/>
              </w:rPr>
            </w:pPr>
            <w:r>
              <w:rPr>
                <w:rFonts w:hint="default"/>
                <w:lang w:val="en-US" w:eastAsia="zh-CN"/>
              </w:rPr>
              <w:t>姓名</w:t>
            </w:r>
          </w:p>
        </w:tc>
        <w:tc>
          <w:tcPr>
            <w:tcW w:w="719" w:type="dxa"/>
            <w:vMerge w:val="restart"/>
            <w:noWrap w:val="0"/>
            <w:vAlign w:val="center"/>
          </w:tcPr>
          <w:p>
            <w:pPr>
              <w:jc w:val="center"/>
              <w:rPr>
                <w:rFonts w:hint="default"/>
                <w:lang w:val="en-US" w:eastAsia="zh-CN"/>
              </w:rPr>
            </w:pPr>
          </w:p>
          <w:p>
            <w:pPr>
              <w:jc w:val="center"/>
              <w:rPr>
                <w:rFonts w:hint="default"/>
                <w:lang w:val="en-US" w:eastAsia="zh-CN"/>
              </w:rPr>
            </w:pPr>
          </w:p>
          <w:p>
            <w:pPr>
              <w:jc w:val="center"/>
              <w:rPr>
                <w:rFonts w:hint="default"/>
                <w:lang w:val="en-US" w:eastAsia="zh-CN"/>
              </w:rPr>
            </w:pPr>
            <w:r>
              <w:rPr>
                <w:rFonts w:hint="default"/>
                <w:lang w:val="en-US" w:eastAsia="zh-CN"/>
              </w:rPr>
              <w:t>职称</w:t>
            </w:r>
          </w:p>
        </w:tc>
        <w:tc>
          <w:tcPr>
            <w:tcW w:w="5504" w:type="dxa"/>
            <w:gridSpan w:val="4"/>
            <w:noWrap w:val="0"/>
            <w:vAlign w:val="center"/>
          </w:tcPr>
          <w:p>
            <w:pPr>
              <w:jc w:val="center"/>
              <w:rPr>
                <w:rFonts w:hint="default"/>
                <w:lang w:val="en-US" w:eastAsia="zh-CN"/>
              </w:rPr>
            </w:pPr>
            <w:r>
              <w:rPr>
                <w:rFonts w:hint="default"/>
                <w:lang w:val="en-US" w:eastAsia="zh-CN"/>
              </w:rPr>
              <w:t>执业或职业资格证明</w:t>
            </w:r>
          </w:p>
        </w:tc>
        <w:tc>
          <w:tcPr>
            <w:tcW w:w="931" w:type="dxa"/>
            <w:noWrap w:val="0"/>
            <w:vAlign w:val="center"/>
          </w:tcPr>
          <w:p>
            <w:pPr>
              <w:jc w:val="center"/>
              <w:rPr>
                <w:rFonts w:hint="default"/>
                <w:lang w:val="en-US" w:eastAsia="zh-CN"/>
              </w:rPr>
            </w:pPr>
            <w:r>
              <w:rPr>
                <w:rFonts w:hint="default"/>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1551" w:type="dxa"/>
            <w:vMerge w:val="continue"/>
            <w:tcBorders>
              <w:top w:val="nil"/>
            </w:tcBorders>
            <w:noWrap w:val="0"/>
            <w:vAlign w:val="center"/>
          </w:tcPr>
          <w:p>
            <w:pPr>
              <w:jc w:val="center"/>
              <w:rPr>
                <w:rFonts w:hint="default"/>
                <w:lang w:val="en-US" w:eastAsia="zh-CN"/>
              </w:rPr>
            </w:pPr>
          </w:p>
        </w:tc>
        <w:tc>
          <w:tcPr>
            <w:tcW w:w="721" w:type="dxa"/>
            <w:vMerge w:val="continue"/>
            <w:tcBorders>
              <w:top w:val="nil"/>
            </w:tcBorders>
            <w:noWrap w:val="0"/>
            <w:vAlign w:val="center"/>
          </w:tcPr>
          <w:p>
            <w:pPr>
              <w:jc w:val="center"/>
              <w:rPr>
                <w:rFonts w:hint="default"/>
                <w:lang w:val="en-US" w:eastAsia="zh-CN"/>
              </w:rPr>
            </w:pPr>
          </w:p>
        </w:tc>
        <w:tc>
          <w:tcPr>
            <w:tcW w:w="719" w:type="dxa"/>
            <w:vMerge w:val="continue"/>
            <w:tcBorders>
              <w:top w:val="nil"/>
            </w:tcBorders>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r>
              <w:rPr>
                <w:rFonts w:hint="default"/>
                <w:lang w:val="en-US" w:eastAsia="zh-CN"/>
              </w:rPr>
              <w:t>证书名称</w:t>
            </w:r>
          </w:p>
        </w:tc>
        <w:tc>
          <w:tcPr>
            <w:tcW w:w="1193" w:type="dxa"/>
            <w:noWrap w:val="0"/>
            <w:vAlign w:val="center"/>
          </w:tcPr>
          <w:p>
            <w:pPr>
              <w:jc w:val="center"/>
              <w:rPr>
                <w:rFonts w:hint="default"/>
                <w:lang w:val="en-US" w:eastAsia="zh-CN"/>
              </w:rPr>
            </w:pPr>
          </w:p>
          <w:p>
            <w:pPr>
              <w:jc w:val="center"/>
              <w:rPr>
                <w:rFonts w:hint="default"/>
                <w:lang w:val="en-US" w:eastAsia="zh-CN"/>
              </w:rPr>
            </w:pPr>
            <w:r>
              <w:rPr>
                <w:rFonts w:hint="default"/>
                <w:lang w:val="en-US" w:eastAsia="zh-CN"/>
              </w:rPr>
              <w:t>级别</w:t>
            </w:r>
          </w:p>
        </w:tc>
        <w:tc>
          <w:tcPr>
            <w:tcW w:w="1417" w:type="dxa"/>
            <w:noWrap w:val="0"/>
            <w:vAlign w:val="center"/>
          </w:tcPr>
          <w:p>
            <w:pPr>
              <w:jc w:val="center"/>
              <w:rPr>
                <w:rFonts w:hint="default"/>
                <w:lang w:val="en-US" w:eastAsia="zh-CN"/>
              </w:rPr>
            </w:pPr>
          </w:p>
          <w:p>
            <w:pPr>
              <w:jc w:val="center"/>
              <w:rPr>
                <w:rFonts w:hint="default"/>
                <w:lang w:val="en-US" w:eastAsia="zh-CN"/>
              </w:rPr>
            </w:pPr>
            <w:r>
              <w:rPr>
                <w:rFonts w:hint="default"/>
                <w:lang w:val="en-US" w:eastAsia="zh-CN"/>
              </w:rPr>
              <w:t>证号</w:t>
            </w:r>
          </w:p>
        </w:tc>
        <w:tc>
          <w:tcPr>
            <w:tcW w:w="1813" w:type="dxa"/>
            <w:noWrap w:val="0"/>
            <w:vAlign w:val="center"/>
          </w:tcPr>
          <w:p>
            <w:pPr>
              <w:jc w:val="center"/>
              <w:rPr>
                <w:rFonts w:hint="default"/>
                <w:lang w:val="en-US" w:eastAsia="zh-CN"/>
              </w:rPr>
            </w:pPr>
          </w:p>
          <w:p>
            <w:pPr>
              <w:jc w:val="center"/>
              <w:rPr>
                <w:rFonts w:hint="default"/>
                <w:lang w:val="en-US" w:eastAsia="zh-CN"/>
              </w:rPr>
            </w:pPr>
            <w:r>
              <w:rPr>
                <w:rFonts w:hint="default"/>
                <w:lang w:val="en-US" w:eastAsia="zh-CN"/>
              </w:rPr>
              <w:t>专业</w:t>
            </w: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1551" w:type="dxa"/>
            <w:noWrap w:val="0"/>
            <w:vAlign w:val="center"/>
          </w:tcPr>
          <w:p>
            <w:pPr>
              <w:jc w:val="center"/>
              <w:rPr>
                <w:rFonts w:hint="default"/>
                <w:lang w:val="en-US" w:eastAsia="zh-CN"/>
              </w:rPr>
            </w:pPr>
          </w:p>
        </w:tc>
        <w:tc>
          <w:tcPr>
            <w:tcW w:w="721" w:type="dxa"/>
            <w:noWrap w:val="0"/>
            <w:vAlign w:val="center"/>
          </w:tcPr>
          <w:p>
            <w:pPr>
              <w:jc w:val="center"/>
              <w:rPr>
                <w:rFonts w:hint="default"/>
                <w:lang w:val="en-US" w:eastAsia="zh-CN"/>
              </w:rPr>
            </w:pPr>
          </w:p>
        </w:tc>
        <w:tc>
          <w:tcPr>
            <w:tcW w:w="719" w:type="dxa"/>
            <w:noWrap w:val="0"/>
            <w:vAlign w:val="center"/>
          </w:tcPr>
          <w:p>
            <w:pPr>
              <w:jc w:val="center"/>
              <w:rPr>
                <w:rFonts w:hint="default"/>
                <w:lang w:val="en-US" w:eastAsia="zh-CN"/>
              </w:rPr>
            </w:pPr>
          </w:p>
        </w:tc>
        <w:tc>
          <w:tcPr>
            <w:tcW w:w="1081" w:type="dxa"/>
            <w:noWrap w:val="0"/>
            <w:vAlign w:val="center"/>
          </w:tcPr>
          <w:p>
            <w:pPr>
              <w:jc w:val="center"/>
              <w:rPr>
                <w:rFonts w:hint="default"/>
                <w:lang w:val="en-US" w:eastAsia="zh-CN"/>
              </w:rPr>
            </w:pPr>
          </w:p>
        </w:tc>
        <w:tc>
          <w:tcPr>
            <w:tcW w:w="1193" w:type="dxa"/>
            <w:noWrap w:val="0"/>
            <w:vAlign w:val="center"/>
          </w:tcPr>
          <w:p>
            <w:pPr>
              <w:jc w:val="center"/>
              <w:rPr>
                <w:rFonts w:hint="default"/>
                <w:lang w:val="en-US" w:eastAsia="zh-CN"/>
              </w:rPr>
            </w:pPr>
          </w:p>
        </w:tc>
        <w:tc>
          <w:tcPr>
            <w:tcW w:w="1417" w:type="dxa"/>
            <w:noWrap w:val="0"/>
            <w:vAlign w:val="center"/>
          </w:tcPr>
          <w:p>
            <w:pPr>
              <w:jc w:val="center"/>
              <w:rPr>
                <w:rFonts w:hint="default"/>
                <w:lang w:val="en-US" w:eastAsia="zh-CN"/>
              </w:rPr>
            </w:pPr>
          </w:p>
        </w:tc>
        <w:tc>
          <w:tcPr>
            <w:tcW w:w="1813" w:type="dxa"/>
            <w:noWrap w:val="0"/>
            <w:vAlign w:val="center"/>
          </w:tcPr>
          <w:p>
            <w:pPr>
              <w:jc w:val="center"/>
              <w:rPr>
                <w:rFonts w:hint="default"/>
                <w:lang w:val="en-US" w:eastAsia="zh-CN"/>
              </w:rPr>
            </w:pPr>
          </w:p>
        </w:tc>
        <w:tc>
          <w:tcPr>
            <w:tcW w:w="931" w:type="dxa"/>
            <w:noWrap w:val="0"/>
            <w:vAlign w:val="center"/>
          </w:tcPr>
          <w:p>
            <w:pPr>
              <w:jc w:val="center"/>
              <w:rPr>
                <w:rFonts w:hint="default"/>
                <w:lang w:val="en-US" w:eastAsia="zh-CN"/>
              </w:rPr>
            </w:pPr>
          </w:p>
        </w:tc>
      </w:tr>
    </w:tbl>
    <w:p>
      <w:pPr>
        <w:jc w:val="center"/>
        <w:rPr>
          <w:rFonts w:hint="default"/>
          <w:b/>
          <w:bCs/>
          <w:lang w:val="en-US" w:eastAsia="zh-CN"/>
        </w:rPr>
      </w:pPr>
      <w:bookmarkStart w:id="738" w:name="_Toc1221"/>
      <w:r>
        <w:rPr>
          <w:rFonts w:hint="default"/>
          <w:b/>
          <w:bCs/>
          <w:lang w:val="en-US" w:eastAsia="zh-CN"/>
        </w:rPr>
        <w:t>（二）主要人员简历表</w:t>
      </w:r>
      <w:bookmarkEnd w:id="73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1、“主要人员简历表”中的拟派项目经理应附身份证扫描件、职称证书、建造师注册证书、安全生产考核合格证，无在建工程承诺书（格式自拟）、劳动合同、社保缴纳凭证等；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2、其他主要人员应附身份证扫描件、职称证（如有）或执业证（如有）或上岗证书（如有）。</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3、每张表格填写 1 人，如有多人，可按同等表格格式扩展。</w:t>
      </w:r>
    </w:p>
    <w:tbl>
      <w:tblPr>
        <w:tblStyle w:val="90"/>
        <w:tblpPr w:leftFromText="180" w:rightFromText="180" w:vertAnchor="text" w:horzAnchor="page" w:tblpXSpec="center" w:tblpY="104"/>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5"/>
        <w:gridCol w:w="390"/>
        <w:gridCol w:w="779"/>
        <w:gridCol w:w="1005"/>
        <w:gridCol w:w="1154"/>
        <w:gridCol w:w="770"/>
        <w:gridCol w:w="1367"/>
        <w:gridCol w:w="172"/>
        <w:gridCol w:w="23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1285" w:type="dxa"/>
            <w:noWrap w:val="0"/>
            <w:vAlign w:val="center"/>
          </w:tcPr>
          <w:p>
            <w:pPr>
              <w:jc w:val="center"/>
              <w:rPr>
                <w:rFonts w:hint="default"/>
                <w:lang w:val="en-US" w:eastAsia="zh-CN"/>
              </w:rPr>
            </w:pPr>
            <w:r>
              <w:rPr>
                <w:rFonts w:hint="default"/>
                <w:lang w:val="en-US" w:eastAsia="zh-CN"/>
              </w:rPr>
              <w:t>姓 名</w:t>
            </w:r>
          </w:p>
        </w:tc>
        <w:tc>
          <w:tcPr>
            <w:tcW w:w="1169" w:type="dxa"/>
            <w:gridSpan w:val="2"/>
            <w:noWrap w:val="0"/>
            <w:vAlign w:val="center"/>
          </w:tcPr>
          <w:p>
            <w:pPr>
              <w:jc w:val="center"/>
              <w:rPr>
                <w:rFonts w:hint="default"/>
                <w:lang w:val="en-US" w:eastAsia="zh-CN"/>
              </w:rPr>
            </w:pPr>
          </w:p>
        </w:tc>
        <w:tc>
          <w:tcPr>
            <w:tcW w:w="1005" w:type="dxa"/>
            <w:noWrap w:val="0"/>
            <w:vAlign w:val="center"/>
          </w:tcPr>
          <w:p>
            <w:pPr>
              <w:jc w:val="center"/>
              <w:rPr>
                <w:rFonts w:hint="default"/>
                <w:lang w:val="en-US" w:eastAsia="zh-CN"/>
              </w:rPr>
            </w:pPr>
            <w:r>
              <w:rPr>
                <w:rFonts w:hint="default"/>
                <w:lang w:val="en-US" w:eastAsia="zh-CN"/>
              </w:rPr>
              <w:t>年 龄</w:t>
            </w:r>
          </w:p>
        </w:tc>
        <w:tc>
          <w:tcPr>
            <w:tcW w:w="1154" w:type="dxa"/>
            <w:noWrap w:val="0"/>
            <w:vAlign w:val="center"/>
          </w:tcPr>
          <w:p>
            <w:pPr>
              <w:jc w:val="center"/>
              <w:rPr>
                <w:rFonts w:hint="default"/>
                <w:lang w:val="en-US" w:eastAsia="zh-CN"/>
              </w:rPr>
            </w:pPr>
          </w:p>
        </w:tc>
        <w:tc>
          <w:tcPr>
            <w:tcW w:w="2309" w:type="dxa"/>
            <w:gridSpan w:val="3"/>
            <w:noWrap w:val="0"/>
            <w:vAlign w:val="center"/>
          </w:tcPr>
          <w:p>
            <w:pPr>
              <w:jc w:val="center"/>
              <w:rPr>
                <w:rFonts w:hint="default"/>
                <w:lang w:val="en-US" w:eastAsia="zh-CN"/>
              </w:rPr>
            </w:pPr>
            <w:r>
              <w:rPr>
                <w:rFonts w:hint="default"/>
                <w:lang w:val="en-US" w:eastAsia="zh-CN"/>
              </w:rPr>
              <w:t>学 历</w:t>
            </w:r>
          </w:p>
        </w:tc>
        <w:tc>
          <w:tcPr>
            <w:tcW w:w="2314"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1285" w:type="dxa"/>
            <w:noWrap w:val="0"/>
            <w:vAlign w:val="center"/>
          </w:tcPr>
          <w:p>
            <w:pPr>
              <w:jc w:val="center"/>
              <w:rPr>
                <w:rFonts w:hint="default"/>
                <w:lang w:val="en-US" w:eastAsia="zh-CN"/>
              </w:rPr>
            </w:pPr>
            <w:r>
              <w:rPr>
                <w:rFonts w:hint="default"/>
                <w:lang w:val="en-US" w:eastAsia="zh-CN"/>
              </w:rPr>
              <w:t>职 称</w:t>
            </w:r>
          </w:p>
        </w:tc>
        <w:tc>
          <w:tcPr>
            <w:tcW w:w="1169" w:type="dxa"/>
            <w:gridSpan w:val="2"/>
            <w:noWrap w:val="0"/>
            <w:vAlign w:val="center"/>
          </w:tcPr>
          <w:p>
            <w:pPr>
              <w:jc w:val="center"/>
              <w:rPr>
                <w:rFonts w:hint="default"/>
                <w:lang w:val="en-US" w:eastAsia="zh-CN"/>
              </w:rPr>
            </w:pPr>
          </w:p>
        </w:tc>
        <w:tc>
          <w:tcPr>
            <w:tcW w:w="1005" w:type="dxa"/>
            <w:noWrap w:val="0"/>
            <w:vAlign w:val="center"/>
          </w:tcPr>
          <w:p>
            <w:pPr>
              <w:jc w:val="center"/>
              <w:rPr>
                <w:rFonts w:hint="default"/>
                <w:lang w:val="en-US" w:eastAsia="zh-CN"/>
              </w:rPr>
            </w:pPr>
            <w:r>
              <w:rPr>
                <w:rFonts w:hint="default"/>
                <w:lang w:val="en-US" w:eastAsia="zh-CN"/>
              </w:rPr>
              <w:t>职 务</w:t>
            </w:r>
          </w:p>
        </w:tc>
        <w:tc>
          <w:tcPr>
            <w:tcW w:w="1154" w:type="dxa"/>
            <w:noWrap w:val="0"/>
            <w:vAlign w:val="center"/>
          </w:tcPr>
          <w:p>
            <w:pPr>
              <w:jc w:val="center"/>
              <w:rPr>
                <w:rFonts w:hint="default"/>
                <w:lang w:val="en-US" w:eastAsia="zh-CN"/>
              </w:rPr>
            </w:pPr>
          </w:p>
        </w:tc>
        <w:tc>
          <w:tcPr>
            <w:tcW w:w="2309" w:type="dxa"/>
            <w:gridSpan w:val="3"/>
            <w:noWrap w:val="0"/>
            <w:vAlign w:val="center"/>
          </w:tcPr>
          <w:p>
            <w:pPr>
              <w:jc w:val="center"/>
              <w:rPr>
                <w:rFonts w:hint="default"/>
                <w:lang w:val="en-US" w:eastAsia="zh-CN"/>
              </w:rPr>
            </w:pPr>
            <w:r>
              <w:rPr>
                <w:rFonts w:hint="default"/>
                <w:lang w:val="en-US" w:eastAsia="zh-CN"/>
              </w:rPr>
              <w:t>拟在本合同任职</w:t>
            </w:r>
          </w:p>
        </w:tc>
        <w:tc>
          <w:tcPr>
            <w:tcW w:w="2314" w:type="dxa"/>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jc w:val="center"/>
        </w:trPr>
        <w:tc>
          <w:tcPr>
            <w:tcW w:w="1285" w:type="dxa"/>
            <w:noWrap w:val="0"/>
            <w:vAlign w:val="center"/>
          </w:tcPr>
          <w:p>
            <w:pPr>
              <w:jc w:val="center"/>
              <w:rPr>
                <w:rFonts w:hint="default"/>
                <w:lang w:val="en-US" w:eastAsia="zh-CN"/>
              </w:rPr>
            </w:pPr>
            <w:r>
              <w:rPr>
                <w:rFonts w:hint="default"/>
                <w:lang w:val="en-US" w:eastAsia="zh-CN"/>
              </w:rPr>
              <w:t>毕业学校</w:t>
            </w:r>
          </w:p>
        </w:tc>
        <w:tc>
          <w:tcPr>
            <w:tcW w:w="7951" w:type="dxa"/>
            <w:gridSpan w:val="8"/>
            <w:noWrap w:val="0"/>
            <w:vAlign w:val="center"/>
          </w:tcPr>
          <w:p>
            <w:pPr>
              <w:jc w:val="center"/>
              <w:rPr>
                <w:rFonts w:hint="default"/>
                <w:lang w:val="en-US" w:eastAsia="zh-CN"/>
              </w:rPr>
            </w:pPr>
            <w:r>
              <w:rPr>
                <w:rFonts w:hint="default"/>
                <w:lang w:val="en-US" w:eastAsia="zh-CN"/>
              </w:rPr>
              <w:t>年毕业于</w:t>
            </w:r>
            <w:r>
              <w:rPr>
                <w:rFonts w:hint="default"/>
                <w:lang w:val="en-US" w:eastAsia="zh-CN"/>
              </w:rPr>
              <w:tab/>
            </w:r>
            <w:r>
              <w:rPr>
                <w:rFonts w:hint="default"/>
                <w:lang w:val="en-US" w:eastAsia="zh-CN"/>
              </w:rPr>
              <w:t>学校</w:t>
            </w:r>
            <w:r>
              <w:rPr>
                <w:rFonts w:hint="default"/>
                <w:lang w:val="en-US" w:eastAsia="zh-CN"/>
              </w:rPr>
              <w:tab/>
            </w:r>
            <w:r>
              <w:rPr>
                <w:rFonts w:hint="default"/>
                <w:lang w:val="en-US" w:eastAsia="zh-CN"/>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9236" w:type="dxa"/>
            <w:gridSpan w:val="9"/>
            <w:noWrap w:val="0"/>
            <w:vAlign w:val="center"/>
          </w:tcPr>
          <w:p>
            <w:pPr>
              <w:jc w:val="center"/>
              <w:rPr>
                <w:rFonts w:hint="default"/>
                <w:lang w:val="en-US" w:eastAsia="zh-CN"/>
              </w:rPr>
            </w:pPr>
            <w:r>
              <w:rPr>
                <w:rFonts w:hint="default"/>
                <w:lang w:val="en-US" w:eastAsia="zh-CN"/>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1675" w:type="dxa"/>
            <w:gridSpan w:val="2"/>
            <w:noWrap w:val="0"/>
            <w:vAlign w:val="center"/>
          </w:tcPr>
          <w:p>
            <w:pPr>
              <w:jc w:val="center"/>
              <w:rPr>
                <w:rFonts w:hint="default"/>
                <w:lang w:val="en-US" w:eastAsia="zh-CN"/>
              </w:rPr>
            </w:pPr>
            <w:r>
              <w:rPr>
                <w:rFonts w:hint="default"/>
                <w:lang w:val="en-US" w:eastAsia="zh-CN"/>
              </w:rPr>
              <w:t>时</w:t>
            </w:r>
            <w:r>
              <w:rPr>
                <w:rFonts w:hint="default"/>
                <w:lang w:val="en-US" w:eastAsia="zh-CN"/>
              </w:rPr>
              <w:tab/>
            </w:r>
            <w:r>
              <w:rPr>
                <w:rFonts w:hint="default"/>
                <w:lang w:val="en-US" w:eastAsia="zh-CN"/>
              </w:rPr>
              <w:t>间</w:t>
            </w:r>
          </w:p>
        </w:tc>
        <w:tc>
          <w:tcPr>
            <w:tcW w:w="3708" w:type="dxa"/>
            <w:gridSpan w:val="4"/>
            <w:noWrap w:val="0"/>
            <w:vAlign w:val="center"/>
          </w:tcPr>
          <w:p>
            <w:pPr>
              <w:jc w:val="center"/>
              <w:rPr>
                <w:rFonts w:hint="default"/>
                <w:lang w:val="en-US" w:eastAsia="zh-CN"/>
              </w:rPr>
            </w:pPr>
            <w:r>
              <w:rPr>
                <w:rFonts w:hint="default"/>
                <w:lang w:val="en-US" w:eastAsia="zh-CN"/>
              </w:rPr>
              <w:t>参加过的类似项目</w:t>
            </w:r>
          </w:p>
        </w:tc>
        <w:tc>
          <w:tcPr>
            <w:tcW w:w="1367" w:type="dxa"/>
            <w:noWrap w:val="0"/>
            <w:vAlign w:val="center"/>
          </w:tcPr>
          <w:p>
            <w:pPr>
              <w:jc w:val="center"/>
              <w:rPr>
                <w:rFonts w:hint="default"/>
                <w:lang w:val="en-US" w:eastAsia="zh-CN"/>
              </w:rPr>
            </w:pPr>
            <w:r>
              <w:rPr>
                <w:rFonts w:hint="default"/>
                <w:lang w:val="en-US" w:eastAsia="zh-CN"/>
              </w:rPr>
              <w:t>担任职务</w:t>
            </w:r>
          </w:p>
        </w:tc>
        <w:tc>
          <w:tcPr>
            <w:tcW w:w="2486" w:type="dxa"/>
            <w:gridSpan w:val="2"/>
            <w:noWrap w:val="0"/>
            <w:vAlign w:val="center"/>
          </w:tcPr>
          <w:p>
            <w:pPr>
              <w:jc w:val="center"/>
              <w:rPr>
                <w:rFonts w:hint="default"/>
                <w:lang w:val="en-US" w:eastAsia="zh-CN"/>
              </w:rPr>
            </w:pPr>
            <w:r>
              <w:rPr>
                <w:rFonts w:hint="default"/>
                <w:lang w:val="en-US" w:eastAsia="zh-CN"/>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675" w:type="dxa"/>
            <w:gridSpan w:val="2"/>
            <w:noWrap w:val="0"/>
            <w:vAlign w:val="center"/>
          </w:tcPr>
          <w:p>
            <w:pPr>
              <w:jc w:val="center"/>
              <w:rPr>
                <w:rFonts w:hint="default"/>
                <w:lang w:val="en-US" w:eastAsia="zh-CN"/>
              </w:rPr>
            </w:pPr>
          </w:p>
        </w:tc>
        <w:tc>
          <w:tcPr>
            <w:tcW w:w="3708" w:type="dxa"/>
            <w:gridSpan w:val="4"/>
            <w:noWrap w:val="0"/>
            <w:vAlign w:val="center"/>
          </w:tcPr>
          <w:p>
            <w:pPr>
              <w:jc w:val="center"/>
              <w:rPr>
                <w:rFonts w:hint="default"/>
                <w:lang w:val="en-US" w:eastAsia="zh-CN"/>
              </w:rPr>
            </w:pPr>
          </w:p>
        </w:tc>
        <w:tc>
          <w:tcPr>
            <w:tcW w:w="1367" w:type="dxa"/>
            <w:noWrap w:val="0"/>
            <w:vAlign w:val="center"/>
          </w:tcPr>
          <w:p>
            <w:pPr>
              <w:jc w:val="center"/>
              <w:rPr>
                <w:rFonts w:hint="default"/>
                <w:lang w:val="en-US" w:eastAsia="zh-CN"/>
              </w:rPr>
            </w:pPr>
          </w:p>
        </w:tc>
        <w:tc>
          <w:tcPr>
            <w:tcW w:w="2486" w:type="dxa"/>
            <w:gridSpan w:val="2"/>
            <w:noWrap w:val="0"/>
            <w:vAlign w:val="center"/>
          </w:tcPr>
          <w:p>
            <w:pPr>
              <w:jc w:val="center"/>
              <w:rPr>
                <w:rFonts w:hint="default"/>
                <w:lang w:val="en-US" w:eastAsia="zh-CN"/>
              </w:rPr>
            </w:pPr>
          </w:p>
        </w:tc>
      </w:tr>
    </w:tbl>
    <w:p>
      <w:pPr>
        <w:rPr>
          <w:rFonts w:hint="default"/>
          <w:lang w:val="en-US" w:eastAsia="zh-CN"/>
        </w:rPr>
      </w:pPr>
    </w:p>
    <w:p>
      <w:pPr>
        <w:jc w:val="center"/>
        <w:rPr>
          <w:rFonts w:hint="default"/>
          <w:b/>
          <w:bCs/>
          <w:lang w:val="en-US" w:eastAsia="zh-CN"/>
        </w:rPr>
      </w:pPr>
      <w:bookmarkStart w:id="739" w:name="_Toc12354"/>
      <w:r>
        <w:rPr>
          <w:rFonts w:hint="default"/>
          <w:b/>
          <w:bCs/>
          <w:lang w:val="en-US" w:eastAsia="zh-CN"/>
        </w:rPr>
        <w:t>八、资格审查资料</w:t>
      </w:r>
      <w:bookmarkEnd w:id="739"/>
    </w:p>
    <w:p>
      <w:pPr>
        <w:pStyle w:val="45"/>
        <w:keepNext/>
        <w:keepLines/>
        <w:pageBreakBefore w:val="0"/>
        <w:widowControl w:val="0"/>
        <w:numPr>
          <w:ilvl w:val="0"/>
          <w:numId w:val="0"/>
        </w:numPr>
        <w:kinsoku/>
        <w:wordWrap/>
        <w:overflowPunct/>
        <w:topLinePunct w:val="0"/>
        <w:autoSpaceDE/>
        <w:autoSpaceDN/>
        <w:bidi w:val="0"/>
        <w:adjustRightInd/>
        <w:snapToGrid/>
        <w:jc w:val="center"/>
        <w:textAlignment w:val="auto"/>
        <w:outlineLvl w:val="9"/>
        <w:rPr>
          <w:rFonts w:ascii="宋体" w:hAnsi="宋体" w:cs="宋体"/>
          <w:highlight w:val="none"/>
        </w:rPr>
      </w:pPr>
      <w:bookmarkStart w:id="740" w:name="_Toc305086335"/>
      <w:bookmarkStart w:id="741" w:name="_Toc191983703"/>
      <w:bookmarkStart w:id="742" w:name="_Toc27718"/>
      <w:r>
        <w:rPr>
          <w:rFonts w:hint="eastAsia" w:ascii="宋体" w:hAnsi="宋体" w:cs="宋体"/>
          <w:highlight w:val="none"/>
        </w:rPr>
        <w:t>（一）</w:t>
      </w:r>
      <w:r>
        <w:rPr>
          <w:rFonts w:hint="eastAsia" w:ascii="宋体" w:hAnsi="宋体" w:cs="宋体"/>
          <w:highlight w:val="none"/>
          <w:lang w:eastAsia="zh-CN"/>
        </w:rPr>
        <w:t>供应商</w:t>
      </w:r>
      <w:r>
        <w:rPr>
          <w:rFonts w:hint="eastAsia" w:ascii="宋体" w:hAnsi="宋体" w:cs="宋体"/>
          <w:highlight w:val="none"/>
        </w:rPr>
        <w:t>基本情况表</w:t>
      </w:r>
      <w:bookmarkEnd w:id="740"/>
      <w:bookmarkEnd w:id="741"/>
      <w:bookmarkEnd w:id="742"/>
    </w:p>
    <w:tbl>
      <w:tblPr>
        <w:tblStyle w:val="29"/>
        <w:tblW w:w="9319" w:type="dxa"/>
        <w:jc w:val="center"/>
        <w:tblLayout w:type="fixed"/>
        <w:tblCellMar>
          <w:top w:w="0" w:type="dxa"/>
          <w:left w:w="0" w:type="dxa"/>
          <w:bottom w:w="0" w:type="dxa"/>
          <w:right w:w="0" w:type="dxa"/>
        </w:tblCellMar>
      </w:tblPr>
      <w:tblGrid>
        <w:gridCol w:w="1592"/>
        <w:gridCol w:w="994"/>
        <w:gridCol w:w="20"/>
        <w:gridCol w:w="1283"/>
        <w:gridCol w:w="913"/>
        <w:gridCol w:w="488"/>
        <w:gridCol w:w="309"/>
        <w:gridCol w:w="961"/>
        <w:gridCol w:w="178"/>
        <w:gridCol w:w="8"/>
        <w:gridCol w:w="935"/>
        <w:gridCol w:w="1638"/>
      </w:tblGrid>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lang w:eastAsia="zh-CN"/>
              </w:rPr>
              <w:t>供应商</w:t>
            </w:r>
            <w:r>
              <w:rPr>
                <w:rFonts w:hint="eastAsia" w:ascii="宋体" w:hAnsi="宋体" w:cs="宋体"/>
                <w:sz w:val="24"/>
                <w:highlight w:val="none"/>
              </w:rPr>
              <w:t>名称</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89"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注册</w:t>
            </w:r>
            <w:r>
              <w:rPr>
                <w:rFonts w:hint="eastAsia" w:ascii="宋体" w:hAnsi="宋体" w:cs="宋体"/>
                <w:spacing w:val="1"/>
                <w:kern w:val="0"/>
                <w:sz w:val="24"/>
                <w:highlight w:val="none"/>
              </w:rPr>
              <w:t>地址</w:t>
            </w:r>
          </w:p>
        </w:tc>
        <w:tc>
          <w:tcPr>
            <w:tcW w:w="4007" w:type="dxa"/>
            <w:gridSpan w:val="6"/>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1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邮政编码</w:t>
            </w:r>
          </w:p>
        </w:tc>
        <w:tc>
          <w:tcPr>
            <w:tcW w:w="2581"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44" w:hRule="atLeast"/>
          <w:jc w:val="center"/>
        </w:trPr>
        <w:tc>
          <w:tcPr>
            <w:tcW w:w="1592"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联系</w:t>
            </w:r>
            <w:r>
              <w:rPr>
                <w:rFonts w:hint="eastAsia" w:ascii="宋体" w:hAnsi="宋体" w:cs="宋体"/>
                <w:spacing w:val="1"/>
                <w:kern w:val="0"/>
                <w:sz w:val="24"/>
                <w:highlight w:val="none"/>
              </w:rPr>
              <w:t>方式</w:t>
            </w:r>
          </w:p>
        </w:tc>
        <w:tc>
          <w:tcPr>
            <w:tcW w:w="1014"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联系人</w:t>
            </w:r>
          </w:p>
        </w:tc>
        <w:tc>
          <w:tcPr>
            <w:tcW w:w="2993"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1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电  话</w:t>
            </w:r>
          </w:p>
        </w:tc>
        <w:tc>
          <w:tcPr>
            <w:tcW w:w="2581"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559" w:hRule="atLeast"/>
          <w:jc w:val="center"/>
        </w:trPr>
        <w:tc>
          <w:tcPr>
            <w:tcW w:w="159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014"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传</w:t>
            </w:r>
            <w:r>
              <w:rPr>
                <w:rFonts w:hint="eastAsia" w:ascii="宋体" w:hAnsi="宋体" w:cs="宋体"/>
                <w:sz w:val="24"/>
                <w:highlight w:val="none"/>
              </w:rPr>
              <w:tab/>
            </w:r>
            <w:r>
              <w:rPr>
                <w:rFonts w:hint="eastAsia" w:ascii="宋体" w:hAnsi="宋体" w:cs="宋体"/>
                <w:sz w:val="24"/>
                <w:highlight w:val="none"/>
              </w:rPr>
              <w:t>真</w:t>
            </w:r>
          </w:p>
        </w:tc>
        <w:tc>
          <w:tcPr>
            <w:tcW w:w="2993"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1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网  址</w:t>
            </w:r>
          </w:p>
        </w:tc>
        <w:tc>
          <w:tcPr>
            <w:tcW w:w="2581"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组织</w:t>
            </w:r>
            <w:r>
              <w:rPr>
                <w:rFonts w:hint="eastAsia" w:ascii="宋体" w:hAnsi="宋体" w:cs="宋体"/>
                <w:spacing w:val="1"/>
                <w:kern w:val="0"/>
                <w:sz w:val="24"/>
                <w:highlight w:val="none"/>
              </w:rPr>
              <w:t>结构</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法定</w:t>
            </w:r>
            <w:r>
              <w:rPr>
                <w:rFonts w:hint="eastAsia" w:ascii="宋体" w:hAnsi="宋体" w:cs="宋体"/>
                <w:spacing w:val="1"/>
                <w:kern w:val="0"/>
                <w:sz w:val="24"/>
                <w:highlight w:val="none"/>
              </w:rPr>
              <w:t>代表</w:t>
            </w:r>
            <w:r>
              <w:rPr>
                <w:rFonts w:hint="eastAsia" w:ascii="宋体" w:hAnsi="宋体" w:cs="宋体"/>
                <w:sz w:val="24"/>
                <w:highlight w:val="none"/>
              </w:rPr>
              <w:t>人</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姓名</w:t>
            </w:r>
          </w:p>
        </w:tc>
        <w:tc>
          <w:tcPr>
            <w:tcW w:w="1303"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40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技术职称及执业资格</w:t>
            </w:r>
          </w:p>
        </w:tc>
        <w:tc>
          <w:tcPr>
            <w:tcW w:w="145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3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电话</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技术</w:t>
            </w:r>
            <w:r>
              <w:rPr>
                <w:rFonts w:hint="eastAsia" w:ascii="宋体" w:hAnsi="宋体" w:cs="宋体"/>
                <w:spacing w:val="1"/>
                <w:kern w:val="0"/>
                <w:sz w:val="24"/>
                <w:highlight w:val="none"/>
              </w:rPr>
              <w:t>负责人</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姓名</w:t>
            </w:r>
          </w:p>
        </w:tc>
        <w:tc>
          <w:tcPr>
            <w:tcW w:w="1303"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40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技术</w:t>
            </w:r>
            <w:r>
              <w:rPr>
                <w:rFonts w:hint="eastAsia" w:ascii="宋体" w:hAnsi="宋体" w:cs="宋体"/>
                <w:sz w:val="24"/>
                <w:highlight w:val="none"/>
              </w:rPr>
              <w:t>职称及执业资格</w:t>
            </w:r>
          </w:p>
        </w:tc>
        <w:tc>
          <w:tcPr>
            <w:tcW w:w="1456"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35"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电话</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成立</w:t>
            </w:r>
            <w:r>
              <w:rPr>
                <w:rFonts w:hint="eastAsia" w:ascii="宋体" w:hAnsi="宋体" w:cs="宋体"/>
                <w:sz w:val="24"/>
                <w:highlight w:val="none"/>
              </w:rPr>
              <w:t>时间</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5430" w:type="dxa"/>
            <w:gridSpan w:val="8"/>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员工总</w:t>
            </w:r>
            <w:r>
              <w:rPr>
                <w:rFonts w:hint="eastAsia" w:ascii="宋体" w:hAnsi="宋体" w:cs="宋体"/>
                <w:spacing w:val="1"/>
                <w:kern w:val="0"/>
                <w:sz w:val="24"/>
                <w:highlight w:val="none"/>
              </w:rPr>
              <w:t>人数</w:t>
            </w:r>
            <w:r>
              <w:rPr>
                <w:rFonts w:hint="eastAsia" w:ascii="宋体" w:hAnsi="宋体" w:cs="宋体"/>
                <w:sz w:val="24"/>
                <w:highlight w:val="none"/>
              </w:rPr>
              <w:t>：</w:t>
            </w: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企业资质等级</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其中</w:t>
            </w: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项目负责人</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44"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营业执照</w:t>
            </w:r>
            <w:r>
              <w:rPr>
                <w:rFonts w:hint="eastAsia" w:ascii="宋体" w:hAnsi="宋体" w:cs="宋体"/>
                <w:sz w:val="24"/>
                <w:highlight w:val="none"/>
              </w:rPr>
              <w:t>号</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高级</w:t>
            </w:r>
            <w:r>
              <w:rPr>
                <w:rFonts w:hint="eastAsia" w:ascii="宋体" w:hAnsi="宋体" w:cs="宋体"/>
                <w:spacing w:val="1"/>
                <w:kern w:val="0"/>
                <w:sz w:val="24"/>
                <w:highlight w:val="none"/>
              </w:rPr>
              <w:t>职称</w:t>
            </w:r>
            <w:r>
              <w:rPr>
                <w:rFonts w:hint="eastAsia" w:ascii="宋体" w:hAnsi="宋体" w:cs="宋体"/>
                <w:sz w:val="24"/>
                <w:highlight w:val="none"/>
              </w:rPr>
              <w:t>人员</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注册资金</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中级职称</w:t>
            </w:r>
            <w:r>
              <w:rPr>
                <w:rFonts w:hint="eastAsia" w:ascii="宋体" w:hAnsi="宋体" w:cs="宋体"/>
                <w:sz w:val="24"/>
                <w:highlight w:val="none"/>
              </w:rPr>
              <w:t>人员</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开户银行</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初级职称</w:t>
            </w:r>
            <w:r>
              <w:rPr>
                <w:rFonts w:hint="eastAsia" w:ascii="宋体" w:hAnsi="宋体" w:cs="宋体"/>
                <w:sz w:val="24"/>
                <w:highlight w:val="none"/>
              </w:rPr>
              <w:t>人员</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pacing w:val="1"/>
                <w:kern w:val="0"/>
                <w:sz w:val="24"/>
                <w:highlight w:val="none"/>
              </w:rPr>
              <w:t>账号</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c>
          <w:tcPr>
            <w:tcW w:w="175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技</w:t>
            </w:r>
            <w:r>
              <w:rPr>
                <w:rFonts w:hint="eastAsia" w:ascii="宋体" w:hAnsi="宋体" w:cs="宋体"/>
                <w:sz w:val="24"/>
                <w:highlight w:val="none"/>
              </w:rPr>
              <w:tab/>
            </w:r>
            <w:r>
              <w:rPr>
                <w:rFonts w:hint="eastAsia" w:ascii="宋体" w:hAnsi="宋体" w:cs="宋体"/>
                <w:sz w:val="24"/>
                <w:highlight w:val="none"/>
              </w:rPr>
              <w:t>工</w:t>
            </w:r>
          </w:p>
        </w:tc>
        <w:tc>
          <w:tcPr>
            <w:tcW w:w="2759" w:type="dxa"/>
            <w:gridSpan w:val="4"/>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r>
        <w:tblPrEx>
          <w:tblCellMar>
            <w:top w:w="0" w:type="dxa"/>
            <w:left w:w="0" w:type="dxa"/>
            <w:bottom w:w="0" w:type="dxa"/>
            <w:right w:w="0" w:type="dxa"/>
          </w:tblCellMar>
        </w:tblPrEx>
        <w:trPr>
          <w:trHeight w:val="861"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经营范围</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pacing w:val="1"/>
                <w:kern w:val="0"/>
                <w:sz w:val="24"/>
                <w:highlight w:val="none"/>
              </w:rPr>
            </w:pPr>
          </w:p>
        </w:tc>
      </w:tr>
      <w:tr>
        <w:tblPrEx>
          <w:tblCellMar>
            <w:top w:w="0" w:type="dxa"/>
            <w:left w:w="0" w:type="dxa"/>
            <w:bottom w:w="0" w:type="dxa"/>
            <w:right w:w="0" w:type="dxa"/>
          </w:tblCellMar>
        </w:tblPrEx>
        <w:trPr>
          <w:trHeight w:val="639"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before="50"/>
              <w:ind w:right="97" w:firstLine="67" w:firstLineChars="28"/>
              <w:jc w:val="center"/>
              <w:rPr>
                <w:rFonts w:ascii="宋体" w:hAnsi="宋体" w:cs="宋体"/>
                <w:sz w:val="24"/>
                <w:highlight w:val="none"/>
              </w:rPr>
            </w:pPr>
            <w:r>
              <w:rPr>
                <w:rFonts w:hint="eastAsia" w:ascii="宋体" w:hAnsi="宋体" w:cs="宋体"/>
                <w:sz w:val="24"/>
                <w:highlight w:val="none"/>
              </w:rPr>
              <w:t>备注</w:t>
            </w:r>
          </w:p>
        </w:tc>
        <w:tc>
          <w:tcPr>
            <w:tcW w:w="7727" w:type="dxa"/>
            <w:gridSpan w:val="11"/>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firstLine="480" w:firstLineChars="200"/>
              <w:jc w:val="center"/>
              <w:rPr>
                <w:rFonts w:ascii="宋体" w:hAnsi="宋体" w:cs="宋体"/>
                <w:sz w:val="24"/>
                <w:highlight w:val="none"/>
              </w:rPr>
            </w:pPr>
          </w:p>
        </w:tc>
      </w:tr>
    </w:tbl>
    <w:p>
      <w:pPr>
        <w:spacing w:line="480" w:lineRule="auto"/>
        <w:rPr>
          <w:rFonts w:ascii="宋体" w:hAnsi="宋体" w:cs="宋体"/>
          <w:b/>
          <w:bCs/>
          <w:kern w:val="0"/>
          <w:sz w:val="24"/>
          <w:highlight w:val="none"/>
        </w:rPr>
      </w:pPr>
      <w:r>
        <w:rPr>
          <w:rFonts w:hint="eastAsia" w:ascii="宋体" w:hAnsi="宋体" w:cs="宋体"/>
          <w:b/>
          <w:bCs/>
          <w:sz w:val="24"/>
          <w:highlight w:val="none"/>
        </w:rPr>
        <w:t>注：</w:t>
      </w:r>
      <w:r>
        <w:rPr>
          <w:rFonts w:hint="eastAsia" w:ascii="宋体" w:hAnsi="宋体" w:cs="宋体"/>
          <w:b/>
          <w:bCs/>
          <w:kern w:val="0"/>
          <w:sz w:val="24"/>
          <w:highlight w:val="none"/>
        </w:rPr>
        <w:t>本表后应附企业法人营业执照</w:t>
      </w:r>
      <w:r>
        <w:rPr>
          <w:rFonts w:hint="eastAsia" w:ascii="宋体" w:hAnsi="宋体" w:cs="宋体"/>
          <w:b/>
          <w:bCs/>
          <w:kern w:val="0"/>
          <w:sz w:val="24"/>
          <w:highlight w:val="none"/>
          <w:lang w:eastAsia="zh-CN"/>
        </w:rPr>
        <w:t>、</w:t>
      </w:r>
      <w:r>
        <w:rPr>
          <w:rFonts w:hint="eastAsia" w:ascii="宋体" w:hAnsi="宋体" w:cs="宋体"/>
          <w:b/>
          <w:bCs/>
          <w:kern w:val="0"/>
          <w:sz w:val="24"/>
          <w:highlight w:val="none"/>
          <w:lang w:val="en-US" w:eastAsia="zh-CN"/>
        </w:rPr>
        <w:t>资质证书</w:t>
      </w:r>
      <w:r>
        <w:rPr>
          <w:rFonts w:hint="eastAsia" w:ascii="宋体" w:hAnsi="宋体" w:cs="宋体"/>
          <w:b/>
          <w:bCs/>
          <w:kern w:val="0"/>
          <w:sz w:val="24"/>
          <w:highlight w:val="none"/>
        </w:rPr>
        <w:t>等企业相关材料。</w:t>
      </w:r>
    </w:p>
    <w:p>
      <w:pPr>
        <w:spacing w:line="480" w:lineRule="auto"/>
        <w:rPr>
          <w:rFonts w:hint="eastAsia" w:ascii="宋体" w:hAnsi="宋体" w:cs="宋体"/>
          <w:b/>
          <w:bCs/>
          <w:kern w:val="0"/>
          <w:sz w:val="24"/>
          <w:highlight w:val="none"/>
          <w:lang w:eastAsia="zh-CN"/>
        </w:rPr>
      </w:pPr>
      <w:r>
        <w:rPr>
          <w:rFonts w:hint="eastAsia" w:ascii="宋体" w:hAnsi="宋体" w:cs="宋体"/>
          <w:b/>
          <w:bCs/>
          <w:kern w:val="0"/>
          <w:sz w:val="24"/>
          <w:highlight w:val="none"/>
        </w:rPr>
        <w:t>附件1.企业法人营业执照</w:t>
      </w:r>
    </w:p>
    <w:p>
      <w:pPr>
        <w:spacing w:line="480" w:lineRule="auto"/>
        <w:rPr>
          <w:highlight w:val="none"/>
        </w:rPr>
      </w:pPr>
      <w:r>
        <w:rPr>
          <w:rFonts w:hint="eastAsia" w:ascii="宋体" w:hAnsi="宋体" w:cs="宋体"/>
          <w:b/>
          <w:bCs/>
          <w:kern w:val="0"/>
          <w:sz w:val="24"/>
          <w:highlight w:val="none"/>
        </w:rPr>
        <w:t>附件</w:t>
      </w:r>
      <w:r>
        <w:rPr>
          <w:rFonts w:hint="eastAsia" w:ascii="宋体" w:hAnsi="宋体" w:cs="宋体"/>
          <w:b/>
          <w:bCs/>
          <w:kern w:val="0"/>
          <w:sz w:val="24"/>
          <w:szCs w:val="22"/>
          <w:highlight w:val="none"/>
        </w:rPr>
        <w:t>2.</w:t>
      </w:r>
      <w:r>
        <w:rPr>
          <w:rFonts w:hint="eastAsia" w:ascii="宋体" w:hAnsi="宋体" w:cs="宋体"/>
          <w:b/>
          <w:bCs/>
          <w:kern w:val="0"/>
          <w:sz w:val="24"/>
          <w:szCs w:val="22"/>
          <w:highlight w:val="none"/>
          <w:lang w:val="en-US" w:eastAsia="zh-CN"/>
        </w:rPr>
        <w:t xml:space="preserve"> </w:t>
      </w:r>
      <w:r>
        <w:rPr>
          <w:rFonts w:hint="eastAsia" w:ascii="宋体" w:hAnsi="宋体" w:cs="宋体"/>
          <w:b/>
          <w:bCs/>
          <w:kern w:val="0"/>
          <w:sz w:val="24"/>
          <w:szCs w:val="22"/>
          <w:highlight w:val="none"/>
          <w:lang w:eastAsia="zh-CN"/>
        </w:rPr>
        <w:t>供应商</w:t>
      </w:r>
      <w:r>
        <w:rPr>
          <w:rFonts w:hint="eastAsia" w:ascii="宋体" w:hAnsi="宋体" w:cs="宋体"/>
          <w:b/>
          <w:bCs/>
          <w:kern w:val="0"/>
          <w:sz w:val="24"/>
          <w:szCs w:val="22"/>
          <w:highlight w:val="none"/>
        </w:rPr>
        <w:t>认为跟本项有关的材料</w:t>
      </w: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jc w:val="center"/>
        <w:rPr>
          <w:rFonts w:hint="default"/>
          <w:b/>
          <w:bCs/>
          <w:lang w:val="en-US" w:eastAsia="zh-CN"/>
        </w:rPr>
      </w:pPr>
    </w:p>
    <w:p>
      <w:pPr>
        <w:rPr>
          <w:rFonts w:hint="default"/>
          <w:b/>
          <w:bCs/>
          <w:lang w:val="en-US" w:eastAsia="zh-CN"/>
        </w:rPr>
      </w:pPr>
      <w:r>
        <w:rPr>
          <w:rFonts w:hint="default"/>
          <w:b/>
          <w:bCs/>
          <w:lang w:val="en-US" w:eastAsia="zh-CN"/>
        </w:rPr>
        <w:br w:type="page"/>
      </w:r>
    </w:p>
    <w:p>
      <w:pPr>
        <w:jc w:val="center"/>
        <w:rPr>
          <w:rFonts w:hint="default"/>
          <w:b/>
          <w:bCs/>
          <w:lang w:val="en-US" w:eastAsia="zh-CN"/>
        </w:rPr>
      </w:pPr>
      <w:r>
        <w:rPr>
          <w:rFonts w:hint="eastAsia"/>
          <w:b/>
          <w:bCs/>
          <w:lang w:val="en-US" w:eastAsia="zh-CN"/>
        </w:rPr>
        <w:t>（二）</w:t>
      </w:r>
      <w:r>
        <w:rPr>
          <w:rFonts w:hint="default"/>
          <w:b/>
          <w:bCs/>
          <w:lang w:val="en-US" w:eastAsia="zh-CN"/>
        </w:rPr>
        <w:t>资格承诺声明函</w:t>
      </w:r>
    </w:p>
    <w:p>
      <w:pPr>
        <w:rPr>
          <w:rFonts w:hint="default"/>
          <w:lang w:val="en-US" w:eastAsia="zh-CN"/>
        </w:rPr>
      </w:pPr>
      <w:r>
        <w:rPr>
          <w:rFonts w:hint="default"/>
          <w:lang w:val="en-US" w:eastAsia="zh-CN"/>
        </w:rPr>
        <w:t>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我单位自愿参加本次政府采购活动,严格遵守《中华人民共和国政府采购法》及相关法律法规,依法诚信经营,依法遵守本次政府采购活动的各项规定。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我单位郑重承诺声明如下: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我单位全称为</w:t>
      </w:r>
      <w:r>
        <w:rPr>
          <w:rFonts w:hint="default"/>
          <w:u w:val="single"/>
          <w:lang w:val="en-US" w:eastAsia="zh-CN"/>
        </w:rPr>
        <w:t xml:space="preserve">         </w:t>
      </w:r>
      <w:r>
        <w:rPr>
          <w:rFonts w:hint="default"/>
          <w:lang w:val="en-US" w:eastAsia="zh-CN"/>
        </w:rPr>
        <w:t>， 注册地点为</w:t>
      </w:r>
      <w:r>
        <w:rPr>
          <w:rFonts w:hint="default"/>
          <w:u w:val="single"/>
          <w:lang w:val="en-US" w:eastAsia="zh-CN"/>
        </w:rPr>
        <w:t xml:space="preserve">         </w:t>
      </w:r>
      <w:r>
        <w:rPr>
          <w:rFonts w:hint="default"/>
          <w:lang w:val="en-US" w:eastAsia="zh-CN"/>
        </w:rPr>
        <w:t>，统一社会信用代码为</w:t>
      </w:r>
      <w:r>
        <w:rPr>
          <w:rFonts w:hint="default"/>
          <w:u w:val="single"/>
          <w:lang w:val="en-US" w:eastAsia="zh-CN"/>
        </w:rPr>
        <w:t xml:space="preserve">         </w:t>
      </w:r>
      <w:r>
        <w:rPr>
          <w:rFonts w:hint="default"/>
          <w:lang w:val="en-US" w:eastAsia="zh-CN"/>
        </w:rPr>
        <w:t>，法定代表人( 单位负责人)为</w:t>
      </w:r>
      <w:r>
        <w:rPr>
          <w:rFonts w:hint="default"/>
          <w:u w:val="single"/>
          <w:lang w:val="en-US" w:eastAsia="zh-CN"/>
        </w:rPr>
        <w:t xml:space="preserve">         </w:t>
      </w:r>
      <w:r>
        <w:rPr>
          <w:rFonts w:hint="default"/>
          <w:lang w:val="en-US" w:eastAsia="zh-CN"/>
        </w:rPr>
        <w:t>，联系方式为</w:t>
      </w:r>
      <w:r>
        <w:rPr>
          <w:rFonts w:hint="default"/>
          <w:u w:val="single"/>
          <w:lang w:val="en-US" w:eastAsia="zh-CN"/>
        </w:rPr>
        <w:t xml:space="preserve">         </w:t>
      </w: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我单位具有独立承担民事责任的能力。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我单位具有良好的商业信誉和健全的财务会计制度。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我单位具有履行合同所必需的设备和专业技术能力。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我单位有依法缴纳税收和社会保障资金的良好记录。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我单位参加政府采购活动前三年内,在经营活动中没有重大违法记录。(重大违法记录,是指供应商因违法经营受到刑事处罚或者责令停产停业、吊销许可证或者执照、较大数额罚款等行政处罚。)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我单位具备法律、行政法规规定的其他条件。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我单位保证上述声明的事项都是真实的,符合《中华人民共和国政府采购法 》规定的供应商资格条件.如有弄虚作假,我单位愿意按照“提供虚假材料谋取中标、成交”承担相应的法律责任,同意将违背承诺行为作为失信行为记录到社会 信用信息平台,并承担因此所造成的一切损失。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承诺单位(盖章):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法定代表人或授权代表(签名或盖章):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日期:     年    月   日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注: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 xml:space="preserve">1.响应人须在响应文件中按此模板提供承诺函,未提供视为未实质性响应招 标文件要求,按无效投标处理。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2.响应人的法定代表人或者授权代表的签字或盖章应真实、有效。</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3.单位负责人为同一人或者存在直接控股、管理关系的不同供应商，不得参加同一合同项下的政府采购活动（提供国家企业信用信息公示系统截图）；</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4.为采购项目提供整体设计、规范编制或者项目管理、监理、检测等服务的供应商，不得再参加该采购项目的其他采购活动（提供相关承诺书）。</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center"/>
        <w:rPr>
          <w:rFonts w:hint="default"/>
          <w:b/>
          <w:bCs/>
          <w:lang w:val="en-US" w:eastAsia="zh-CN"/>
        </w:rPr>
      </w:pPr>
      <w:bookmarkStart w:id="743" w:name="_Toc26762"/>
      <w:r>
        <w:rPr>
          <w:rFonts w:hint="default"/>
          <w:b/>
          <w:bCs/>
          <w:lang w:val="en-US" w:eastAsia="zh-CN"/>
        </w:rPr>
        <w:t>九、其他材料</w:t>
      </w:r>
      <w:bookmarkEnd w:id="743"/>
    </w:p>
    <w:p>
      <w:pPr>
        <w:jc w:val="center"/>
        <w:rPr>
          <w:rFonts w:hint="default"/>
          <w:lang w:val="en-US" w:eastAsia="zh-CN"/>
        </w:rPr>
      </w:pPr>
      <w:bookmarkStart w:id="744" w:name="_Toc8615"/>
      <w:r>
        <w:rPr>
          <w:rFonts w:hint="default"/>
          <w:b/>
          <w:bCs/>
          <w:lang w:val="en-US" w:eastAsia="zh-CN"/>
        </w:rPr>
        <w:t>（一）反商业贿赂承诺书</w:t>
      </w:r>
      <w:bookmarkEnd w:id="74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我公司承诺：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在政府采购</w:t>
      </w:r>
      <w:r>
        <w:rPr>
          <w:rFonts w:hint="default"/>
          <w:u w:val="single"/>
          <w:lang w:val="en-US" w:eastAsia="zh-CN"/>
        </w:rPr>
        <w:tab/>
      </w:r>
      <w:r>
        <w:rPr>
          <w:rFonts w:hint="default"/>
          <w:u w:val="single"/>
          <w:lang w:val="en-US" w:eastAsia="zh-CN"/>
        </w:rPr>
        <w:t>（项目名称及标段）</w:t>
      </w:r>
      <w:r>
        <w:rPr>
          <w:rFonts w:hint="default"/>
          <w:lang w:val="en-US" w:eastAsia="zh-CN"/>
        </w:rPr>
        <w:t>采购活动中，我公司保证做到：</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一、公平竞争参加本次采购活动。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二、杜绝任何形式的商业贿赂行为。不向国家工作人员、政府采购代理机构工作人员、评审专家及其亲属提供礼金礼品、有价证券、购物券、回扣、佣金、咨询费、劳务费、赞助费、宣传费、宴请；不为其报销各种消费凭证，不支付其旅游、娱乐等费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三、若出现上述行为，我公司及参与磋商的工作人员自愿接受按照国家法律、法规等有关规定给予的处罚。</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center"/>
        <w:rPr>
          <w:rFonts w:hint="default"/>
          <w:lang w:val="en-US" w:eastAsia="zh-CN"/>
        </w:rPr>
      </w:pPr>
      <w:bookmarkStart w:id="745" w:name="_Toc23012"/>
      <w:r>
        <w:rPr>
          <w:rFonts w:hint="default"/>
          <w:b/>
          <w:bCs/>
          <w:lang w:val="en-US" w:eastAsia="zh-CN"/>
        </w:rPr>
        <w:t>（二）代理服务费承诺函</w:t>
      </w:r>
      <w:bookmarkEnd w:id="745"/>
    </w:p>
    <w:p>
      <w:pPr>
        <w:keepNext w:val="0"/>
        <w:keepLines w:val="0"/>
        <w:pageBreakBefore w:val="0"/>
        <w:widowControl w:val="0"/>
        <w:kinsoku/>
        <w:wordWrap/>
        <w:overflowPunct/>
        <w:topLinePunct w:val="0"/>
        <w:autoSpaceDE/>
        <w:autoSpaceDN/>
        <w:bidi w:val="0"/>
        <w:adjustRightInd/>
        <w:snapToGrid/>
        <w:textAlignment w:val="auto"/>
        <w:rPr>
          <w:rFonts w:hint="default"/>
          <w:u w:val="single"/>
          <w:lang w:val="en-US" w:eastAsia="zh-CN"/>
        </w:rPr>
      </w:pPr>
      <w:r>
        <w:rPr>
          <w:rFonts w:hint="default"/>
          <w:lang w:val="en-US" w:eastAsia="zh-CN"/>
        </w:rPr>
        <w:t>致：</w:t>
      </w:r>
      <w:r>
        <w:rPr>
          <w:rFonts w:hint="default"/>
          <w:u w:val="single"/>
          <w:lang w:val="en-US" w:eastAsia="zh-CN"/>
        </w:rPr>
        <w:tab/>
      </w:r>
      <w:r>
        <w:rPr>
          <w:rFonts w:hint="default"/>
          <w:u w:val="single"/>
          <w:lang w:val="en-US" w:eastAsia="zh-CN"/>
        </w:rPr>
        <w:t>（采购代理机构）</w:t>
      </w:r>
      <w:r>
        <w:rPr>
          <w:rFonts w:hint="eastAsia"/>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我们在贵公司组织的</w:t>
      </w:r>
      <w:r>
        <w:rPr>
          <w:rFonts w:hint="default"/>
          <w:u w:val="single"/>
          <w:lang w:val="en-US" w:eastAsia="zh-CN"/>
        </w:rPr>
        <w:tab/>
      </w:r>
      <w:r>
        <w:rPr>
          <w:rFonts w:hint="default"/>
          <w:u w:val="single"/>
          <w:lang w:val="en-US" w:eastAsia="zh-CN"/>
        </w:rPr>
        <w:t>（项目名称及标段）</w:t>
      </w:r>
      <w:r>
        <w:rPr>
          <w:rFonts w:hint="default"/>
          <w:lang w:val="en-US" w:eastAsia="zh-CN"/>
        </w:rPr>
        <w:t>采购中若为成交人，我们保证在成交公告发布后 5 个工作日内，按竞争性磋商文件的规定，以支票、银行转账、汇票或现金，向贵公司一次性支付代理服务费用。否则，由此产生的一切法律后果和责任由我公司承担。我公司声明放弃对此提出任何异议和追索的权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特此承诺。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right"/>
        <w:rPr>
          <w:rFonts w:hint="default"/>
          <w:lang w:val="en-US" w:eastAsia="zh-CN"/>
        </w:rPr>
      </w:pPr>
      <w:r>
        <w:rPr>
          <w:rFonts w:hint="default"/>
          <w:lang w:val="en-US" w:eastAsia="zh-CN"/>
        </w:rPr>
        <w:t>供应商：</w:t>
      </w:r>
      <w:r>
        <w:rPr>
          <w:rFonts w:hint="default"/>
          <w:u w:val="single"/>
          <w:lang w:val="en-US" w:eastAsia="zh-CN"/>
        </w:rPr>
        <w:tab/>
      </w:r>
      <w:r>
        <w:rPr>
          <w:rFonts w:hint="eastAsia"/>
          <w:u w:val="single"/>
          <w:lang w:val="en-US" w:eastAsia="zh-CN"/>
        </w:rPr>
        <w:t xml:space="preserve">            </w:t>
      </w:r>
      <w:r>
        <w:rPr>
          <w:rFonts w:hint="default"/>
          <w:lang w:val="en-US" w:eastAsia="zh-CN"/>
        </w:rPr>
        <w:t xml:space="preserve">（盖单位公章） </w:t>
      </w:r>
    </w:p>
    <w:p>
      <w:pPr>
        <w:jc w:val="right"/>
        <w:rPr>
          <w:rFonts w:hint="default"/>
          <w:lang w:val="en-US" w:eastAsia="zh-CN"/>
        </w:rPr>
      </w:pPr>
      <w:r>
        <w:rPr>
          <w:rFonts w:hint="default"/>
          <w:lang w:val="en-US" w:eastAsia="zh-CN"/>
        </w:rPr>
        <w:t>法定代表人：</w:t>
      </w:r>
      <w:r>
        <w:rPr>
          <w:rFonts w:hint="eastAsia"/>
          <w:u w:val="single"/>
          <w:lang w:val="en-US" w:eastAsia="zh-CN"/>
        </w:rPr>
        <w:t xml:space="preserve">                </w:t>
      </w:r>
      <w:r>
        <w:rPr>
          <w:rFonts w:hint="default"/>
          <w:lang w:val="en-US" w:eastAsia="zh-CN"/>
        </w:rPr>
        <w:t>（签字或盖章）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eastAsia"/>
          <w:u w:val="single"/>
          <w:lang w:val="en-US" w:eastAsia="zh-CN"/>
        </w:rPr>
        <w:t xml:space="preserve">       </w:t>
      </w:r>
      <w:r>
        <w:rPr>
          <w:rFonts w:hint="default"/>
          <w:lang w:val="en-US" w:eastAsia="zh-CN"/>
        </w:rPr>
        <w:t>年</w:t>
      </w:r>
      <w:r>
        <w:rPr>
          <w:rFonts w:hint="eastAsia"/>
          <w:u w:val="single"/>
          <w:lang w:val="en-US" w:eastAsia="zh-CN"/>
        </w:rPr>
        <w:t xml:space="preserve">        </w:t>
      </w:r>
      <w:r>
        <w:rPr>
          <w:rFonts w:hint="default"/>
          <w:lang w:val="en-US" w:eastAsia="zh-CN"/>
        </w:rPr>
        <w:t>月</w:t>
      </w:r>
      <w:r>
        <w:rPr>
          <w:rFonts w:hint="eastAsia"/>
          <w:u w:val="single"/>
          <w:lang w:val="en-US" w:eastAsia="zh-CN"/>
        </w:rPr>
        <w:t xml:space="preserve">       </w:t>
      </w:r>
      <w:r>
        <w:rPr>
          <w:rFonts w:hint="default"/>
          <w:lang w:val="en-US" w:eastAsia="zh-CN"/>
        </w:rPr>
        <w:t>日</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p>
    <w:p>
      <w:pPr>
        <w:jc w:val="center"/>
        <w:rPr>
          <w:rFonts w:hint="default"/>
          <w:b/>
          <w:bCs/>
          <w:lang w:val="en-US" w:eastAsia="zh-CN"/>
        </w:rPr>
      </w:pPr>
      <w:bookmarkStart w:id="746" w:name="_Toc10784"/>
      <w:r>
        <w:rPr>
          <w:rFonts w:hint="default"/>
          <w:b/>
          <w:bCs/>
          <w:lang w:val="en-US" w:eastAsia="zh-CN"/>
        </w:rPr>
        <w:t>（三）中小企业声明函（工程）</w:t>
      </w:r>
      <w:bookmarkEnd w:id="74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本公司（联合体）郑重声明，根据《政府采购促进中小企业发展管理办法》（财库〔2020〕46 号）的规定，本公司（联合体）参加</w:t>
      </w:r>
      <w:r>
        <w:rPr>
          <w:rFonts w:hint="default"/>
          <w:u w:val="single"/>
          <w:lang w:val="en-US" w:eastAsia="zh-CN"/>
        </w:rPr>
        <w:t xml:space="preserve"> （单位名称） </w:t>
      </w:r>
      <w:r>
        <w:rPr>
          <w:rFonts w:hint="default"/>
          <w:lang w:val="en-US" w:eastAsia="zh-CN"/>
        </w:rPr>
        <w:t>的</w:t>
      </w:r>
      <w:r>
        <w:rPr>
          <w:rFonts w:hint="default"/>
          <w:u w:val="single"/>
          <w:lang w:val="en-US" w:eastAsia="zh-CN"/>
        </w:rPr>
        <w:t xml:space="preserve"> （项目名称及标段） </w:t>
      </w:r>
      <w:r>
        <w:rPr>
          <w:rFonts w:hint="default"/>
          <w:lang w:val="en-US" w:eastAsia="zh-CN"/>
        </w:rPr>
        <w:t>采购活动，服务全部由符合政策要求的中小企业承接。相关企业（含联合体中的中小企业、签订分包意向协议的中小企业）的具体情况如下：</w:t>
      </w:r>
    </w:p>
    <w:p>
      <w:pPr>
        <w:numPr>
          <w:ilvl w:val="0"/>
          <w:numId w:val="0"/>
        </w:numPr>
        <w:tabs>
          <w:tab w:val="left" w:pos="835"/>
        </w:tabs>
        <w:spacing w:before="2" w:line="364" w:lineRule="auto"/>
        <w:ind w:left="593" w:leftChars="0" w:right="211" w:rightChars="0"/>
        <w:jc w:val="both"/>
        <w:rPr>
          <w:sz w:val="28"/>
          <w:szCs w:val="32"/>
          <w:highlight w:val="none"/>
        </w:rPr>
      </w:pPr>
      <w:r>
        <w:rPr>
          <w:rFonts w:hint="eastAsia" w:ascii="Times New Roman" w:eastAsia="宋体"/>
          <w:sz w:val="28"/>
          <w:szCs w:val="32"/>
          <w:highlight w:val="none"/>
          <w:u w:val="none" w:color="auto"/>
          <w:lang w:val="en-US" w:eastAsia="zh-CN"/>
        </w:rPr>
        <w:t>1.</w:t>
      </w:r>
      <w:r>
        <w:rPr>
          <w:rFonts w:ascii="Times New Roman" w:eastAsia="Times New Roman"/>
          <w:sz w:val="28"/>
          <w:szCs w:val="32"/>
          <w:highlight w:val="none"/>
          <w:u w:val="none" w:color="auto"/>
        </w:rPr>
        <w:t xml:space="preserve"> </w:t>
      </w:r>
      <w:r>
        <w:rPr>
          <w:rFonts w:ascii="Times New Roman" w:eastAsia="Times New Roman"/>
          <w:sz w:val="28"/>
          <w:szCs w:val="32"/>
          <w:highlight w:val="none"/>
          <w:u w:val="single" w:color="000000"/>
        </w:rPr>
        <w:t xml:space="preserve">    </w:t>
      </w:r>
      <w:r>
        <w:rPr>
          <w:rFonts w:ascii="Times New Roman" w:eastAsia="Times New Roman"/>
          <w:spacing w:val="7"/>
          <w:sz w:val="28"/>
          <w:szCs w:val="32"/>
          <w:highlight w:val="none"/>
          <w:u w:val="single" w:color="000000"/>
        </w:rPr>
        <w:t xml:space="preserve"> </w:t>
      </w:r>
      <w:r>
        <w:rPr>
          <w:sz w:val="28"/>
          <w:szCs w:val="32"/>
          <w:highlight w:val="none"/>
          <w:u w:val="single" w:color="000000"/>
        </w:rPr>
        <w:t>（标的名称）</w:t>
      </w:r>
      <w:r>
        <w:rPr>
          <w:spacing w:val="141"/>
          <w:sz w:val="28"/>
          <w:szCs w:val="32"/>
          <w:highlight w:val="none"/>
          <w:u w:val="single" w:color="000000"/>
        </w:rPr>
        <w:t xml:space="preserve"> </w:t>
      </w:r>
      <w:r>
        <w:rPr>
          <w:sz w:val="28"/>
          <w:szCs w:val="32"/>
          <w:highlight w:val="none"/>
        </w:rPr>
        <w:t>，属于</w:t>
      </w:r>
      <w:r>
        <w:rPr>
          <w:spacing w:val="6"/>
          <w:sz w:val="28"/>
          <w:szCs w:val="32"/>
          <w:highlight w:val="none"/>
          <w:u w:val="single" w:color="000000"/>
        </w:rPr>
        <w:t xml:space="preserve">   </w:t>
      </w:r>
      <w:r>
        <w:rPr>
          <w:sz w:val="28"/>
          <w:szCs w:val="32"/>
          <w:highlight w:val="none"/>
          <w:u w:val="single" w:color="000000"/>
        </w:rPr>
        <w:t>（采购文件中明确的所属行业）</w:t>
      </w:r>
      <w:r>
        <w:rPr>
          <w:spacing w:val="6"/>
          <w:sz w:val="28"/>
          <w:szCs w:val="32"/>
          <w:highlight w:val="none"/>
          <w:u w:val="single" w:color="000000"/>
        </w:rPr>
        <w:t xml:space="preserve">   </w:t>
      </w:r>
      <w:r>
        <w:rPr>
          <w:sz w:val="28"/>
          <w:szCs w:val="32"/>
          <w:highlight w:val="none"/>
        </w:rPr>
        <w:t>；承接企业为</w:t>
      </w:r>
      <w:r>
        <w:rPr>
          <w:spacing w:val="3"/>
          <w:sz w:val="28"/>
          <w:szCs w:val="32"/>
          <w:highlight w:val="none"/>
          <w:u w:val="single" w:color="000000"/>
        </w:rPr>
        <w:t xml:space="preserve">   </w:t>
      </w:r>
      <w:r>
        <w:rPr>
          <w:sz w:val="28"/>
          <w:szCs w:val="32"/>
          <w:highlight w:val="none"/>
          <w:u w:val="single" w:color="000000"/>
        </w:rPr>
        <w:t>（企业名称）</w:t>
      </w:r>
      <w:r>
        <w:rPr>
          <w:spacing w:val="4"/>
          <w:sz w:val="28"/>
          <w:szCs w:val="32"/>
          <w:highlight w:val="none"/>
          <w:u w:val="single" w:color="000000"/>
        </w:rPr>
        <w:t xml:space="preserve">   </w:t>
      </w:r>
      <w:r>
        <w:rPr>
          <w:sz w:val="28"/>
          <w:szCs w:val="32"/>
          <w:highlight w:val="none"/>
        </w:rPr>
        <w:t>，从业人员</w:t>
      </w:r>
      <w:r>
        <w:rPr>
          <w:spacing w:val="5"/>
          <w:sz w:val="28"/>
          <w:szCs w:val="32"/>
          <w:highlight w:val="none"/>
          <w:u w:val="single" w:color="000000"/>
        </w:rPr>
        <w:t xml:space="preserve">   </w:t>
      </w:r>
      <w:r>
        <w:rPr>
          <w:sz w:val="28"/>
          <w:szCs w:val="32"/>
          <w:highlight w:val="none"/>
        </w:rPr>
        <w:t>人，营业收入为</w:t>
      </w:r>
      <w:r>
        <w:rPr>
          <w:spacing w:val="3"/>
          <w:sz w:val="28"/>
          <w:szCs w:val="32"/>
          <w:highlight w:val="none"/>
          <w:u w:val="single" w:color="000000"/>
        </w:rPr>
        <w:t xml:space="preserve">    </w:t>
      </w:r>
      <w:r>
        <w:rPr>
          <w:sz w:val="28"/>
          <w:szCs w:val="32"/>
          <w:highlight w:val="none"/>
        </w:rPr>
        <w:t>万元，资产总额为</w:t>
      </w:r>
      <w:r>
        <w:rPr>
          <w:spacing w:val="3"/>
          <w:sz w:val="28"/>
          <w:szCs w:val="32"/>
          <w:highlight w:val="none"/>
          <w:u w:val="single" w:color="000000"/>
        </w:rPr>
        <w:t xml:space="preserve">    </w:t>
      </w:r>
      <w:r>
        <w:rPr>
          <w:sz w:val="28"/>
          <w:szCs w:val="32"/>
          <w:highlight w:val="none"/>
        </w:rPr>
        <w:t>万元，属于</w:t>
      </w:r>
      <w:r>
        <w:rPr>
          <w:spacing w:val="120"/>
          <w:sz w:val="28"/>
          <w:szCs w:val="32"/>
          <w:highlight w:val="none"/>
          <w:u w:val="single" w:color="000000"/>
        </w:rPr>
        <w:t xml:space="preserve"> </w:t>
      </w:r>
      <w:r>
        <w:rPr>
          <w:sz w:val="28"/>
          <w:szCs w:val="32"/>
          <w:highlight w:val="none"/>
          <w:u w:val="single" w:color="000000"/>
        </w:rPr>
        <w:t>（中型企业、小型企业、微型企业）</w:t>
      </w:r>
      <w:r>
        <w:rPr>
          <w:spacing w:val="119"/>
          <w:sz w:val="28"/>
          <w:szCs w:val="32"/>
          <w:highlight w:val="none"/>
          <w:u w:val="single" w:color="000000"/>
        </w:rPr>
        <w:t xml:space="preserve"> </w:t>
      </w:r>
      <w:r>
        <w:rPr>
          <w:sz w:val="28"/>
          <w:szCs w:val="32"/>
          <w:highlight w:val="none"/>
        </w:rPr>
        <w:t>；</w:t>
      </w:r>
    </w:p>
    <w:p>
      <w:pPr>
        <w:numPr>
          <w:ilvl w:val="0"/>
          <w:numId w:val="0"/>
        </w:numPr>
        <w:tabs>
          <w:tab w:val="left" w:pos="835"/>
        </w:tabs>
        <w:spacing w:before="2" w:line="364" w:lineRule="auto"/>
        <w:ind w:left="593" w:leftChars="0" w:right="211" w:rightChars="0"/>
        <w:jc w:val="both"/>
        <w:rPr>
          <w:sz w:val="28"/>
          <w:szCs w:val="32"/>
          <w:highlight w:val="none"/>
        </w:rPr>
      </w:pPr>
      <w:r>
        <w:rPr>
          <w:rFonts w:hint="eastAsia" w:ascii="Times New Roman" w:eastAsia="宋体"/>
          <w:sz w:val="28"/>
          <w:szCs w:val="32"/>
          <w:highlight w:val="none"/>
          <w:u w:val="none" w:color="auto"/>
          <w:lang w:val="en-US" w:eastAsia="zh-CN"/>
        </w:rPr>
        <w:t>2.</w:t>
      </w:r>
      <w:r>
        <w:rPr>
          <w:rFonts w:ascii="Times New Roman" w:eastAsia="Times New Roman"/>
          <w:sz w:val="28"/>
          <w:szCs w:val="32"/>
          <w:highlight w:val="none"/>
          <w:u w:val="single" w:color="000000"/>
        </w:rPr>
        <w:t xml:space="preserve">     </w:t>
      </w:r>
      <w:r>
        <w:rPr>
          <w:rFonts w:ascii="Times New Roman" w:eastAsia="Times New Roman"/>
          <w:spacing w:val="7"/>
          <w:sz w:val="28"/>
          <w:szCs w:val="32"/>
          <w:highlight w:val="none"/>
          <w:u w:val="single" w:color="000000"/>
        </w:rPr>
        <w:t xml:space="preserve"> </w:t>
      </w:r>
      <w:r>
        <w:rPr>
          <w:sz w:val="28"/>
          <w:szCs w:val="32"/>
          <w:highlight w:val="none"/>
          <w:u w:val="single" w:color="000000"/>
        </w:rPr>
        <w:t>（标的名称）</w:t>
      </w:r>
      <w:r>
        <w:rPr>
          <w:spacing w:val="141"/>
          <w:sz w:val="28"/>
          <w:szCs w:val="32"/>
          <w:highlight w:val="none"/>
          <w:u w:val="single" w:color="000000"/>
        </w:rPr>
        <w:t xml:space="preserve"> </w:t>
      </w:r>
      <w:r>
        <w:rPr>
          <w:sz w:val="28"/>
          <w:szCs w:val="32"/>
          <w:highlight w:val="none"/>
        </w:rPr>
        <w:t>，属于</w:t>
      </w:r>
      <w:r>
        <w:rPr>
          <w:spacing w:val="6"/>
          <w:sz w:val="28"/>
          <w:szCs w:val="32"/>
          <w:highlight w:val="none"/>
          <w:u w:val="single" w:color="000000"/>
        </w:rPr>
        <w:t xml:space="preserve">   </w:t>
      </w:r>
      <w:r>
        <w:rPr>
          <w:sz w:val="28"/>
          <w:szCs w:val="32"/>
          <w:highlight w:val="none"/>
          <w:u w:val="single" w:color="000000"/>
        </w:rPr>
        <w:t>（采购文件中明确的所属行业）</w:t>
      </w:r>
      <w:r>
        <w:rPr>
          <w:spacing w:val="6"/>
          <w:sz w:val="28"/>
          <w:szCs w:val="32"/>
          <w:highlight w:val="none"/>
          <w:u w:val="single" w:color="000000"/>
        </w:rPr>
        <w:t xml:space="preserve">   </w:t>
      </w:r>
      <w:r>
        <w:rPr>
          <w:sz w:val="28"/>
          <w:szCs w:val="32"/>
          <w:highlight w:val="none"/>
        </w:rPr>
        <w:t>；承接企业为</w:t>
      </w:r>
      <w:r>
        <w:rPr>
          <w:spacing w:val="3"/>
          <w:sz w:val="28"/>
          <w:szCs w:val="32"/>
          <w:highlight w:val="none"/>
          <w:u w:val="single" w:color="000000"/>
        </w:rPr>
        <w:t xml:space="preserve">   </w:t>
      </w:r>
      <w:r>
        <w:rPr>
          <w:sz w:val="28"/>
          <w:szCs w:val="32"/>
          <w:highlight w:val="none"/>
          <w:u w:val="single" w:color="000000"/>
        </w:rPr>
        <w:t>（企业名称）</w:t>
      </w:r>
      <w:r>
        <w:rPr>
          <w:spacing w:val="4"/>
          <w:sz w:val="28"/>
          <w:szCs w:val="32"/>
          <w:highlight w:val="none"/>
          <w:u w:val="single" w:color="000000"/>
        </w:rPr>
        <w:t xml:space="preserve">   </w:t>
      </w:r>
      <w:r>
        <w:rPr>
          <w:sz w:val="28"/>
          <w:szCs w:val="32"/>
          <w:highlight w:val="none"/>
        </w:rPr>
        <w:t>，从业人员</w:t>
      </w:r>
      <w:r>
        <w:rPr>
          <w:spacing w:val="5"/>
          <w:sz w:val="28"/>
          <w:szCs w:val="32"/>
          <w:highlight w:val="none"/>
          <w:u w:val="single" w:color="000000"/>
        </w:rPr>
        <w:t xml:space="preserve">   </w:t>
      </w:r>
      <w:r>
        <w:rPr>
          <w:sz w:val="28"/>
          <w:szCs w:val="32"/>
          <w:highlight w:val="none"/>
        </w:rPr>
        <w:t>人，营业收入为</w:t>
      </w:r>
      <w:r>
        <w:rPr>
          <w:spacing w:val="3"/>
          <w:sz w:val="28"/>
          <w:szCs w:val="32"/>
          <w:highlight w:val="none"/>
          <w:u w:val="single" w:color="000000"/>
        </w:rPr>
        <w:t xml:space="preserve">    </w:t>
      </w:r>
      <w:r>
        <w:rPr>
          <w:sz w:val="28"/>
          <w:szCs w:val="32"/>
          <w:highlight w:val="none"/>
        </w:rPr>
        <w:t>万元，资产总额为</w:t>
      </w:r>
      <w:r>
        <w:rPr>
          <w:spacing w:val="3"/>
          <w:sz w:val="28"/>
          <w:szCs w:val="32"/>
          <w:highlight w:val="none"/>
          <w:u w:val="single" w:color="000000"/>
        </w:rPr>
        <w:t xml:space="preserve">    </w:t>
      </w:r>
      <w:r>
        <w:rPr>
          <w:sz w:val="28"/>
          <w:szCs w:val="32"/>
          <w:highlight w:val="none"/>
        </w:rPr>
        <w:t>万元，属于</w:t>
      </w:r>
      <w:r>
        <w:rPr>
          <w:spacing w:val="120"/>
          <w:sz w:val="28"/>
          <w:szCs w:val="32"/>
          <w:highlight w:val="none"/>
          <w:u w:val="single" w:color="000000"/>
        </w:rPr>
        <w:t xml:space="preserve"> </w:t>
      </w:r>
      <w:r>
        <w:rPr>
          <w:sz w:val="28"/>
          <w:szCs w:val="32"/>
          <w:highlight w:val="none"/>
          <w:u w:val="single" w:color="000000"/>
        </w:rPr>
        <w:t>（中型企业、小型企业、微型企业）</w:t>
      </w:r>
      <w:r>
        <w:rPr>
          <w:spacing w:val="119"/>
          <w:sz w:val="28"/>
          <w:szCs w:val="32"/>
          <w:highlight w:val="none"/>
          <w:u w:val="single" w:color="000000"/>
        </w:rPr>
        <w:t xml:space="preserve"> </w:t>
      </w:r>
      <w:r>
        <w:rPr>
          <w:sz w:val="28"/>
          <w:szCs w:val="32"/>
          <w:highlight w:val="none"/>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本企业对上述声明内容的真实性负责。如有虚假，将依法承担相应责任。</w:t>
      </w:r>
    </w:p>
    <w:p>
      <w:pPr>
        <w:jc w:val="right"/>
        <w:rPr>
          <w:rFonts w:hint="default"/>
          <w:lang w:val="en-US" w:eastAsia="zh-CN"/>
        </w:rPr>
      </w:pPr>
      <w:r>
        <w:rPr>
          <w:rFonts w:hint="default"/>
          <w:lang w:val="en-US" w:eastAsia="zh-CN"/>
        </w:rPr>
        <w:t>供应商：</w:t>
      </w:r>
      <w:r>
        <w:rPr>
          <w:rFonts w:hint="default"/>
          <w:lang w:val="en-US" w:eastAsia="zh-CN"/>
        </w:rPr>
        <w:tab/>
      </w:r>
      <w:r>
        <w:rPr>
          <w:rFonts w:hint="default"/>
          <w:lang w:val="en-US" w:eastAsia="zh-CN"/>
        </w:rPr>
        <w:t>（盖单位公章）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default"/>
          <w:lang w:val="en-US" w:eastAsia="zh-CN"/>
        </w:rPr>
        <w:t>年</w:t>
      </w:r>
      <w:r>
        <w:rPr>
          <w:rFonts w:hint="default"/>
          <w:lang w:val="en-US" w:eastAsia="zh-CN"/>
        </w:rPr>
        <w:tab/>
      </w:r>
      <w:r>
        <w:rPr>
          <w:rFonts w:hint="default"/>
          <w:lang w:val="en-US" w:eastAsia="zh-CN"/>
        </w:rPr>
        <w:t>月</w:t>
      </w:r>
      <w:r>
        <w:rPr>
          <w:rFonts w:hint="default"/>
          <w:lang w:val="en-US" w:eastAsia="zh-CN"/>
        </w:rPr>
        <w:tab/>
      </w:r>
      <w:r>
        <w:rPr>
          <w:rFonts w:hint="default"/>
          <w:lang w:val="en-US" w:eastAsia="zh-CN"/>
        </w:rPr>
        <w:t>日</w:t>
      </w:r>
    </w:p>
    <w:p>
      <w:pPr>
        <w:rPr>
          <w:rFonts w:hint="default"/>
          <w:lang w:val="en-US" w:eastAsia="zh-CN"/>
        </w:rPr>
      </w:pPr>
    </w:p>
    <w:p>
      <w:pPr>
        <w:rPr>
          <w:rFonts w:hint="default"/>
          <w:b/>
          <w:bCs/>
          <w:lang w:val="en-US" w:eastAsia="zh-CN"/>
        </w:rPr>
      </w:pPr>
      <w:bookmarkStart w:id="747" w:name="_Toc9098"/>
      <w:r>
        <w:rPr>
          <w:rFonts w:hint="default"/>
          <w:b/>
          <w:bCs/>
          <w:lang w:val="en-US" w:eastAsia="zh-CN"/>
        </w:rPr>
        <w:t>注：</w:t>
      </w:r>
      <w:bookmarkEnd w:id="747"/>
    </w:p>
    <w:p>
      <w:pPr>
        <w:numPr>
          <w:ilvl w:val="0"/>
          <w:numId w:val="2"/>
        </w:numPr>
        <w:rPr>
          <w:rFonts w:hint="default"/>
          <w:b/>
          <w:bCs/>
          <w:lang w:val="en-US" w:eastAsia="zh-CN"/>
        </w:rPr>
      </w:pPr>
      <w:r>
        <w:rPr>
          <w:rFonts w:hint="default"/>
          <w:b/>
          <w:bCs/>
          <w:lang w:val="en-US" w:eastAsia="zh-CN"/>
        </w:rPr>
        <w:t>从业人员、营业收入、资产总额填报上一年度数据，无上一年度数据的新成立企业可不填报；</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center"/>
        <w:rPr>
          <w:rFonts w:hint="default"/>
          <w:b/>
          <w:bCs/>
          <w:lang w:val="en-US" w:eastAsia="zh-CN"/>
        </w:rPr>
      </w:pPr>
      <w:bookmarkStart w:id="748" w:name="_Toc14879"/>
      <w:r>
        <w:rPr>
          <w:rFonts w:hint="default"/>
          <w:b/>
          <w:bCs/>
          <w:lang w:val="en-US" w:eastAsia="zh-CN"/>
        </w:rPr>
        <w:t>（四）残疾人福利性单位声明函</w:t>
      </w:r>
      <w:bookmarkEnd w:id="748"/>
    </w:p>
    <w:p>
      <w:pPr>
        <w:widowControl w:val="0"/>
        <w:numPr>
          <w:ilvl w:val="0"/>
          <w:numId w:val="0"/>
        </w:numPr>
        <w:spacing w:line="560" w:lineRule="exact"/>
        <w:jc w:val="both"/>
        <w:rPr>
          <w:rFonts w:hint="default"/>
          <w:b/>
          <w:bCs/>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本单位郑重声明，根据《财政部 民政部 中国残疾人联合会关于促进残疾人就业政府采购政策的通知》（财库〔2017〕141 号）的规定，本单位为符合条件的残疾人福利性单位，且本单位参加</w:t>
      </w:r>
      <w:r>
        <w:rPr>
          <w:rFonts w:hint="eastAsia"/>
          <w:u w:val="single"/>
          <w:lang w:val="en-US" w:eastAsia="zh-CN"/>
        </w:rPr>
        <w:t xml:space="preserve">          </w:t>
      </w:r>
      <w:r>
        <w:rPr>
          <w:rFonts w:hint="default"/>
          <w:lang w:val="en-US" w:eastAsia="zh-CN"/>
        </w:rPr>
        <w:t>单位的</w:t>
      </w:r>
      <w:r>
        <w:rPr>
          <w:rFonts w:hint="default"/>
          <w:u w:val="single"/>
          <w:lang w:val="en-US" w:eastAsia="zh-CN"/>
        </w:rPr>
        <w:t xml:space="preserve">  </w:t>
      </w:r>
      <w:r>
        <w:rPr>
          <w:rFonts w:hint="eastAsia"/>
          <w:u w:val="single"/>
          <w:lang w:val="en-US" w:eastAsia="zh-CN"/>
        </w:rPr>
        <w:t xml:space="preserve">          </w:t>
      </w:r>
      <w:r>
        <w:rPr>
          <w:rFonts w:hint="default"/>
          <w:u w:val="single"/>
          <w:lang w:val="en-US" w:eastAsia="zh-CN"/>
        </w:rPr>
        <w:tab/>
      </w:r>
      <w:r>
        <w:rPr>
          <w:rFonts w:hint="default"/>
          <w:lang w:val="en-US" w:eastAsia="zh-CN"/>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default"/>
          <w:lang w:val="en-US" w:eastAsia="zh-CN"/>
        </w:rPr>
        <w:t>本单位对上述声明的真实性负责。如有虚假，将依法承担相应责任。</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jc w:val="right"/>
        <w:rPr>
          <w:rFonts w:hint="default"/>
          <w:lang w:val="en-US" w:eastAsia="zh-CN"/>
        </w:rPr>
      </w:pPr>
      <w:r>
        <w:rPr>
          <w:rFonts w:hint="default"/>
          <w:lang w:val="en-US" w:eastAsia="zh-CN"/>
        </w:rPr>
        <w:t>供应商：</w:t>
      </w:r>
      <w:r>
        <w:rPr>
          <w:rFonts w:hint="default"/>
          <w:lang w:val="en-US" w:eastAsia="zh-CN"/>
        </w:rPr>
        <w:tab/>
      </w:r>
      <w:r>
        <w:rPr>
          <w:rFonts w:hint="eastAsia"/>
          <w:u w:val="single"/>
          <w:lang w:val="en-US" w:eastAsia="zh-CN"/>
        </w:rPr>
        <w:t xml:space="preserve">                </w:t>
      </w:r>
      <w:r>
        <w:rPr>
          <w:rFonts w:hint="default"/>
          <w:lang w:val="en-US" w:eastAsia="zh-CN"/>
        </w:rPr>
        <w:t>（盖单位公章）</w:t>
      </w:r>
    </w:p>
    <w:p>
      <w:pPr>
        <w:jc w:val="right"/>
        <w:rPr>
          <w:rFonts w:hint="default"/>
          <w:lang w:val="en-US" w:eastAsia="zh-CN"/>
        </w:rPr>
      </w:pPr>
      <w:r>
        <w:rPr>
          <w:rFonts w:hint="default"/>
          <w:lang w:val="en-US" w:eastAsia="zh-CN"/>
        </w:rPr>
        <w:t xml:space="preserve"> </w:t>
      </w:r>
      <w:r>
        <w:rPr>
          <w:rFonts w:hint="default"/>
          <w:lang w:val="en-US" w:eastAsia="zh-CN"/>
        </w:rPr>
        <w:tab/>
      </w:r>
      <w:r>
        <w:rPr>
          <w:rFonts w:hint="default"/>
          <w:lang w:val="en-US" w:eastAsia="zh-CN"/>
        </w:rPr>
        <w:t>年</w:t>
      </w:r>
      <w:r>
        <w:rPr>
          <w:rFonts w:hint="default"/>
          <w:lang w:val="en-US" w:eastAsia="zh-CN"/>
        </w:rPr>
        <w:tab/>
      </w:r>
      <w:r>
        <w:rPr>
          <w:rFonts w:hint="default"/>
          <w:lang w:val="en-US" w:eastAsia="zh-CN"/>
        </w:rPr>
        <w:t>月</w:t>
      </w:r>
      <w:r>
        <w:rPr>
          <w:rFonts w:hint="default"/>
          <w:lang w:val="en-US" w:eastAsia="zh-CN"/>
        </w:rPr>
        <w:tab/>
      </w:r>
      <w:r>
        <w:rPr>
          <w:rFonts w:hint="default"/>
          <w:lang w:val="en-US" w:eastAsia="zh-CN"/>
        </w:rPr>
        <w:t>日</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r>
        <w:rPr>
          <w:rFonts w:hint="default"/>
          <w:b/>
          <w:bCs/>
          <w:lang w:val="en-US" w:eastAsia="zh-CN"/>
        </w:rPr>
        <w:t>注：如果供应商不是残疾人福利性单位，此声明函可不附</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jc w:val="center"/>
        <w:rPr>
          <w:rFonts w:hint="default"/>
          <w:b/>
          <w:bCs/>
          <w:lang w:val="en-US" w:eastAsia="zh-CN"/>
        </w:rPr>
      </w:pPr>
      <w:bookmarkStart w:id="749" w:name="_Toc27220"/>
      <w:r>
        <w:rPr>
          <w:rFonts w:hint="default"/>
          <w:b/>
          <w:bCs/>
          <w:lang w:val="en-US" w:eastAsia="zh-CN"/>
        </w:rPr>
        <w:t>（五）监狱企业证明材料</w:t>
      </w:r>
      <w:bookmarkEnd w:id="749"/>
    </w:p>
    <w:p>
      <w:pPr>
        <w:rPr>
          <w:rFonts w:hint="default"/>
          <w:lang w:val="en-US" w:eastAsia="zh-CN"/>
        </w:rPr>
      </w:pPr>
      <w:r>
        <w:rPr>
          <w:rFonts w:hint="default"/>
          <w:lang w:val="en-US" w:eastAsia="zh-CN"/>
        </w:rPr>
        <w:t>监狱管理局、戒毒管理局（含新疆生产建设兵团）出具的属于监狱企业的证明文件。</w:t>
      </w:r>
    </w:p>
    <w:p>
      <w:pPr>
        <w:rPr>
          <w:rFonts w:hint="default"/>
          <w:lang w:val="en-US" w:eastAsia="zh-CN"/>
        </w:rPr>
      </w:pPr>
      <w:r>
        <w:rPr>
          <w:rFonts w:hint="default"/>
          <w:lang w:val="en-US" w:eastAsia="zh-CN"/>
        </w:rPr>
        <w:t>注：如果供应商不是监狱企业，则不需要提供监狱企业证明材料。</w:t>
      </w: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both"/>
        <w:rPr>
          <w:rFonts w:hint="default"/>
          <w:b/>
          <w:bCs/>
          <w:lang w:val="en-US" w:eastAsia="zh-CN"/>
        </w:rPr>
      </w:pPr>
    </w:p>
    <w:p>
      <w:pPr>
        <w:widowControl w:val="0"/>
        <w:numPr>
          <w:ilvl w:val="0"/>
          <w:numId w:val="0"/>
        </w:numPr>
        <w:spacing w:line="560" w:lineRule="exact"/>
        <w:jc w:val="center"/>
        <w:rPr>
          <w:rFonts w:hint="default"/>
          <w:b/>
          <w:bCs/>
          <w:lang w:val="en-US" w:eastAsia="zh-CN"/>
        </w:rPr>
      </w:pPr>
      <w:bookmarkStart w:id="750" w:name="_Toc18572"/>
      <w:r>
        <w:rPr>
          <w:rFonts w:hint="default"/>
          <w:b/>
          <w:bCs/>
          <w:lang w:val="en-US" w:eastAsia="zh-CN"/>
        </w:rPr>
        <w:t>（六）供应商认为应附的其他材料</w:t>
      </w:r>
      <w:bookmarkEnd w:id="750"/>
    </w:p>
    <w:p>
      <w:pPr>
        <w:widowControl w:val="0"/>
        <w:numPr>
          <w:ilvl w:val="0"/>
          <w:numId w:val="0"/>
        </w:numPr>
        <w:spacing w:line="560" w:lineRule="exact"/>
        <w:jc w:val="both"/>
        <w:rPr>
          <w:rFonts w:hint="default"/>
          <w:b/>
          <w:bCs/>
          <w:lang w:val="en-US" w:eastAsia="zh-CN"/>
        </w:rPr>
      </w:pPr>
    </w:p>
    <w:sectPr>
      <w:headerReference r:id="rId5" w:type="default"/>
      <w:footerReference r:id="rId6" w:type="default"/>
      <w:pgSz w:w="11906" w:h="16838"/>
      <w:pgMar w:top="1440" w:right="1083" w:bottom="1440" w:left="1083" w:header="851" w:footer="712" w:gutter="0"/>
      <w:pgNumType w:fmt="numberInDash" w:start="1"/>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乼_x0013_">
    <w:altName w:val="Bradley Hand ITC"/>
    <w:panose1 w:val="03307C4E130003000000"/>
    <w:charset w:val="63"/>
    <w:family w:val="auto"/>
    <w:pitch w:val="default"/>
    <w:sig w:usb0="00000000" w:usb1="00000000" w:usb2="30CF3775" w:usb3="BA2108BE" w:csb0="00134E00" w:csb1="30034163"/>
  </w:font>
  <w:font w:name="Bradley Hand ITC">
    <w:panose1 w:val="03070402050302030203"/>
    <w:charset w:val="00"/>
    <w:family w:val="auto"/>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
    <w:altName w:val="Segoe Print"/>
    <w:panose1 w:val="00000000000000000000"/>
    <w:charset w:val="00"/>
    <w:family w:val="auto"/>
    <w:pitch w:val="default"/>
    <w:sig w:usb0="00000000" w:usb1="00000000" w:usb2="00000000" w:usb3="00000000" w:csb0="0000009F" w:csb1="00000000"/>
  </w:font>
  <w:font w:name="Times New">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top w:val="thinThickSmallGap" w:color="622423" w:sz="24" w:space="1"/>
      </w:pBdr>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mq1bc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qtW3NAIAAGUEAAAOAAAAAAAAAAEAIAAAAB8BAABkcnMvZTJvRG9jLnhtbFBL&#10;BQYAAAAABgAGAFkBAADFBQAAAAA=&#10;">
              <v:fill on="f" focussize="0,0"/>
              <v:stroke on="f" weight="0.5pt"/>
              <v:imagedata o:title=""/>
              <o:lock v:ext="edit" aspectratio="f"/>
              <v:textbox inset="0mm,0mm,0mm,0mm" style="mso-fit-shape-to-text:t;">
                <w:txbxContent>
                  <w:p>
                    <w:pPr>
                      <w:pStyle w:val="17"/>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sz w:val="21"/>
        <w:szCs w:val="21"/>
      </w:rPr>
      <w:t xml:space="preserve"> </w:t>
    </w:r>
    <w:r>
      <w:rPr>
        <w:rFonts w:hint="eastAsia" w:ascii="仿宋_GB2312" w:hAnsi="仿宋_GB2312" w:cs="仿宋_GB2312"/>
        <w:sz w:val="21"/>
        <w:szCs w:val="21"/>
      </w:rPr>
      <w:t xml:space="preserve"> </w:t>
    </w:r>
    <w:r>
      <w:rPr>
        <w:rFonts w:hint="eastAsia" w:ascii="仿宋_GB2312" w:hAnsi="仿宋_GB2312" w:cs="仿宋_GB2312"/>
        <w:sz w:val="21"/>
        <w:szCs w:val="21"/>
        <w:lang w:val="en-US" w:eastAsia="zh-CN"/>
      </w:rPr>
      <w:t xml:space="preserve">   </w:t>
    </w:r>
    <w:r>
      <w:rPr>
        <w:rFonts w:hint="eastAsia" w:ascii="仿宋" w:hAnsi="仿宋" w:eastAsia="仿宋" w:cs="仿宋"/>
        <w:b/>
        <w:bCs/>
        <w:sz w:val="21"/>
        <w:szCs w:val="21"/>
        <w:lang w:val="en-US" w:eastAsia="zh-C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thickThinSmallGap" w:color="622423" w:sz="24" w:space="0"/>
      </w:pBdr>
    </w:pPr>
  </w:p>
  <w:p>
    <w:pPr>
      <w:pStyle w:val="19"/>
      <w:pBdr>
        <w:bottom w:val="thickThinSmallGap" w:color="622423" w:sz="24"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10977D"/>
    <w:multiLevelType w:val="singleLevel"/>
    <w:tmpl w:val="5710977D"/>
    <w:lvl w:ilvl="0" w:tentative="0">
      <w:start w:val="5"/>
      <w:numFmt w:val="chineseCounting"/>
      <w:suff w:val="nothing"/>
      <w:lvlText w:val="%1、"/>
      <w:lvlJc w:val="left"/>
      <w:rPr>
        <w:rFonts w:hint="eastAsia"/>
      </w:rPr>
    </w:lvl>
  </w:abstractNum>
  <w:abstractNum w:abstractNumId="1">
    <w:nsid w:val="5E5AEC04"/>
    <w:multiLevelType w:val="singleLevel"/>
    <w:tmpl w:val="5E5AEC0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jOWE0NzQ0MDYwZjg0NTU4YjA1MTYyZmQ5NGUyZDAifQ=="/>
    <w:docVar w:name="KSO_WPS_MARK_KEY" w:val="d9928da3-d79b-4918-a274-7c2093054e74"/>
  </w:docVars>
  <w:rsids>
    <w:rsidRoot w:val="00172A27"/>
    <w:rsid w:val="003E2E64"/>
    <w:rsid w:val="00D65C33"/>
    <w:rsid w:val="01982870"/>
    <w:rsid w:val="039565A1"/>
    <w:rsid w:val="03DE043C"/>
    <w:rsid w:val="043E40CC"/>
    <w:rsid w:val="07132CFC"/>
    <w:rsid w:val="07240A57"/>
    <w:rsid w:val="07FB3BBF"/>
    <w:rsid w:val="07FF1AFB"/>
    <w:rsid w:val="0965737D"/>
    <w:rsid w:val="09AB2433"/>
    <w:rsid w:val="0A8717FB"/>
    <w:rsid w:val="0AFA4CE5"/>
    <w:rsid w:val="0CF12A91"/>
    <w:rsid w:val="0CF278A0"/>
    <w:rsid w:val="0D350AC6"/>
    <w:rsid w:val="0E257D00"/>
    <w:rsid w:val="0F795E23"/>
    <w:rsid w:val="129501D5"/>
    <w:rsid w:val="12B70432"/>
    <w:rsid w:val="12D04598"/>
    <w:rsid w:val="1304144A"/>
    <w:rsid w:val="13267924"/>
    <w:rsid w:val="13B371CF"/>
    <w:rsid w:val="13C73CC8"/>
    <w:rsid w:val="140C03C2"/>
    <w:rsid w:val="14A52D34"/>
    <w:rsid w:val="16EB17B1"/>
    <w:rsid w:val="171978EC"/>
    <w:rsid w:val="178D502F"/>
    <w:rsid w:val="17BF31C6"/>
    <w:rsid w:val="187E2A2A"/>
    <w:rsid w:val="18DD63C6"/>
    <w:rsid w:val="19637DC0"/>
    <w:rsid w:val="19ED113F"/>
    <w:rsid w:val="1A1A0302"/>
    <w:rsid w:val="1ABC7DF9"/>
    <w:rsid w:val="1AFD6BC9"/>
    <w:rsid w:val="1BF51C3E"/>
    <w:rsid w:val="1C146B30"/>
    <w:rsid w:val="1D186889"/>
    <w:rsid w:val="1DAB3233"/>
    <w:rsid w:val="1F6B1A54"/>
    <w:rsid w:val="1FBC6C69"/>
    <w:rsid w:val="20C128EA"/>
    <w:rsid w:val="216C0456"/>
    <w:rsid w:val="21973705"/>
    <w:rsid w:val="21C255B0"/>
    <w:rsid w:val="221F48AE"/>
    <w:rsid w:val="235C6BC6"/>
    <w:rsid w:val="23852539"/>
    <w:rsid w:val="242A3165"/>
    <w:rsid w:val="24776EDB"/>
    <w:rsid w:val="2597629F"/>
    <w:rsid w:val="25A50114"/>
    <w:rsid w:val="25C3597E"/>
    <w:rsid w:val="26052D58"/>
    <w:rsid w:val="263C0D0B"/>
    <w:rsid w:val="26487C49"/>
    <w:rsid w:val="27C10304"/>
    <w:rsid w:val="2816750C"/>
    <w:rsid w:val="28A70564"/>
    <w:rsid w:val="28CF229B"/>
    <w:rsid w:val="28DD5A54"/>
    <w:rsid w:val="29843A57"/>
    <w:rsid w:val="29AB6FF6"/>
    <w:rsid w:val="2A655648"/>
    <w:rsid w:val="2B0247A1"/>
    <w:rsid w:val="2B7221EB"/>
    <w:rsid w:val="2C0A5CA7"/>
    <w:rsid w:val="2C7B67E3"/>
    <w:rsid w:val="2D416C40"/>
    <w:rsid w:val="2DD567C8"/>
    <w:rsid w:val="2E3407C0"/>
    <w:rsid w:val="2E917AD2"/>
    <w:rsid w:val="2EBF26CB"/>
    <w:rsid w:val="2F1D3BC8"/>
    <w:rsid w:val="319C4297"/>
    <w:rsid w:val="326C59B4"/>
    <w:rsid w:val="32AF0A48"/>
    <w:rsid w:val="32C645B8"/>
    <w:rsid w:val="33112489"/>
    <w:rsid w:val="335847CF"/>
    <w:rsid w:val="344D74FD"/>
    <w:rsid w:val="351526EF"/>
    <w:rsid w:val="35383D18"/>
    <w:rsid w:val="35E21C05"/>
    <w:rsid w:val="364D62BB"/>
    <w:rsid w:val="36F36659"/>
    <w:rsid w:val="36FD5C1C"/>
    <w:rsid w:val="37143AAA"/>
    <w:rsid w:val="374F7B36"/>
    <w:rsid w:val="37A03513"/>
    <w:rsid w:val="3801136B"/>
    <w:rsid w:val="38F50777"/>
    <w:rsid w:val="398F1783"/>
    <w:rsid w:val="3A0867E3"/>
    <w:rsid w:val="3BB826A6"/>
    <w:rsid w:val="3C1A2504"/>
    <w:rsid w:val="3D643CC4"/>
    <w:rsid w:val="40595F16"/>
    <w:rsid w:val="413D6734"/>
    <w:rsid w:val="415510FC"/>
    <w:rsid w:val="418B49C8"/>
    <w:rsid w:val="44555E83"/>
    <w:rsid w:val="44F64446"/>
    <w:rsid w:val="4507584A"/>
    <w:rsid w:val="4685459F"/>
    <w:rsid w:val="46F545E0"/>
    <w:rsid w:val="478A495E"/>
    <w:rsid w:val="47903F7E"/>
    <w:rsid w:val="47F761E4"/>
    <w:rsid w:val="48183F97"/>
    <w:rsid w:val="493E516B"/>
    <w:rsid w:val="49F84F28"/>
    <w:rsid w:val="4A0A6DCC"/>
    <w:rsid w:val="4B3C7375"/>
    <w:rsid w:val="4BF13B6B"/>
    <w:rsid w:val="4BF718FC"/>
    <w:rsid w:val="4C797FEE"/>
    <w:rsid w:val="4E103994"/>
    <w:rsid w:val="4E9C3ECE"/>
    <w:rsid w:val="4F411ACC"/>
    <w:rsid w:val="4F556A5E"/>
    <w:rsid w:val="4F6A5736"/>
    <w:rsid w:val="4F932CFB"/>
    <w:rsid w:val="4FD5626C"/>
    <w:rsid w:val="4FFBC5A3"/>
    <w:rsid w:val="50504BB7"/>
    <w:rsid w:val="51FA3253"/>
    <w:rsid w:val="522E72B9"/>
    <w:rsid w:val="523A7C7A"/>
    <w:rsid w:val="525963B4"/>
    <w:rsid w:val="52AF119A"/>
    <w:rsid w:val="52B3173E"/>
    <w:rsid w:val="53CB2ED2"/>
    <w:rsid w:val="5420599F"/>
    <w:rsid w:val="543C4D16"/>
    <w:rsid w:val="543D1608"/>
    <w:rsid w:val="54B15F23"/>
    <w:rsid w:val="54F9334A"/>
    <w:rsid w:val="550D6DFF"/>
    <w:rsid w:val="552F35F9"/>
    <w:rsid w:val="55D94E30"/>
    <w:rsid w:val="56230583"/>
    <w:rsid w:val="567621BE"/>
    <w:rsid w:val="56B11DC1"/>
    <w:rsid w:val="56F2194B"/>
    <w:rsid w:val="578712D0"/>
    <w:rsid w:val="57D0130D"/>
    <w:rsid w:val="58194773"/>
    <w:rsid w:val="582331AF"/>
    <w:rsid w:val="58F3683E"/>
    <w:rsid w:val="5A13112F"/>
    <w:rsid w:val="5A211244"/>
    <w:rsid w:val="5AB06A2F"/>
    <w:rsid w:val="5BA46CDF"/>
    <w:rsid w:val="5C2435D8"/>
    <w:rsid w:val="5C6D4FC1"/>
    <w:rsid w:val="5C7A3821"/>
    <w:rsid w:val="5CE10C51"/>
    <w:rsid w:val="5E762E2A"/>
    <w:rsid w:val="60AB1FDD"/>
    <w:rsid w:val="60B54EA9"/>
    <w:rsid w:val="60E50D16"/>
    <w:rsid w:val="617B7F01"/>
    <w:rsid w:val="63A638D3"/>
    <w:rsid w:val="63B7262B"/>
    <w:rsid w:val="63E73A77"/>
    <w:rsid w:val="640E415D"/>
    <w:rsid w:val="64780BD4"/>
    <w:rsid w:val="650B5D12"/>
    <w:rsid w:val="65204AF2"/>
    <w:rsid w:val="66E50E34"/>
    <w:rsid w:val="676B2854"/>
    <w:rsid w:val="67C2302C"/>
    <w:rsid w:val="67D63B2E"/>
    <w:rsid w:val="68160648"/>
    <w:rsid w:val="681F500E"/>
    <w:rsid w:val="69110F2F"/>
    <w:rsid w:val="69A43B52"/>
    <w:rsid w:val="69F16A93"/>
    <w:rsid w:val="6C46775B"/>
    <w:rsid w:val="6D4E3543"/>
    <w:rsid w:val="6E6F3061"/>
    <w:rsid w:val="6E7312A1"/>
    <w:rsid w:val="6F3A0E20"/>
    <w:rsid w:val="6FF13869"/>
    <w:rsid w:val="70E7719A"/>
    <w:rsid w:val="711A6BDE"/>
    <w:rsid w:val="71DD028C"/>
    <w:rsid w:val="728F3640"/>
    <w:rsid w:val="72CA2583"/>
    <w:rsid w:val="72FA4707"/>
    <w:rsid w:val="731D6723"/>
    <w:rsid w:val="73563A1F"/>
    <w:rsid w:val="73EB1F56"/>
    <w:rsid w:val="740C2F29"/>
    <w:rsid w:val="746F5B12"/>
    <w:rsid w:val="74B72B0D"/>
    <w:rsid w:val="74EE04CB"/>
    <w:rsid w:val="75365188"/>
    <w:rsid w:val="75E87AEF"/>
    <w:rsid w:val="76870F7E"/>
    <w:rsid w:val="773E0BB7"/>
    <w:rsid w:val="78413DEE"/>
    <w:rsid w:val="785D7924"/>
    <w:rsid w:val="79EB37F5"/>
    <w:rsid w:val="7B081FCA"/>
    <w:rsid w:val="7B2821D1"/>
    <w:rsid w:val="7BD46D75"/>
    <w:rsid w:val="7CBA4DE8"/>
    <w:rsid w:val="7CED53B8"/>
    <w:rsid w:val="7D354E69"/>
    <w:rsid w:val="7D4C36A0"/>
    <w:rsid w:val="7D6C530A"/>
    <w:rsid w:val="7E0D54E3"/>
    <w:rsid w:val="7E381157"/>
    <w:rsid w:val="7E83542A"/>
    <w:rsid w:val="7FB527FA"/>
    <w:rsid w:val="7FC34EAE"/>
    <w:rsid w:val="7FCE127C"/>
    <w:rsid w:val="7FDB64C9"/>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仿宋" w:hAnsi="仿宋" w:eastAsia="仿宋" w:cs="仿宋"/>
      <w:kern w:val="2"/>
      <w:sz w:val="28"/>
      <w:szCs w:val="28"/>
      <w:lang w:val="en-US" w:eastAsia="zh-CN"/>
    </w:rPr>
  </w:style>
  <w:style w:type="paragraph" w:styleId="4">
    <w:name w:val="heading 1"/>
    <w:basedOn w:val="1"/>
    <w:next w:val="1"/>
    <w:link w:val="61"/>
    <w:qFormat/>
    <w:uiPriority w:val="0"/>
    <w:pPr>
      <w:keepNext/>
      <w:keepLines/>
      <w:spacing w:beforeLines="0" w:beforeAutospacing="0" w:afterLines="0" w:afterAutospacing="0" w:line="560" w:lineRule="exact"/>
      <w:jc w:val="center"/>
      <w:outlineLvl w:val="0"/>
    </w:pPr>
    <w:rPr>
      <w:b/>
      <w:i/>
      <w:kern w:val="44"/>
      <w:sz w:val="52"/>
    </w:rPr>
  </w:style>
  <w:style w:type="paragraph" w:styleId="5">
    <w:name w:val="heading 2"/>
    <w:basedOn w:val="1"/>
    <w:next w:val="1"/>
    <w:link w:val="95"/>
    <w:unhideWhenUsed/>
    <w:qFormat/>
    <w:uiPriority w:val="0"/>
    <w:pPr>
      <w:keepNext/>
      <w:keepLines/>
      <w:spacing w:beforeLines="0" w:beforeAutospacing="0" w:afterLines="0" w:afterAutospacing="0" w:line="560" w:lineRule="exact"/>
      <w:jc w:val="center"/>
      <w:outlineLvl w:val="1"/>
    </w:pPr>
    <w:rPr>
      <w:b/>
      <w:sz w:val="32"/>
    </w:rPr>
  </w:style>
  <w:style w:type="paragraph" w:styleId="6">
    <w:name w:val="heading 3"/>
    <w:basedOn w:val="1"/>
    <w:next w:val="1"/>
    <w:link w:val="58"/>
    <w:unhideWhenUsed/>
    <w:qFormat/>
    <w:uiPriority w:val="0"/>
    <w:pPr>
      <w:keepNext/>
      <w:keepLines/>
      <w:spacing w:before="0" w:beforeLines="0" w:beforeAutospacing="0" w:after="0" w:afterLines="0" w:afterAutospacing="0" w:line="560" w:lineRule="exact"/>
      <w:jc w:val="center"/>
      <w:outlineLvl w:val="2"/>
    </w:pPr>
    <w:rPr>
      <w:rFonts w:ascii="仿宋" w:hAnsi="仿宋"/>
      <w:b/>
    </w:rPr>
  </w:style>
  <w:style w:type="paragraph" w:styleId="7">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5"/>
    <w:basedOn w:val="1"/>
    <w:next w:val="1"/>
    <w:qFormat/>
    <w:uiPriority w:val="1"/>
    <w:pPr>
      <w:ind w:left="159"/>
      <w:outlineLvl w:val="5"/>
    </w:pPr>
    <w:rPr>
      <w:rFonts w:ascii="宋体" w:hAnsi="宋体" w:eastAsia="宋体" w:cs="宋体"/>
      <w:b/>
      <w:bCs/>
      <w:sz w:val="21"/>
      <w:szCs w:val="21"/>
      <w:lang w:val="zh-CN" w:eastAsia="zh-CN" w:bidi="zh-CN"/>
    </w:rPr>
  </w:style>
  <w:style w:type="paragraph" w:styleId="9">
    <w:name w:val="heading 6"/>
    <w:basedOn w:val="1"/>
    <w:next w:val="1"/>
    <w:qFormat/>
    <w:uiPriority w:val="1"/>
    <w:pPr>
      <w:spacing w:before="126"/>
      <w:ind w:left="902" w:hanging="413"/>
      <w:outlineLvl w:val="6"/>
    </w:pPr>
    <w:rPr>
      <w:rFonts w:ascii="宋体" w:hAnsi="宋体" w:eastAsia="宋体" w:cs="宋体"/>
      <w:b/>
      <w:bCs/>
      <w:sz w:val="20"/>
      <w:szCs w:val="20"/>
      <w:lang w:val="zh-CN" w:eastAsia="zh-CN" w:bidi="zh-CN"/>
    </w:rPr>
  </w:style>
  <w:style w:type="character" w:default="1" w:styleId="31">
    <w:name w:val="Default Paragraph Font"/>
    <w:link w:val="32"/>
    <w:semiHidden/>
    <w:qFormat/>
    <w:uiPriority w:val="0"/>
    <w:rPr>
      <w:rFonts w:ascii="Times New Roman" w:hAnsi="Times New Roman" w:eastAsia="宋体" w:cs="Times New Roman"/>
      <w:kern w:val="2"/>
      <w:sz w:val="21"/>
      <w:szCs w:val="20"/>
      <w:lang w:val="en-US" w:eastAsia="zh-CN" w:bidi="ar-SA"/>
    </w:rPr>
  </w:style>
  <w:style w:type="table" w:default="1" w:styleId="2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customStyle="1" w:styleId="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0">
    <w:name w:val="table of authorities"/>
    <w:basedOn w:val="1"/>
    <w:next w:val="1"/>
    <w:qFormat/>
    <w:uiPriority w:val="0"/>
    <w:pPr>
      <w:ind w:left="420" w:leftChars="200"/>
    </w:pPr>
  </w:style>
  <w:style w:type="paragraph" w:styleId="11">
    <w:name w:val="Normal Indent"/>
    <w:basedOn w:val="1"/>
    <w:qFormat/>
    <w:uiPriority w:val="0"/>
    <w:pPr>
      <w:ind w:firstLine="420" w:firstLineChars="200"/>
    </w:pPr>
  </w:style>
  <w:style w:type="paragraph" w:styleId="12">
    <w:name w:val="caption"/>
    <w:basedOn w:val="1"/>
    <w:next w:val="1"/>
    <w:qFormat/>
    <w:uiPriority w:val="0"/>
    <w:rPr>
      <w:rFonts w:ascii="Arial" w:hAnsi="Arial" w:eastAsia="黑体" w:cs="Arial"/>
      <w:sz w:val="20"/>
    </w:rPr>
  </w:style>
  <w:style w:type="paragraph" w:styleId="13">
    <w:name w:val="Body Text Indent"/>
    <w:basedOn w:val="1"/>
    <w:qFormat/>
    <w:uiPriority w:val="0"/>
    <w:pPr>
      <w:ind w:firstLine="630"/>
    </w:pPr>
    <w:rPr>
      <w:rFonts w:ascii="宋体" w:hAnsi="宋体" w:eastAsia="宋体"/>
      <w:kern w:val="2"/>
      <w:sz w:val="32"/>
      <w:szCs w:val="24"/>
      <w:lang w:val="en-US" w:eastAsia="zh-CN" w:bidi="ar-SA"/>
    </w:rPr>
  </w:style>
  <w:style w:type="paragraph" w:styleId="14">
    <w:name w:val="toc 3"/>
    <w:basedOn w:val="1"/>
    <w:next w:val="1"/>
    <w:qFormat/>
    <w:uiPriority w:val="0"/>
    <w:pPr>
      <w:ind w:left="840" w:leftChars="400"/>
    </w:pPr>
  </w:style>
  <w:style w:type="paragraph" w:styleId="15">
    <w:name w:val="Plain Text"/>
    <w:basedOn w:val="1"/>
    <w:qFormat/>
    <w:uiPriority w:val="0"/>
    <w:rPr>
      <w:rFonts w:ascii="宋体" w:hAnsi="Courier New"/>
    </w:rPr>
  </w:style>
  <w:style w:type="paragraph" w:styleId="16">
    <w:name w:val="Body Text Indent 2"/>
    <w:basedOn w:val="1"/>
    <w:qFormat/>
    <w:uiPriority w:val="0"/>
    <w:pPr>
      <w:spacing w:after="120" w:line="480" w:lineRule="auto"/>
      <w:ind w:left="420" w:leftChars="200"/>
    </w:pPr>
  </w:style>
  <w:style w:type="paragraph" w:styleId="17">
    <w:name w:val="footer"/>
    <w:basedOn w:val="1"/>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cs="Arial"/>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0">
    <w:name w:val="toc 1"/>
    <w:basedOn w:val="1"/>
    <w:next w:val="1"/>
    <w:qFormat/>
    <w:uiPriority w:val="0"/>
  </w:style>
  <w:style w:type="paragraph" w:styleId="21">
    <w:name w:val="Body Text Indent 3"/>
    <w:basedOn w:val="1"/>
    <w:qFormat/>
    <w:uiPriority w:val="0"/>
    <w:pPr>
      <w:ind w:firstLine="420" w:firstLineChars="200"/>
    </w:pPr>
    <w:rPr>
      <w:rFonts w:ascii="乼_x0013_" w:hAnsi="乼_x0013_"/>
    </w:rPr>
  </w:style>
  <w:style w:type="paragraph" w:styleId="22">
    <w:name w:val="toc 2"/>
    <w:basedOn w:val="1"/>
    <w:next w:val="1"/>
    <w:qFormat/>
    <w:uiPriority w:val="0"/>
    <w:pPr>
      <w:ind w:left="420" w:leftChars="200"/>
    </w:pPr>
  </w:style>
  <w:style w:type="paragraph" w:styleId="23">
    <w:name w:val="Body Text 2"/>
    <w:basedOn w:val="1"/>
    <w:next w:val="2"/>
    <w:qFormat/>
    <w:uiPriority w:val="0"/>
    <w:rPr>
      <w:sz w:val="18"/>
    </w:rPr>
  </w:style>
  <w:style w:type="paragraph" w:styleId="24">
    <w:name w:val="Message Header"/>
    <w:next w:val="1"/>
    <w:qFormat/>
    <w:uiPriority w:val="0"/>
    <w:pPr>
      <w:widowControl w:val="0"/>
      <w:pBdr>
        <w:top w:val="none" w:color="auto" w:sz="0" w:space="1"/>
        <w:left w:val="none" w:color="auto" w:sz="0" w:space="1"/>
        <w:bottom w:val="none" w:color="auto" w:sz="0" w:space="1"/>
        <w:right w:val="none" w:color="auto" w:sz="0" w:space="1"/>
      </w:pBdr>
      <w:ind w:left="1080" w:leftChars="500" w:hanging="1080" w:hangingChars="500"/>
      <w:jc w:val="left"/>
    </w:pPr>
    <w:rPr>
      <w:rFonts w:ascii="Arial" w:hAnsi="Arial" w:eastAsia="仿宋" w:cstheme="minorBidi"/>
      <w:kern w:val="2"/>
      <w:sz w:val="24"/>
      <w:szCs w:val="24"/>
      <w:lang w:val="en-US" w:eastAsia="zh-CN" w:bidi="ar-SA"/>
    </w:rPr>
  </w:style>
  <w:style w:type="paragraph" w:styleId="25">
    <w:name w:val="Normal (Web)"/>
    <w:basedOn w:val="1"/>
    <w:qFormat/>
    <w:uiPriority w:val="0"/>
    <w:pPr>
      <w:widowControl/>
      <w:spacing w:before="100" w:beforeLines="0" w:beforeAutospacing="1" w:after="100" w:afterLines="0" w:afterAutospacing="1" w:line="240" w:lineRule="auto"/>
      <w:jc w:val="left"/>
    </w:pPr>
    <w:rPr>
      <w:rFonts w:ascii="宋体" w:hAnsi="宋体" w:eastAsia="宋体" w:cs="宋体"/>
      <w:kern w:val="0"/>
    </w:rPr>
  </w:style>
  <w:style w:type="paragraph" w:styleId="26">
    <w:name w:val="Title"/>
    <w:basedOn w:val="1"/>
    <w:qFormat/>
    <w:uiPriority w:val="1"/>
    <w:pPr>
      <w:spacing w:before="1"/>
      <w:ind w:left="745" w:right="745"/>
      <w:jc w:val="center"/>
    </w:pPr>
    <w:rPr>
      <w:b/>
      <w:bCs/>
      <w:sz w:val="96"/>
      <w:szCs w:val="96"/>
    </w:rPr>
  </w:style>
  <w:style w:type="paragraph" w:styleId="27">
    <w:name w:val="Body Text First Indent"/>
    <w:basedOn w:val="2"/>
    <w:next w:val="28"/>
    <w:qFormat/>
    <w:uiPriority w:val="0"/>
    <w:pPr>
      <w:ind w:firstLine="420" w:firstLineChars="100"/>
    </w:pPr>
  </w:style>
  <w:style w:type="paragraph" w:styleId="28">
    <w:name w:val="Body Text First Indent 2"/>
    <w:basedOn w:val="13"/>
    <w:qFormat/>
    <w:uiPriority w:val="0"/>
    <w:pPr>
      <w:tabs>
        <w:tab w:val="left" w:pos="1260"/>
      </w:tabs>
      <w:ind w:firstLine="42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
    <w:name w:val=" Char Char Char Char Char Char Char Char Char Char"/>
    <w:basedOn w:val="1"/>
    <w:link w:val="31"/>
    <w:qFormat/>
    <w:uiPriority w:val="0"/>
    <w:pPr>
      <w:adjustRightInd w:val="0"/>
      <w:spacing w:line="360" w:lineRule="auto"/>
    </w:pPr>
  </w:style>
  <w:style w:type="character" w:styleId="33">
    <w:name w:val="page number"/>
    <w:qFormat/>
    <w:uiPriority w:val="0"/>
    <w:rPr>
      <w:color w:val="auto"/>
      <w:kern w:val="2"/>
      <w:u w:val="none" w:color="auto"/>
    </w:rPr>
  </w:style>
  <w:style w:type="character" w:styleId="34">
    <w:name w:val="Hyperlink"/>
    <w:basedOn w:val="31"/>
    <w:qFormat/>
    <w:uiPriority w:val="0"/>
    <w:rPr>
      <w:color w:val="0000FF"/>
      <w:u w:val="single"/>
    </w:rPr>
  </w:style>
  <w:style w:type="paragraph" w:customStyle="1" w:styleId="35">
    <w:name w:val="Char Char Char Char Char Char1 Char"/>
    <w:link w:val="31"/>
    <w:qFormat/>
    <w:uiPriority w:val="0"/>
    <w:pPr>
      <w:widowControl/>
      <w:spacing w:after="160" w:afterLines="0" w:line="240" w:lineRule="exact"/>
      <w:jc w:val="left"/>
    </w:pPr>
    <w:rPr>
      <w:rFonts w:ascii="Times New Roman" w:hAnsi="Times New Roman" w:eastAsia="宋体" w:cs="Times New Roman"/>
      <w:kern w:val="2"/>
      <w:sz w:val="21"/>
      <w:szCs w:val="20"/>
      <w:lang w:val="en-US" w:eastAsia="zh-CN" w:bidi="ar-SA"/>
    </w:rPr>
  </w:style>
  <w:style w:type="paragraph" w:customStyle="1" w:styleId="36">
    <w:name w:val="无间隔1"/>
    <w:basedOn w:val="37"/>
    <w:qFormat/>
    <w:uiPriority w:val="99"/>
    <w:pPr>
      <w:spacing w:line="400" w:lineRule="exact"/>
    </w:pPr>
    <w:rPr>
      <w:sz w:val="24"/>
    </w:rPr>
  </w:style>
  <w:style w:type="paragraph" w:customStyle="1" w:styleId="37">
    <w:name w:val="正文_1"/>
    <w:next w:val="1"/>
    <w:qFormat/>
    <w:uiPriority w:val="0"/>
    <w:pPr>
      <w:widowControl w:val="0"/>
      <w:jc w:val="both"/>
    </w:pPr>
    <w:rPr>
      <w:rFonts w:ascii="Calibri" w:hAnsi="Calibri" w:eastAsia="宋体" w:cs="Times New Roman"/>
      <w:kern w:val="2"/>
      <w:sz w:val="21"/>
      <w:szCs w:val="24"/>
      <w:lang w:val="en-US" w:eastAsia="zh-CN" w:bidi="ar-SA"/>
    </w:rPr>
  </w:style>
  <w:style w:type="character" w:customStyle="1" w:styleId="38">
    <w:name w:val="标题 3 Char"/>
    <w:basedOn w:val="31"/>
    <w:link w:val="6"/>
    <w:qFormat/>
    <w:uiPriority w:val="0"/>
    <w:rPr>
      <w:rFonts w:ascii="Calibri" w:hAnsi="Calibri" w:eastAsia="仿宋" w:cs="Times New Roman"/>
      <w:b/>
      <w:sz w:val="28"/>
      <w:szCs w:val="24"/>
    </w:rPr>
  </w:style>
  <w:style w:type="paragraph" w:customStyle="1" w:styleId="39">
    <w:name w:val="No Spacing"/>
    <w:basedOn w:val="1"/>
    <w:qFormat/>
    <w:uiPriority w:val="1"/>
    <w:pPr>
      <w:spacing w:after="0" w:line="400" w:lineRule="exact"/>
    </w:pPr>
    <w:rPr>
      <w:rFonts w:eastAsia="宋体"/>
      <w:sz w:val="24"/>
    </w:rPr>
  </w:style>
  <w:style w:type="paragraph" w:customStyle="1" w:styleId="40">
    <w:name w:val="表格文字"/>
    <w:basedOn w:val="1"/>
    <w:next w:val="2"/>
    <w:qFormat/>
    <w:uiPriority w:val="0"/>
    <w:pPr>
      <w:adjustRightInd w:val="0"/>
      <w:spacing w:line="420" w:lineRule="atLeast"/>
      <w:jc w:val="left"/>
      <w:textAlignment w:val="baseline"/>
    </w:pPr>
    <w:rPr>
      <w:kern w:val="0"/>
    </w:rPr>
  </w:style>
  <w:style w:type="paragraph" w:customStyle="1" w:styleId="41">
    <w:name w:val="p0"/>
    <w:basedOn w:val="1"/>
    <w:qFormat/>
    <w:uiPriority w:val="0"/>
    <w:pPr>
      <w:widowControl/>
      <w:spacing w:line="360" w:lineRule="auto"/>
      <w:jc w:val="left"/>
    </w:pPr>
    <w:rPr>
      <w:rFonts w:ascii="楷体_GB2312" w:hAnsi="宋体" w:eastAsia="楷体_GB2312" w:cs="宋体"/>
      <w:kern w:val="0"/>
      <w:sz w:val="28"/>
      <w:szCs w:val="28"/>
    </w:rPr>
  </w:style>
  <w:style w:type="paragraph" w:customStyle="1" w:styleId="42">
    <w:name w:val="xl31"/>
    <w:basedOn w:val="1"/>
    <w:qFormat/>
    <w:uiPriority w:val="0"/>
    <w:pPr>
      <w:widowControl/>
      <w:pBdr>
        <w:bottom w:val="single" w:color="auto" w:sz="4" w:space="0"/>
        <w:right w:val="single" w:color="auto" w:sz="4" w:space="0"/>
      </w:pBdr>
      <w:spacing w:before="100" w:beforeLines="0" w:beforeAutospacing="1" w:after="100" w:afterLines="0" w:afterAutospacing="1"/>
      <w:jc w:val="center"/>
      <w:textAlignment w:val="center"/>
    </w:pPr>
    <w:rPr>
      <w:rFonts w:ascii="宋体" w:hAnsi="宋体" w:eastAsia="宋体" w:cs="Times New Roman"/>
      <w:kern w:val="0"/>
      <w:sz w:val="24"/>
      <w:szCs w:val="24"/>
    </w:rPr>
  </w:style>
  <w:style w:type="paragraph" w:customStyle="1" w:styleId="43">
    <w:name w:val="正文文本 31"/>
    <w:basedOn w:val="1"/>
    <w:qFormat/>
    <w:uiPriority w:val="0"/>
    <w:pPr>
      <w:spacing w:after="120" w:afterLines="0"/>
    </w:pPr>
    <w:rPr>
      <w:rFonts w:ascii="Calibri" w:hAnsi="Calibri" w:eastAsia="宋体" w:cs="Times New Roman"/>
      <w:sz w:val="16"/>
      <w:szCs w:val="16"/>
    </w:rPr>
  </w:style>
  <w:style w:type="paragraph" w:customStyle="1" w:styleId="44">
    <w:name w:val="日期1"/>
    <w:basedOn w:val="1"/>
    <w:next w:val="1"/>
    <w:qFormat/>
    <w:uiPriority w:val="0"/>
    <w:pPr>
      <w:ind w:left="100" w:leftChars="2500"/>
    </w:pPr>
    <w:rPr>
      <w:rFonts w:ascii="Calibri" w:hAnsi="Calibri" w:eastAsia="宋体" w:cs="Times New Roman"/>
    </w:rPr>
  </w:style>
  <w:style w:type="paragraph" w:customStyle="1" w:styleId="45">
    <w:name w:val="标题3-1"/>
    <w:basedOn w:val="6"/>
    <w:qFormat/>
    <w:uiPriority w:val="0"/>
    <w:pPr>
      <w:tabs>
        <w:tab w:val="left" w:pos="425"/>
      </w:tabs>
      <w:ind w:left="425" w:hanging="425"/>
    </w:pPr>
    <w:rPr>
      <w:sz w:val="24"/>
    </w:rPr>
  </w:style>
  <w:style w:type="paragraph" w:customStyle="1" w:styleId="46">
    <w:name w:val="Table Paragraph"/>
    <w:basedOn w:val="1"/>
    <w:qFormat/>
    <w:uiPriority w:val="1"/>
    <w:rPr>
      <w:rFonts w:ascii="宋体" w:hAnsi="宋体" w:eastAsia="宋体" w:cs="宋体"/>
      <w:lang w:val="zh-CN" w:eastAsia="zh-CN" w:bidi="zh-CN"/>
    </w:rPr>
  </w:style>
  <w:style w:type="paragraph" w:customStyle="1" w:styleId="47">
    <w:name w:val="正文文本缩进 31"/>
    <w:basedOn w:val="1"/>
    <w:qFormat/>
    <w:uiPriority w:val="0"/>
    <w:pPr>
      <w:spacing w:after="120" w:afterLines="0"/>
      <w:ind w:left="420" w:leftChars="200"/>
    </w:pPr>
    <w:rPr>
      <w:rFonts w:ascii="Calibri" w:hAnsi="Calibri" w:eastAsia="宋体" w:cs="Times New Roman"/>
      <w:sz w:val="16"/>
      <w:szCs w:val="16"/>
    </w:rPr>
  </w:style>
  <w:style w:type="paragraph" w:customStyle="1" w:styleId="48">
    <w:name w:val="列出段落3"/>
    <w:basedOn w:val="1"/>
    <w:qFormat/>
    <w:uiPriority w:val="0"/>
    <w:pPr>
      <w:ind w:firstLine="420" w:firstLineChars="200"/>
    </w:pPr>
    <w:rPr>
      <w:rFonts w:ascii="Calibri" w:hAnsi="Calibri" w:eastAsia="宋体"/>
    </w:rPr>
  </w:style>
  <w:style w:type="paragraph" w:customStyle="1" w:styleId="49">
    <w:name w:val="0"/>
    <w:basedOn w:val="1"/>
    <w:qFormat/>
    <w:uiPriority w:val="0"/>
    <w:pPr>
      <w:widowControl/>
      <w:spacing w:line="240" w:lineRule="auto"/>
    </w:pPr>
    <w:rPr>
      <w:rFonts w:eastAsia="宋体"/>
      <w:kern w:val="0"/>
      <w:sz w:val="21"/>
      <w:szCs w:val="20"/>
    </w:rPr>
  </w:style>
  <w:style w:type="paragraph" w:customStyle="1" w:styleId="50">
    <w:name w:val="正文文本缩进 21"/>
    <w:basedOn w:val="1"/>
    <w:qFormat/>
    <w:uiPriority w:val="0"/>
    <w:pPr>
      <w:spacing w:after="120" w:afterLines="0" w:line="480" w:lineRule="auto"/>
      <w:ind w:left="420" w:leftChars="200"/>
    </w:pPr>
    <w:rPr>
      <w:rFonts w:ascii="Calibri" w:hAnsi="Calibri" w:eastAsia="宋体" w:cs="Times New Roman"/>
    </w:rPr>
  </w:style>
  <w:style w:type="paragraph" w:customStyle="1" w:styleId="51">
    <w:name w:val="样式 标题4 + 四号 首行缩进:  1 字符"/>
    <w:basedOn w:val="52"/>
    <w:qFormat/>
    <w:uiPriority w:val="0"/>
    <w:pPr>
      <w:ind w:firstLine="280"/>
    </w:pPr>
    <w:rPr>
      <w:rFonts w:ascii="Symbol" w:hAnsi="Symbol" w:cs="Symbol"/>
      <w:bCs/>
      <w:szCs w:val="20"/>
    </w:rPr>
  </w:style>
  <w:style w:type="paragraph" w:customStyle="1" w:styleId="52">
    <w:name w:val="标题4"/>
    <w:basedOn w:val="1"/>
    <w:next w:val="1"/>
    <w:qFormat/>
    <w:uiPriority w:val="0"/>
    <w:pPr>
      <w:ind w:firstLine="100" w:firstLineChars="100"/>
      <w:outlineLvl w:val="3"/>
    </w:pPr>
    <w:rPr>
      <w:rFonts w:ascii="宋体" w:hAnsi="宋体"/>
      <w:b/>
      <w:sz w:val="30"/>
      <w:szCs w:val="30"/>
    </w:rPr>
  </w:style>
  <w:style w:type="paragraph" w:customStyle="1" w:styleId="53">
    <w:name w:val="Body Text 3"/>
    <w:basedOn w:val="1"/>
    <w:qFormat/>
    <w:uiPriority w:val="0"/>
    <w:pPr>
      <w:spacing w:after="120" w:afterLines="0"/>
    </w:pPr>
    <w:rPr>
      <w:rFonts w:ascii="Calibri" w:hAnsi="Calibri" w:eastAsia="宋体" w:cs="Times New Roman"/>
      <w:sz w:val="16"/>
      <w:szCs w:val="16"/>
    </w:rPr>
  </w:style>
  <w:style w:type="paragraph" w:customStyle="1" w:styleId="54">
    <w:name w:val="Date"/>
    <w:basedOn w:val="1"/>
    <w:next w:val="1"/>
    <w:qFormat/>
    <w:uiPriority w:val="0"/>
    <w:pPr>
      <w:widowControl/>
      <w:jc w:val="center"/>
    </w:pPr>
    <w:rPr>
      <w:rFonts w:ascii="宋体" w:hAnsi="宋体" w:eastAsia="宋体" w:cs="Times New Roman"/>
      <w:sz w:val="28"/>
      <w:szCs w:val="20"/>
    </w:rPr>
  </w:style>
  <w:style w:type="paragraph" w:customStyle="1" w:styleId="55">
    <w:name w:val="列出段落2"/>
    <w:basedOn w:val="1"/>
    <w:qFormat/>
    <w:uiPriority w:val="0"/>
    <w:pPr>
      <w:ind w:firstLine="420" w:firstLineChars="200"/>
    </w:pPr>
    <w:rPr>
      <w:rFonts w:ascii="Calibri" w:hAnsi="Calibri" w:eastAsia="宋体" w:cs="黑体"/>
    </w:rPr>
  </w:style>
  <w:style w:type="paragraph" w:customStyle="1" w:styleId="56">
    <w:name w:val="证文"/>
    <w:basedOn w:val="1"/>
    <w:qFormat/>
    <w:uiPriority w:val="0"/>
    <w:rPr>
      <w:rFonts w:ascii="Times New Roman" w:hAnsi="Times New Roman" w:cs="Times New Roman"/>
      <w:szCs w:val="20"/>
    </w:rPr>
  </w:style>
  <w:style w:type="paragraph" w:customStyle="1" w:styleId="57">
    <w:name w:val="_Style 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58">
    <w:name w:val="标题 3 Char1"/>
    <w:link w:val="6"/>
    <w:qFormat/>
    <w:uiPriority w:val="0"/>
    <w:rPr>
      <w:rFonts w:ascii="仿宋" w:hAnsi="仿宋"/>
      <w:b/>
    </w:rPr>
  </w:style>
  <w:style w:type="paragraph" w:customStyle="1" w:styleId="59">
    <w:name w:val="无间隔2"/>
    <w:basedOn w:val="1"/>
    <w:qFormat/>
    <w:uiPriority w:val="1"/>
    <w:pPr>
      <w:spacing w:line="400" w:lineRule="exact"/>
    </w:pPr>
    <w:rPr>
      <w:rFonts w:eastAsia="宋体"/>
      <w:sz w:val="24"/>
    </w:rPr>
  </w:style>
  <w:style w:type="character" w:customStyle="1" w:styleId="60">
    <w:name w:val="标题 2 Char1"/>
    <w:link w:val="5"/>
    <w:qFormat/>
    <w:uiPriority w:val="0"/>
    <w:rPr>
      <w:rFonts w:ascii="仿宋" w:hAnsi="仿宋" w:eastAsia="仿宋"/>
      <w:b/>
      <w:sz w:val="32"/>
    </w:rPr>
  </w:style>
  <w:style w:type="character" w:customStyle="1" w:styleId="61">
    <w:name w:val="标题 1 Char1"/>
    <w:link w:val="4"/>
    <w:qFormat/>
    <w:uiPriority w:val="0"/>
    <w:rPr>
      <w:rFonts w:ascii="仿宋" w:hAnsi="仿宋" w:eastAsia="仿宋"/>
      <w:b/>
      <w:i/>
      <w:kern w:val="44"/>
      <w:sz w:val="52"/>
    </w:rPr>
  </w:style>
  <w:style w:type="paragraph" w:customStyle="1" w:styleId="62">
    <w:name w:val="ParaAttribute26"/>
    <w:qFormat/>
    <w:uiPriority w:val="0"/>
    <w:pPr>
      <w:widowControl w:val="0"/>
      <w:wordWrap w:val="0"/>
      <w:spacing w:line="283" w:lineRule="exact"/>
    </w:pPr>
    <w:rPr>
      <w:rFonts w:ascii="Times New Roman" w:hAnsi="Times New Roman" w:eastAsia="宋体" w:cs="Times New Roman"/>
      <w:sz w:val="21"/>
      <w:szCs w:val="22"/>
      <w:lang w:val="en-US" w:eastAsia="zh-CN" w:bidi="ar-SA"/>
    </w:rPr>
  </w:style>
  <w:style w:type="character" w:customStyle="1" w:styleId="63">
    <w:name w:val="CharAttribute10"/>
    <w:qFormat/>
    <w:uiPriority w:val="0"/>
    <w:rPr>
      <w:rFonts w:ascii="¨¦?????" w:hAnsi="¨¦?????" w:eastAsia="¨¦?????"/>
      <w:sz w:val="28"/>
    </w:rPr>
  </w:style>
  <w:style w:type="paragraph" w:customStyle="1" w:styleId="64">
    <w:name w:val="ParaAttribute225"/>
    <w:qFormat/>
    <w:uiPriority w:val="0"/>
    <w:pPr>
      <w:widowControl w:val="0"/>
      <w:wordWrap w:val="0"/>
      <w:spacing w:line="567" w:lineRule="exact"/>
    </w:pPr>
    <w:rPr>
      <w:rFonts w:ascii="Times New Roman" w:hAnsi="Times New Roman" w:eastAsia="宋体" w:cs="Times New Roman"/>
      <w:sz w:val="21"/>
      <w:szCs w:val="22"/>
      <w:lang w:val="en-US" w:eastAsia="zh-CN" w:bidi="ar-SA"/>
    </w:rPr>
  </w:style>
  <w:style w:type="paragraph" w:customStyle="1" w:styleId="65">
    <w:name w:val="ParaAttribute4"/>
    <w:qFormat/>
    <w:uiPriority w:val="0"/>
    <w:pPr>
      <w:widowControl w:val="0"/>
      <w:wordWrap w:val="0"/>
      <w:spacing w:line="436" w:lineRule="exact"/>
    </w:pPr>
    <w:rPr>
      <w:rFonts w:ascii="Times New Roman" w:hAnsi="Times New Roman" w:eastAsia="宋体" w:cs="Times New Roman"/>
      <w:sz w:val="21"/>
      <w:szCs w:val="22"/>
      <w:lang w:val="en-US" w:eastAsia="zh-CN" w:bidi="ar-SA"/>
    </w:rPr>
  </w:style>
  <w:style w:type="character" w:customStyle="1" w:styleId="66">
    <w:name w:val="CharAttribute2"/>
    <w:qFormat/>
    <w:uiPriority w:val="0"/>
    <w:rPr>
      <w:rFonts w:ascii="¨¦?????" w:hAnsi="¨¦?????" w:eastAsia="¨¦?????"/>
      <w:sz w:val="43"/>
    </w:rPr>
  </w:style>
  <w:style w:type="paragraph" w:customStyle="1" w:styleId="67">
    <w:name w:val="ParaAttribute31"/>
    <w:qFormat/>
    <w:uiPriority w:val="0"/>
    <w:pPr>
      <w:widowControl w:val="0"/>
      <w:wordWrap w:val="0"/>
      <w:spacing w:line="284" w:lineRule="exact"/>
    </w:pPr>
    <w:rPr>
      <w:rFonts w:ascii="Times New Roman" w:hAnsi="Times New Roman" w:eastAsia="宋体" w:cs="Times New Roman"/>
      <w:sz w:val="21"/>
      <w:szCs w:val="22"/>
      <w:lang w:val="en-US" w:eastAsia="zh-CN" w:bidi="ar-SA"/>
    </w:rPr>
  </w:style>
  <w:style w:type="character" w:customStyle="1" w:styleId="68">
    <w:name w:val="CharAttribute0"/>
    <w:qFormat/>
    <w:uiPriority w:val="0"/>
    <w:rPr>
      <w:rFonts w:ascii="Arial" w:hAnsi="Arial" w:eastAsia="Arial"/>
      <w:sz w:val="19"/>
    </w:rPr>
  </w:style>
  <w:style w:type="paragraph" w:customStyle="1" w:styleId="69">
    <w:name w:val="ParaAttribute15"/>
    <w:qFormat/>
    <w:uiPriority w:val="0"/>
    <w:pPr>
      <w:widowControl w:val="0"/>
      <w:wordWrap w:val="0"/>
      <w:spacing w:line="264" w:lineRule="exact"/>
    </w:pPr>
    <w:rPr>
      <w:rFonts w:ascii="Times New Roman" w:hAnsi="Times New Roman" w:eastAsia="宋体" w:cs="Times New Roman"/>
      <w:sz w:val="21"/>
      <w:szCs w:val="22"/>
      <w:lang w:val="en-US" w:eastAsia="zh-CN" w:bidi="ar-SA"/>
    </w:rPr>
  </w:style>
  <w:style w:type="paragraph" w:customStyle="1" w:styleId="70">
    <w:name w:val="ParaAttribute33"/>
    <w:qFormat/>
    <w:uiPriority w:val="0"/>
    <w:pPr>
      <w:widowControl w:val="0"/>
      <w:wordWrap w:val="0"/>
      <w:spacing w:line="278" w:lineRule="exact"/>
    </w:pPr>
    <w:rPr>
      <w:rFonts w:ascii="Times New Roman" w:hAnsi="Times New Roman" w:eastAsia="宋体" w:cs="Times New Roman"/>
      <w:sz w:val="21"/>
      <w:szCs w:val="22"/>
      <w:lang w:val="en-US" w:eastAsia="zh-CN" w:bidi="ar-SA"/>
    </w:rPr>
  </w:style>
  <w:style w:type="paragraph" w:customStyle="1" w:styleId="71">
    <w:name w:val="ParaAttribute100"/>
    <w:qFormat/>
    <w:uiPriority w:val="0"/>
    <w:pPr>
      <w:widowControl w:val="0"/>
      <w:wordWrap w:val="0"/>
      <w:spacing w:line="316" w:lineRule="exact"/>
    </w:pPr>
    <w:rPr>
      <w:rFonts w:ascii="Times New Roman" w:hAnsi="Times New Roman" w:eastAsia="宋体" w:cs="Times New Roman"/>
      <w:sz w:val="21"/>
      <w:szCs w:val="22"/>
      <w:lang w:val="en-US" w:eastAsia="zh-CN" w:bidi="ar-SA"/>
    </w:rPr>
  </w:style>
  <w:style w:type="character" w:customStyle="1" w:styleId="72">
    <w:name w:val="CharAttribute17"/>
    <w:qFormat/>
    <w:uiPriority w:val="0"/>
    <w:rPr>
      <w:rFonts w:ascii="¨¦?????" w:hAnsi="¨¦?????" w:eastAsia="¨¦?????"/>
      <w:b/>
      <w:sz w:val="31"/>
    </w:rPr>
  </w:style>
  <w:style w:type="paragraph" w:customStyle="1" w:styleId="73">
    <w:name w:val="ParaAttribute58"/>
    <w:qFormat/>
    <w:uiPriority w:val="0"/>
    <w:pPr>
      <w:widowControl w:val="0"/>
      <w:wordWrap w:val="0"/>
      <w:spacing w:line="211" w:lineRule="exact"/>
    </w:pPr>
    <w:rPr>
      <w:rFonts w:ascii="Times New Roman" w:hAnsi="Times New Roman" w:eastAsia="宋体" w:cs="Times New Roman"/>
      <w:sz w:val="21"/>
      <w:szCs w:val="22"/>
      <w:lang w:val="en-US" w:eastAsia="zh-CN" w:bidi="ar-SA"/>
    </w:rPr>
  </w:style>
  <w:style w:type="character" w:customStyle="1" w:styleId="74">
    <w:name w:val="CharAttribute11"/>
    <w:qFormat/>
    <w:uiPriority w:val="0"/>
    <w:rPr>
      <w:rFonts w:ascii="??????" w:hAnsi="??????" w:eastAsia="??????"/>
      <w:sz w:val="21"/>
    </w:rPr>
  </w:style>
  <w:style w:type="character" w:customStyle="1" w:styleId="75">
    <w:name w:val="CharAttribute13"/>
    <w:qFormat/>
    <w:uiPriority w:val="0"/>
    <w:rPr>
      <w:rFonts w:ascii="Times New" w:hAnsi="Times New" w:eastAsia="Times New"/>
      <w:sz w:val="21"/>
    </w:rPr>
  </w:style>
  <w:style w:type="character" w:customStyle="1" w:styleId="76">
    <w:name w:val="CharAttribute25"/>
    <w:qFormat/>
    <w:uiPriority w:val="0"/>
    <w:rPr>
      <w:rFonts w:ascii="¨¦?????" w:hAnsi="¨¦?????" w:eastAsia="¨¦?????"/>
      <w:sz w:val="21"/>
    </w:rPr>
  </w:style>
  <w:style w:type="paragraph" w:customStyle="1" w:styleId="77">
    <w:name w:val="ParaAttribute12"/>
    <w:qFormat/>
    <w:uiPriority w:val="0"/>
    <w:pPr>
      <w:widowControl w:val="0"/>
      <w:wordWrap w:val="0"/>
      <w:spacing w:line="240" w:lineRule="exact"/>
    </w:pPr>
    <w:rPr>
      <w:rFonts w:ascii="Times New Roman" w:hAnsi="Times New Roman" w:eastAsia="宋体" w:cs="Times New Roman"/>
      <w:sz w:val="21"/>
      <w:szCs w:val="22"/>
      <w:lang w:val="en-US" w:eastAsia="zh-CN" w:bidi="ar-SA"/>
    </w:rPr>
  </w:style>
  <w:style w:type="paragraph" w:customStyle="1" w:styleId="78">
    <w:name w:val="ParaAttribute21"/>
    <w:qFormat/>
    <w:uiPriority w:val="0"/>
    <w:pPr>
      <w:widowControl w:val="0"/>
      <w:wordWrap w:val="0"/>
      <w:spacing w:line="235" w:lineRule="exact"/>
    </w:pPr>
    <w:rPr>
      <w:rFonts w:ascii="Times New Roman" w:hAnsi="Times New Roman" w:eastAsia="宋体" w:cs="Times New Roman"/>
      <w:sz w:val="21"/>
      <w:szCs w:val="22"/>
      <w:lang w:val="en-US" w:eastAsia="zh-CN" w:bidi="ar-SA"/>
    </w:rPr>
  </w:style>
  <w:style w:type="character" w:customStyle="1" w:styleId="79">
    <w:name w:val="CharAttribute19"/>
    <w:qFormat/>
    <w:uiPriority w:val="0"/>
    <w:rPr>
      <w:rFonts w:ascii="Times New Roman" w:hAnsi="Times New Roman" w:eastAsia="Times New Roman"/>
      <w:sz w:val="21"/>
    </w:rPr>
  </w:style>
  <w:style w:type="paragraph" w:customStyle="1" w:styleId="80">
    <w:name w:val="ParaAttribute70"/>
    <w:qFormat/>
    <w:uiPriority w:val="0"/>
    <w:pPr>
      <w:widowControl w:val="0"/>
      <w:wordWrap w:val="0"/>
      <w:spacing w:line="212" w:lineRule="exact"/>
    </w:pPr>
    <w:rPr>
      <w:rFonts w:ascii="Times New Roman" w:hAnsi="Times New Roman" w:eastAsia="宋体" w:cs="Times New Roman"/>
      <w:sz w:val="21"/>
      <w:szCs w:val="22"/>
      <w:lang w:val="en-US" w:eastAsia="zh-CN" w:bidi="ar-SA"/>
    </w:rPr>
  </w:style>
  <w:style w:type="paragraph" w:customStyle="1" w:styleId="81">
    <w:name w:val="ParaAttribute45"/>
    <w:qFormat/>
    <w:uiPriority w:val="0"/>
    <w:pPr>
      <w:widowControl w:val="0"/>
      <w:wordWrap w:val="0"/>
      <w:spacing w:line="230" w:lineRule="exact"/>
    </w:pPr>
    <w:rPr>
      <w:rFonts w:ascii="Times New Roman" w:hAnsi="Times New Roman" w:eastAsia="宋体" w:cs="Times New Roman"/>
      <w:sz w:val="21"/>
      <w:szCs w:val="22"/>
      <w:lang w:val="en-US" w:eastAsia="zh-CN" w:bidi="ar-SA"/>
    </w:rPr>
  </w:style>
  <w:style w:type="paragraph" w:customStyle="1" w:styleId="82">
    <w:name w:val="ParaAttribute238"/>
    <w:qFormat/>
    <w:uiPriority w:val="0"/>
    <w:pPr>
      <w:widowControl w:val="0"/>
      <w:wordWrap w:val="0"/>
      <w:spacing w:line="1109" w:lineRule="exact"/>
    </w:pPr>
    <w:rPr>
      <w:rFonts w:ascii="Times New Roman" w:hAnsi="Times New Roman" w:eastAsia="宋体" w:cs="Times New Roman"/>
      <w:sz w:val="21"/>
      <w:szCs w:val="22"/>
      <w:lang w:val="en-US" w:eastAsia="zh-CN" w:bidi="ar-SA"/>
    </w:rPr>
  </w:style>
  <w:style w:type="character" w:customStyle="1" w:styleId="83">
    <w:name w:val="CharAttribute6"/>
    <w:qFormat/>
    <w:uiPriority w:val="0"/>
    <w:rPr>
      <w:rFonts w:ascii="¨¦?????" w:hAnsi="¨¦?????" w:eastAsia="¨¦?????"/>
      <w:sz w:val="31"/>
    </w:rPr>
  </w:style>
  <w:style w:type="paragraph" w:customStyle="1" w:styleId="84">
    <w:name w:val="ParaAttribute95"/>
    <w:qFormat/>
    <w:uiPriority w:val="0"/>
    <w:pPr>
      <w:widowControl w:val="0"/>
      <w:wordWrap w:val="0"/>
      <w:spacing w:line="672" w:lineRule="exact"/>
    </w:pPr>
    <w:rPr>
      <w:rFonts w:ascii="Times New Roman" w:hAnsi="Times New Roman" w:eastAsia="宋体" w:cs="Times New Roman"/>
      <w:sz w:val="21"/>
      <w:szCs w:val="22"/>
      <w:lang w:val="en-US" w:eastAsia="zh-CN" w:bidi="ar-SA"/>
    </w:rPr>
  </w:style>
  <w:style w:type="paragraph" w:customStyle="1" w:styleId="85">
    <w:name w:val="ParaAttribute250"/>
    <w:qFormat/>
    <w:uiPriority w:val="0"/>
    <w:pPr>
      <w:widowControl w:val="0"/>
      <w:wordWrap w:val="0"/>
      <w:spacing w:line="287" w:lineRule="exact"/>
    </w:pPr>
    <w:rPr>
      <w:rFonts w:ascii="Times New Roman" w:hAnsi="Times New Roman" w:eastAsia="宋体" w:cs="Times New Roman"/>
      <w:sz w:val="21"/>
      <w:szCs w:val="22"/>
      <w:lang w:val="en-US" w:eastAsia="zh-CN" w:bidi="ar-SA"/>
    </w:rPr>
  </w:style>
  <w:style w:type="paragraph" w:customStyle="1" w:styleId="86">
    <w:name w:val="ParaAttribute187"/>
    <w:qFormat/>
    <w:uiPriority w:val="0"/>
    <w:pPr>
      <w:widowControl w:val="0"/>
      <w:wordWrap w:val="0"/>
      <w:spacing w:line="547" w:lineRule="exact"/>
    </w:pPr>
    <w:rPr>
      <w:rFonts w:ascii="Times New Roman" w:hAnsi="Times New Roman" w:eastAsia="宋体" w:cs="Times New Roman"/>
      <w:sz w:val="21"/>
      <w:szCs w:val="22"/>
      <w:lang w:val="en-US" w:eastAsia="zh-CN" w:bidi="ar-SA"/>
    </w:rPr>
  </w:style>
  <w:style w:type="paragraph" w:customStyle="1" w:styleId="87">
    <w:name w:val="ParaAttribute253"/>
    <w:qFormat/>
    <w:uiPriority w:val="0"/>
    <w:pPr>
      <w:widowControl w:val="0"/>
      <w:wordWrap w:val="0"/>
      <w:spacing w:line="163" w:lineRule="exact"/>
    </w:pPr>
    <w:rPr>
      <w:rFonts w:ascii="Times New Roman" w:hAnsi="Times New Roman" w:eastAsia="宋体" w:cs="Times New Roman"/>
      <w:sz w:val="21"/>
      <w:szCs w:val="22"/>
      <w:lang w:val="en-US" w:eastAsia="zh-CN" w:bidi="ar-SA"/>
    </w:rPr>
  </w:style>
  <w:style w:type="paragraph" w:customStyle="1" w:styleId="88">
    <w:name w:val="ParaAttribute259"/>
    <w:qFormat/>
    <w:uiPriority w:val="0"/>
    <w:pPr>
      <w:widowControl w:val="0"/>
      <w:wordWrap w:val="0"/>
      <w:spacing w:line="162" w:lineRule="exact"/>
    </w:pPr>
    <w:rPr>
      <w:rFonts w:ascii="Times New Roman" w:hAnsi="Times New Roman" w:eastAsia="宋体" w:cs="Times New Roman"/>
      <w:sz w:val="21"/>
      <w:szCs w:val="22"/>
      <w:lang w:val="en-US" w:eastAsia="zh-CN" w:bidi="ar-SA"/>
    </w:rPr>
  </w:style>
  <w:style w:type="paragraph" w:styleId="89">
    <w:name w:val="List Paragraph"/>
    <w:basedOn w:val="1"/>
    <w:qFormat/>
    <w:uiPriority w:val="34"/>
    <w:pPr>
      <w:ind w:firstLine="420" w:firstLineChars="200"/>
    </w:pPr>
  </w:style>
  <w:style w:type="table" w:customStyle="1" w:styleId="90">
    <w:name w:val="Table Normal"/>
    <w:semiHidden/>
    <w:unhideWhenUsed/>
    <w:qFormat/>
    <w:uiPriority w:val="2"/>
    <w:tblPr>
      <w:tblCellMar>
        <w:top w:w="0" w:type="dxa"/>
        <w:left w:w="0" w:type="dxa"/>
        <w:bottom w:w="0" w:type="dxa"/>
        <w:right w:w="0" w:type="dxa"/>
      </w:tblCellMar>
    </w:tblPr>
  </w:style>
  <w:style w:type="paragraph" w:customStyle="1" w:styleId="91">
    <w:name w:val="正文 首行缩进"/>
    <w:qFormat/>
    <w:uiPriority w:val="0"/>
    <w:pPr>
      <w:widowControl w:val="0"/>
      <w:ind w:firstLine="200" w:firstLineChars="200"/>
      <w:jc w:val="left"/>
    </w:pPr>
    <w:rPr>
      <w:rFonts w:ascii="Calibri" w:hAnsi="Calibri" w:eastAsia="仿宋" w:cstheme="minorBidi"/>
      <w:kern w:val="2"/>
      <w:sz w:val="28"/>
      <w:szCs w:val="24"/>
      <w:lang w:val="en-US" w:eastAsia="zh-CN" w:bidi="ar-SA"/>
    </w:rPr>
  </w:style>
  <w:style w:type="character" w:customStyle="1" w:styleId="92">
    <w:name w:val="样式 仿宋_GB2312 小四 加粗 行距: 1.5 倍行距"/>
    <w:qFormat/>
    <w:uiPriority w:val="0"/>
    <w:rPr>
      <w:rFonts w:hint="eastAsia" w:ascii="仿宋_GB2312" w:eastAsia="仿宋_GB2312"/>
      <w:b/>
      <w:sz w:val="24"/>
    </w:rPr>
  </w:style>
  <w:style w:type="paragraph" w:customStyle="1" w:styleId="93">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4">
    <w:name w:val="*正文"/>
    <w:basedOn w:val="1"/>
    <w:next w:val="1"/>
    <w:qFormat/>
    <w:uiPriority w:val="0"/>
    <w:pPr>
      <w:widowControl/>
      <w:ind w:firstLine="482"/>
    </w:pPr>
    <w:rPr>
      <w:rFonts w:ascii="微软雅黑" w:hAnsi="微软雅黑" w:eastAsia="微软雅黑"/>
      <w:szCs w:val="24"/>
    </w:rPr>
  </w:style>
  <w:style w:type="character" w:customStyle="1" w:styleId="95">
    <w:name w:val="标题 2 字符"/>
    <w:link w:val="5"/>
    <w:qFormat/>
    <w:uiPriority w:val="0"/>
    <w:rPr>
      <w:rFonts w:ascii="Cambria" w:hAnsi="Cambria" w:eastAsia="仿宋"/>
      <w:b/>
      <w:sz w:val="32"/>
    </w:rPr>
  </w:style>
  <w:style w:type="paragraph" w:customStyle="1" w:styleId="96">
    <w:name w:val=" Char Char Char Char Char Char Char Char Char Char1"/>
    <w:basedOn w:val="1"/>
    <w:qFormat/>
    <w:uiPriority w:val="0"/>
    <w:pPr>
      <w:adjustRightInd w:val="0"/>
      <w:spacing w:line="360" w:lineRule="auto"/>
    </w:pPr>
  </w:style>
  <w:style w:type="character" w:customStyle="1" w:styleId="97">
    <w:name w:val="textcontents"/>
    <w:basedOn w:val="3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88</Pages>
  <Words>27182</Words>
  <Characters>29300</Characters>
  <Lines>0</Lines>
  <Paragraphs>0</Paragraphs>
  <TotalTime>0</TotalTime>
  <ScaleCrop>false</ScaleCrop>
  <LinksUpToDate>false</LinksUpToDate>
  <CharactersWithSpaces>37911</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zhaoxinlei</dc:creator>
  <cp:lastModifiedBy>小石</cp:lastModifiedBy>
  <cp:lastPrinted>2020-04-26T10:37:00Z</cp:lastPrinted>
  <dcterms:modified xsi:type="dcterms:W3CDTF">2025-03-31T02:12:09Z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6C5F38E6A8FB4E56A708FFC220BE834A</vt:lpwstr>
  </property>
  <property fmtid="{D5CDD505-2E9C-101B-9397-08002B2CF9AE}" pid="4" name="KSOTemplateDocerSaveRecord">
    <vt:lpwstr>eyJoZGlkIjoiZDI0NGU2M2QyMWMyYzZiOWEzNDQxY2FjM2ZkZjg3NjgiLCJ1c2VySWQiOiIyNTYxMzEwMzQifQ==</vt:lpwstr>
  </property>
</Properties>
</file>