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53DFD">
      <w:pPr>
        <w:pStyle w:val="12"/>
        <w:ind w:firstLine="0" w:firstLineChars="0"/>
        <w:jc w:val="both"/>
        <w:rPr>
          <w:color w:val="auto"/>
          <w:highlight w:val="none"/>
        </w:rPr>
      </w:pPr>
      <w:r>
        <w:rPr>
          <w:color w:val="auto"/>
        </w:rPr>
        <w:drawing>
          <wp:inline distT="0" distB="0" distL="114300" distR="114300">
            <wp:extent cx="5637530" cy="8296275"/>
            <wp:effectExtent l="0" t="0" r="127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5637530" cy="8296275"/>
                    </a:xfrm>
                    <a:prstGeom prst="rect">
                      <a:avLst/>
                    </a:prstGeom>
                    <a:noFill/>
                    <a:ln>
                      <a:noFill/>
                    </a:ln>
                  </pic:spPr>
                </pic:pic>
              </a:graphicData>
            </a:graphic>
          </wp:inline>
        </w:drawing>
      </w:r>
    </w:p>
    <w:p w14:paraId="61A7AC80">
      <w:pPr>
        <w:rPr>
          <w:color w:val="auto"/>
          <w:highlight w:val="none"/>
        </w:rPr>
      </w:pPr>
      <w:r>
        <w:rPr>
          <w:color w:val="auto"/>
          <w:highlight w:val="none"/>
        </w:rPr>
        <w:br w:type="page"/>
      </w:r>
    </w:p>
    <w:p w14:paraId="351E3521">
      <w:pPr>
        <w:pStyle w:val="12"/>
        <w:ind w:firstLine="0" w:firstLineChars="0"/>
        <w:jc w:val="center"/>
        <w:rPr>
          <w:rFonts w:hint="eastAsia" w:ascii="宋体" w:hAnsi="宋体" w:eastAsia="宋体" w:cs="宋体"/>
          <w:color w:val="auto"/>
          <w:highlight w:val="none"/>
          <w:lang w:val="zh-CN"/>
        </w:rPr>
      </w:pPr>
      <w:r>
        <w:rPr>
          <w:rFonts w:hint="eastAsia" w:ascii="宋体" w:hAnsi="宋体" w:cs="宋体"/>
          <w:b/>
          <w:bCs/>
          <w:color w:val="auto"/>
          <w:sz w:val="48"/>
          <w:szCs w:val="48"/>
          <w:highlight w:val="none"/>
          <w:lang w:val="zh-CN"/>
        </w:rPr>
        <w:t>封丘县李庄镇人民政府封丘县李庄镇老年人体育健身示范园建设项目（二次）</w:t>
      </w:r>
    </w:p>
    <w:p w14:paraId="3E4A90BC">
      <w:pPr>
        <w:pStyle w:val="12"/>
        <w:ind w:firstLine="0" w:firstLineChars="0"/>
        <w:rPr>
          <w:rFonts w:hint="eastAsia" w:ascii="宋体" w:hAnsi="宋体" w:eastAsia="宋体" w:cs="宋体"/>
          <w:color w:val="auto"/>
          <w:highlight w:val="none"/>
          <w:lang w:val="zh-CN"/>
        </w:rPr>
      </w:pPr>
    </w:p>
    <w:p w14:paraId="0AAC7BF8">
      <w:pPr>
        <w:pStyle w:val="12"/>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drawing>
          <wp:anchor distT="0" distB="0" distL="114300" distR="114300" simplePos="0" relativeHeight="251659264" behindDoc="0" locked="0" layoutInCell="1" allowOverlap="1">
            <wp:simplePos x="0" y="0"/>
            <wp:positionH relativeFrom="column">
              <wp:posOffset>2065020</wp:posOffset>
            </wp:positionH>
            <wp:positionV relativeFrom="paragraph">
              <wp:posOffset>302260</wp:posOffset>
            </wp:positionV>
            <wp:extent cx="2123440" cy="2181225"/>
            <wp:effectExtent l="0" t="0" r="10160" b="9525"/>
            <wp:wrapNone/>
            <wp:docPr id="1" name="图片 4" descr="微信截图_202404101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截图_20240410163817"/>
                    <pic:cNvPicPr>
                      <a:picLocks noChangeAspect="1"/>
                    </pic:cNvPicPr>
                  </pic:nvPicPr>
                  <pic:blipFill>
                    <a:blip r:embed="rId14"/>
                    <a:stretch>
                      <a:fillRect/>
                    </a:stretch>
                  </pic:blipFill>
                  <pic:spPr>
                    <a:xfrm>
                      <a:off x="0" y="0"/>
                      <a:ext cx="2123440" cy="2181225"/>
                    </a:xfrm>
                    <a:prstGeom prst="rect">
                      <a:avLst/>
                    </a:prstGeom>
                    <a:noFill/>
                    <a:ln>
                      <a:noFill/>
                    </a:ln>
                  </pic:spPr>
                </pic:pic>
              </a:graphicData>
            </a:graphic>
          </wp:anchor>
        </w:drawing>
      </w:r>
    </w:p>
    <w:p w14:paraId="7BA5E0F1">
      <w:pPr>
        <w:tabs>
          <w:tab w:val="left" w:pos="8790"/>
        </w:tabs>
        <w:spacing w:line="800" w:lineRule="atLeast"/>
        <w:ind w:right="-766"/>
        <w:jc w:val="both"/>
        <w:rPr>
          <w:rFonts w:hint="eastAsia" w:ascii="宋体" w:hAnsi="宋体" w:eastAsia="宋体" w:cs="宋体"/>
          <w:b/>
          <w:bCs/>
          <w:color w:val="auto"/>
          <w:sz w:val="84"/>
          <w:szCs w:val="84"/>
          <w:highlight w:val="none"/>
        </w:rPr>
      </w:pPr>
    </w:p>
    <w:p w14:paraId="197DD2DD">
      <w:pPr>
        <w:tabs>
          <w:tab w:val="left" w:pos="8790"/>
        </w:tabs>
        <w:spacing w:line="800" w:lineRule="atLeast"/>
        <w:ind w:right="-766"/>
        <w:jc w:val="both"/>
        <w:rPr>
          <w:rFonts w:hint="eastAsia" w:ascii="宋体" w:hAnsi="宋体" w:eastAsia="宋体" w:cs="宋体"/>
          <w:b/>
          <w:bCs/>
          <w:color w:val="auto"/>
          <w:sz w:val="84"/>
          <w:szCs w:val="84"/>
          <w:highlight w:val="none"/>
        </w:rPr>
      </w:pPr>
    </w:p>
    <w:p w14:paraId="104D5302">
      <w:pPr>
        <w:tabs>
          <w:tab w:val="left" w:pos="8790"/>
        </w:tabs>
        <w:spacing w:line="800" w:lineRule="atLeast"/>
        <w:ind w:right="-766"/>
        <w:jc w:val="center"/>
        <w:rPr>
          <w:rFonts w:hint="eastAsia" w:ascii="宋体" w:hAnsi="宋体" w:eastAsia="宋体" w:cs="宋体"/>
          <w:b/>
          <w:bCs/>
          <w:color w:val="auto"/>
          <w:sz w:val="84"/>
          <w:szCs w:val="84"/>
          <w:highlight w:val="none"/>
        </w:rPr>
      </w:pPr>
    </w:p>
    <w:p w14:paraId="07C6ACB1">
      <w:pPr>
        <w:tabs>
          <w:tab w:val="left" w:pos="8790"/>
        </w:tabs>
        <w:spacing w:line="800" w:lineRule="atLeast"/>
        <w:ind w:right="-766"/>
        <w:jc w:val="center"/>
        <w:rPr>
          <w:rFonts w:hint="eastAsia" w:ascii="宋体" w:hAnsi="宋体" w:eastAsia="宋体" w:cs="宋体"/>
          <w:b/>
          <w:bCs/>
          <w:color w:val="auto"/>
          <w:sz w:val="84"/>
          <w:szCs w:val="84"/>
          <w:highlight w:val="none"/>
          <w:lang w:val="zh-CN"/>
        </w:rPr>
      </w:pPr>
      <w:r>
        <w:rPr>
          <w:rFonts w:hint="eastAsia" w:ascii="宋体" w:hAnsi="宋体" w:eastAsia="宋体" w:cs="宋体"/>
          <w:b/>
          <w:bCs/>
          <w:color w:val="auto"/>
          <w:sz w:val="84"/>
          <w:szCs w:val="84"/>
          <w:highlight w:val="none"/>
        </w:rPr>
        <w:t>招标</w:t>
      </w:r>
      <w:r>
        <w:rPr>
          <w:rFonts w:hint="eastAsia" w:ascii="宋体" w:hAnsi="宋体" w:eastAsia="宋体" w:cs="宋体"/>
          <w:b/>
          <w:bCs/>
          <w:color w:val="auto"/>
          <w:sz w:val="84"/>
          <w:szCs w:val="84"/>
          <w:highlight w:val="none"/>
          <w:lang w:val="zh-CN"/>
        </w:rPr>
        <w:t>文件</w:t>
      </w:r>
    </w:p>
    <w:p w14:paraId="1E206438">
      <w:pPr>
        <w:tabs>
          <w:tab w:val="left" w:pos="8790"/>
        </w:tabs>
        <w:spacing w:line="600" w:lineRule="exact"/>
        <w:ind w:right="-765"/>
        <w:jc w:val="center"/>
        <w:rPr>
          <w:rFonts w:hint="default" w:ascii="宋体" w:hAnsi="宋体" w:eastAsia="宋体" w:cs="宋体"/>
          <w:b/>
          <w:bCs/>
          <w:color w:val="auto"/>
          <w:szCs w:val="144"/>
          <w:highlight w:val="none"/>
          <w:lang w:val="en-US" w:eastAsia="zh-CN"/>
        </w:rPr>
      </w:pPr>
      <w:r>
        <w:rPr>
          <w:rFonts w:hint="eastAsia" w:ascii="宋体" w:hAnsi="宋体" w:eastAsia="宋体" w:cs="宋体"/>
          <w:b/>
          <w:bCs/>
          <w:color w:val="auto"/>
          <w:szCs w:val="144"/>
          <w:highlight w:val="none"/>
          <w:lang w:val="zh-CN"/>
        </w:rPr>
        <w:t>项目编号：封财招标采购-2025-5</w:t>
      </w:r>
    </w:p>
    <w:p w14:paraId="2BECF02D">
      <w:pPr>
        <w:tabs>
          <w:tab w:val="left" w:pos="8790"/>
        </w:tabs>
        <w:spacing w:line="600" w:lineRule="exact"/>
        <w:ind w:right="-765" w:firstLine="2670"/>
        <w:rPr>
          <w:rFonts w:hint="eastAsia" w:ascii="宋体" w:hAnsi="宋体" w:eastAsia="宋体" w:cs="宋体"/>
          <w:b/>
          <w:bCs/>
          <w:color w:val="auto"/>
          <w:szCs w:val="28"/>
          <w:highlight w:val="none"/>
          <w:lang w:val="zh-CN"/>
        </w:rPr>
      </w:pPr>
    </w:p>
    <w:p w14:paraId="4899538A">
      <w:pPr>
        <w:pStyle w:val="38"/>
        <w:ind w:firstLine="480"/>
        <w:rPr>
          <w:rFonts w:hint="eastAsia" w:ascii="宋体" w:hAnsi="宋体" w:eastAsia="宋体" w:cs="宋体"/>
          <w:color w:val="auto"/>
          <w:highlight w:val="none"/>
          <w:lang w:val="zh-CN"/>
        </w:rPr>
      </w:pPr>
    </w:p>
    <w:p w14:paraId="17C8501D">
      <w:pPr>
        <w:rPr>
          <w:rFonts w:hint="eastAsia" w:ascii="宋体" w:hAnsi="宋体" w:eastAsia="宋体" w:cs="宋体"/>
          <w:color w:val="auto"/>
          <w:highlight w:val="none"/>
          <w:lang w:val="zh-CN"/>
        </w:rPr>
      </w:pPr>
    </w:p>
    <w:p w14:paraId="4EDC623E">
      <w:pPr>
        <w:rPr>
          <w:rFonts w:hint="eastAsia" w:ascii="宋体" w:hAnsi="宋体" w:eastAsia="宋体" w:cs="宋体"/>
          <w:color w:val="auto"/>
          <w:highlight w:val="none"/>
          <w:lang w:val="zh-CN"/>
        </w:rPr>
      </w:pPr>
    </w:p>
    <w:p w14:paraId="09C753E7">
      <w:pPr>
        <w:pStyle w:val="2"/>
        <w:rPr>
          <w:rFonts w:hint="eastAsia" w:ascii="宋体" w:hAnsi="宋体" w:eastAsia="宋体" w:cs="宋体"/>
          <w:b/>
          <w:bCs/>
          <w:color w:val="auto"/>
          <w:sz w:val="36"/>
          <w:szCs w:val="36"/>
          <w:highlight w:val="none"/>
          <w:lang w:val="zh-CN"/>
        </w:rPr>
      </w:pPr>
    </w:p>
    <w:p w14:paraId="7AB286F7">
      <w:pPr>
        <w:tabs>
          <w:tab w:val="left" w:pos="720"/>
          <w:tab w:val="left" w:pos="1080"/>
        </w:tabs>
        <w:spacing w:line="600" w:lineRule="atLeast"/>
        <w:ind w:right="-766"/>
        <w:rPr>
          <w:rFonts w:hint="eastAsia" w:ascii="宋体" w:hAnsi="宋体" w:eastAsia="宋体" w:cs="宋体"/>
          <w:b/>
          <w:bCs/>
          <w:color w:val="auto"/>
          <w:sz w:val="36"/>
          <w:szCs w:val="36"/>
          <w:highlight w:val="none"/>
          <w:lang w:val="zh-CN"/>
        </w:rPr>
      </w:pPr>
    </w:p>
    <w:p w14:paraId="0A94A384">
      <w:pPr>
        <w:tabs>
          <w:tab w:val="left" w:pos="720"/>
          <w:tab w:val="left" w:pos="1080"/>
          <w:tab w:val="left" w:pos="8820"/>
        </w:tabs>
        <w:spacing w:line="600" w:lineRule="atLeast"/>
        <w:ind w:right="-766"/>
        <w:jc w:val="center"/>
        <w:rPr>
          <w:rFonts w:hint="eastAsia" w:ascii="宋体" w:hAnsi="宋体" w:eastAsia="宋体" w:cs="宋体"/>
          <w:b/>
          <w:bCs/>
          <w:color w:val="auto"/>
          <w:sz w:val="36"/>
          <w:szCs w:val="36"/>
          <w:highlight w:val="none"/>
          <w:lang w:val="en-US" w:eastAsia="zh-CN"/>
        </w:rPr>
      </w:pPr>
      <w:bookmarkStart w:id="0" w:name="_Toc9321"/>
      <w:bookmarkStart w:id="1" w:name="_Toc20823"/>
      <w:bookmarkStart w:id="2" w:name="_Toc20189"/>
      <w:bookmarkStart w:id="3" w:name="_Toc20314"/>
      <w:r>
        <w:rPr>
          <w:rFonts w:hint="eastAsia" w:ascii="宋体" w:hAnsi="宋体" w:eastAsia="宋体" w:cs="宋体"/>
          <w:b/>
          <w:bCs/>
          <w:color w:val="auto"/>
          <w:sz w:val="36"/>
          <w:szCs w:val="36"/>
          <w:highlight w:val="none"/>
          <w:lang w:val="zh-CN"/>
        </w:rPr>
        <w:t>采</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购</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人：封丘县李庄镇人民政府</w:t>
      </w:r>
    </w:p>
    <w:p w14:paraId="3D36AC1E">
      <w:pPr>
        <w:tabs>
          <w:tab w:val="left" w:pos="720"/>
          <w:tab w:val="left" w:pos="1080"/>
          <w:tab w:val="left" w:pos="8820"/>
        </w:tabs>
        <w:spacing w:line="600" w:lineRule="atLeast"/>
        <w:ind w:right="-766"/>
        <w:jc w:val="cente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代理机构：新乡市丰成工程管理有限公司</w:t>
      </w:r>
    </w:p>
    <w:p w14:paraId="45F9058B">
      <w:pPr>
        <w:tabs>
          <w:tab w:val="left" w:pos="720"/>
          <w:tab w:val="left" w:pos="1080"/>
          <w:tab w:val="left" w:pos="8820"/>
        </w:tabs>
        <w:spacing w:line="600" w:lineRule="atLeast"/>
        <w:ind w:right="-766"/>
        <w:jc w:val="cente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rPr>
        <w:t>编制</w:t>
      </w:r>
      <w:r>
        <w:rPr>
          <w:rFonts w:hint="eastAsia" w:ascii="宋体" w:hAnsi="宋体" w:eastAsia="宋体" w:cs="宋体"/>
          <w:b/>
          <w:bCs/>
          <w:color w:val="auto"/>
          <w:sz w:val="36"/>
          <w:szCs w:val="36"/>
          <w:highlight w:val="none"/>
          <w:lang w:val="zh-CN"/>
        </w:rPr>
        <w:t>日期</w:t>
      </w:r>
      <w:r>
        <w:rPr>
          <w:rFonts w:hint="eastAsia" w:ascii="宋体" w:hAnsi="宋体" w:eastAsia="宋体" w:cs="宋体"/>
          <w:b/>
          <w:bCs/>
          <w:color w:val="auto"/>
          <w:sz w:val="36"/>
          <w:szCs w:val="36"/>
          <w:highlight w:val="none"/>
        </w:rPr>
        <w:t>：</w:t>
      </w:r>
      <w:r>
        <w:rPr>
          <w:rFonts w:hint="eastAsia" w:ascii="宋体" w:hAnsi="宋体" w:eastAsia="宋体" w:cs="宋体"/>
          <w:b/>
          <w:bCs/>
          <w:color w:val="auto"/>
          <w:sz w:val="36"/>
          <w:szCs w:val="36"/>
          <w:highlight w:val="none"/>
          <w:lang w:val="zh-CN"/>
        </w:rPr>
        <w:t>二</w:t>
      </w:r>
      <w:r>
        <w:rPr>
          <w:rFonts w:hint="eastAsia" w:ascii="宋体" w:hAnsi="宋体" w:eastAsia="宋体" w:cs="宋体"/>
          <w:b/>
          <w:bCs/>
          <w:color w:val="auto"/>
          <w:sz w:val="36"/>
          <w:szCs w:val="36"/>
          <w:highlight w:val="none"/>
        </w:rPr>
        <w:t>零</w:t>
      </w:r>
      <w:r>
        <w:rPr>
          <w:rFonts w:hint="eastAsia" w:ascii="宋体" w:hAnsi="宋体" w:eastAsia="宋体" w:cs="宋体"/>
          <w:b/>
          <w:bCs/>
          <w:color w:val="auto"/>
          <w:sz w:val="36"/>
          <w:szCs w:val="36"/>
          <w:highlight w:val="none"/>
          <w:lang w:val="zh-CN"/>
        </w:rPr>
        <w:t>二</w:t>
      </w:r>
      <w:r>
        <w:rPr>
          <w:rFonts w:hint="eastAsia" w:ascii="宋体" w:hAnsi="宋体" w:eastAsia="宋体" w:cs="宋体"/>
          <w:b/>
          <w:bCs/>
          <w:color w:val="auto"/>
          <w:sz w:val="36"/>
          <w:szCs w:val="36"/>
          <w:highlight w:val="none"/>
          <w:lang w:val="en-US" w:eastAsia="zh-CN"/>
        </w:rPr>
        <w:t>五</w:t>
      </w:r>
      <w:r>
        <w:rPr>
          <w:rFonts w:hint="eastAsia" w:ascii="宋体" w:hAnsi="宋体" w:eastAsia="宋体" w:cs="宋体"/>
          <w:b/>
          <w:bCs/>
          <w:color w:val="auto"/>
          <w:sz w:val="36"/>
          <w:szCs w:val="36"/>
          <w:highlight w:val="none"/>
          <w:lang w:val="zh-CN"/>
        </w:rPr>
        <w:t>年</w:t>
      </w:r>
      <w:r>
        <w:rPr>
          <w:rFonts w:hint="eastAsia" w:ascii="宋体" w:hAnsi="宋体" w:eastAsia="宋体" w:cs="宋体"/>
          <w:b/>
          <w:bCs/>
          <w:color w:val="auto"/>
          <w:sz w:val="36"/>
          <w:szCs w:val="36"/>
          <w:highlight w:val="none"/>
          <w:lang w:val="en-US" w:eastAsia="zh-CN"/>
        </w:rPr>
        <w:t>三</w:t>
      </w:r>
      <w:r>
        <w:rPr>
          <w:rFonts w:hint="eastAsia" w:ascii="宋体" w:hAnsi="宋体" w:eastAsia="宋体" w:cs="宋体"/>
          <w:b/>
          <w:bCs/>
          <w:color w:val="auto"/>
          <w:sz w:val="36"/>
          <w:szCs w:val="36"/>
          <w:highlight w:val="none"/>
          <w:lang w:val="zh-CN"/>
        </w:rPr>
        <w:t>月</w:t>
      </w:r>
    </w:p>
    <w:p w14:paraId="0354D43D">
      <w:pPr>
        <w:pStyle w:val="5"/>
        <w:jc w:val="center"/>
        <w:rPr>
          <w:rFonts w:hint="eastAsia" w:ascii="宋体" w:hAnsi="宋体" w:eastAsia="宋体" w:cs="宋体"/>
          <w:color w:val="auto"/>
          <w:sz w:val="44"/>
          <w:szCs w:val="44"/>
          <w:highlight w:val="none"/>
        </w:rPr>
        <w:sectPr>
          <w:headerReference r:id="rId3" w:type="default"/>
          <w:footerReference r:id="rId4" w:type="default"/>
          <w:pgSz w:w="11906" w:h="16838"/>
          <w:pgMar w:top="1417" w:right="1417" w:bottom="1417" w:left="1417" w:header="850" w:footer="992" w:gutter="0"/>
          <w:pgNumType w:fmt="decimal"/>
          <w:cols w:space="720" w:num="1"/>
          <w:docGrid w:type="lines" w:linePitch="312" w:charSpace="0"/>
        </w:sectPr>
      </w:pPr>
      <w:bookmarkStart w:id="4" w:name="_Toc309"/>
    </w:p>
    <w:p w14:paraId="3CAB0CA4">
      <w:pPr>
        <w:pStyle w:val="5"/>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bookmarkEnd w:id="0"/>
      <w:bookmarkEnd w:id="1"/>
      <w:bookmarkEnd w:id="2"/>
      <w:bookmarkEnd w:id="3"/>
      <w:bookmarkEnd w:id="4"/>
    </w:p>
    <w:p w14:paraId="5EFC673C">
      <w:pPr>
        <w:pStyle w:val="29"/>
        <w:tabs>
          <w:tab w:val="right" w:leader="dot" w:pos="9072"/>
        </w:tabs>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TOC \o "1-1" \u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第一章  招标公告</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_Toc4473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2</w:t>
      </w:r>
      <w:r>
        <w:rPr>
          <w:rFonts w:hint="eastAsia" w:ascii="宋体" w:hAnsi="宋体" w:eastAsia="宋体" w:cs="宋体"/>
          <w:b w:val="0"/>
          <w:bCs w:val="0"/>
          <w:color w:val="auto"/>
          <w:sz w:val="32"/>
          <w:szCs w:val="32"/>
          <w:highlight w:val="none"/>
        </w:rPr>
        <w:fldChar w:fldCharType="end"/>
      </w:r>
    </w:p>
    <w:p w14:paraId="75934A2F">
      <w:pPr>
        <w:pStyle w:val="29"/>
        <w:tabs>
          <w:tab w:val="right" w:leader="dot" w:pos="9072"/>
        </w:tabs>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44"/>
          <w:highlight w:val="none"/>
        </w:rPr>
        <w:t>第二章  投标人须知</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_Toc14660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5</w:t>
      </w:r>
      <w:r>
        <w:rPr>
          <w:rFonts w:hint="eastAsia" w:ascii="宋体" w:hAnsi="宋体" w:eastAsia="宋体" w:cs="宋体"/>
          <w:b w:val="0"/>
          <w:bCs w:val="0"/>
          <w:color w:val="auto"/>
          <w:sz w:val="32"/>
          <w:szCs w:val="32"/>
          <w:highlight w:val="none"/>
        </w:rPr>
        <w:fldChar w:fldCharType="end"/>
      </w:r>
    </w:p>
    <w:p w14:paraId="0F22EF79">
      <w:pPr>
        <w:pStyle w:val="29"/>
        <w:tabs>
          <w:tab w:val="right" w:leader="dot" w:pos="9072"/>
        </w:tabs>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第三章  评标办法（综合评标法）</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_Toc11022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27</w:t>
      </w:r>
      <w:r>
        <w:rPr>
          <w:rFonts w:hint="eastAsia" w:ascii="宋体" w:hAnsi="宋体" w:eastAsia="宋体" w:cs="宋体"/>
          <w:b w:val="0"/>
          <w:bCs w:val="0"/>
          <w:color w:val="auto"/>
          <w:sz w:val="32"/>
          <w:szCs w:val="32"/>
          <w:highlight w:val="none"/>
        </w:rPr>
        <w:fldChar w:fldCharType="end"/>
      </w:r>
    </w:p>
    <w:p w14:paraId="1C95F2CF">
      <w:pPr>
        <w:pStyle w:val="29"/>
        <w:tabs>
          <w:tab w:val="right" w:leader="dot" w:pos="9072"/>
        </w:tabs>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第四章  合同书</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_Toc225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34</w:t>
      </w:r>
      <w:r>
        <w:rPr>
          <w:rFonts w:hint="eastAsia" w:ascii="宋体" w:hAnsi="宋体" w:eastAsia="宋体" w:cs="宋体"/>
          <w:b w:val="0"/>
          <w:bCs w:val="0"/>
          <w:color w:val="auto"/>
          <w:sz w:val="32"/>
          <w:szCs w:val="32"/>
          <w:highlight w:val="none"/>
        </w:rPr>
        <w:fldChar w:fldCharType="end"/>
      </w:r>
    </w:p>
    <w:p w14:paraId="0867D204">
      <w:pPr>
        <w:pStyle w:val="29"/>
        <w:tabs>
          <w:tab w:val="right" w:leader="dot" w:pos="9072"/>
        </w:tabs>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第五章  采购需求及具体要求</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_Toc2497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36</w:t>
      </w:r>
      <w:r>
        <w:rPr>
          <w:rFonts w:hint="eastAsia" w:ascii="宋体" w:hAnsi="宋体" w:eastAsia="宋体" w:cs="宋体"/>
          <w:b w:val="0"/>
          <w:bCs w:val="0"/>
          <w:color w:val="auto"/>
          <w:sz w:val="32"/>
          <w:szCs w:val="32"/>
          <w:highlight w:val="none"/>
        </w:rPr>
        <w:fldChar w:fldCharType="end"/>
      </w:r>
    </w:p>
    <w:p w14:paraId="4F264457">
      <w:pPr>
        <w:pStyle w:val="29"/>
        <w:tabs>
          <w:tab w:val="right" w:leader="dot" w:pos="9072"/>
        </w:tabs>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xml:space="preserve">第六章 </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投标文件格式</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_Toc27719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57</w:t>
      </w:r>
      <w:r>
        <w:rPr>
          <w:rFonts w:hint="eastAsia" w:ascii="宋体" w:hAnsi="宋体" w:eastAsia="宋体" w:cs="宋体"/>
          <w:b w:val="0"/>
          <w:bCs w:val="0"/>
          <w:color w:val="auto"/>
          <w:sz w:val="32"/>
          <w:szCs w:val="32"/>
          <w:highlight w:val="none"/>
        </w:rPr>
        <w:fldChar w:fldCharType="end"/>
      </w:r>
    </w:p>
    <w:p w14:paraId="2376FA6C">
      <w:pPr>
        <w:rPr>
          <w:rFonts w:hint="eastAsia" w:ascii="宋体" w:hAnsi="宋体" w:eastAsia="宋体" w:cs="宋体"/>
          <w:color w:val="auto"/>
          <w:highlight w:val="none"/>
        </w:rPr>
      </w:pPr>
      <w:r>
        <w:rPr>
          <w:rFonts w:hint="eastAsia" w:ascii="宋体" w:hAnsi="宋体" w:eastAsia="宋体" w:cs="宋体"/>
          <w:b w:val="0"/>
          <w:bCs w:val="0"/>
          <w:color w:val="auto"/>
          <w:sz w:val="48"/>
          <w:szCs w:val="44"/>
          <w:highlight w:val="none"/>
        </w:rPr>
        <w:fldChar w:fldCharType="end"/>
      </w:r>
    </w:p>
    <w:p w14:paraId="26BDD93A">
      <w:pPr>
        <w:pStyle w:val="4"/>
        <w:jc w:val="center"/>
        <w:rPr>
          <w:rFonts w:hint="eastAsia" w:ascii="宋体" w:hAnsi="宋体" w:eastAsia="宋体" w:cs="宋体"/>
          <w:color w:val="auto"/>
          <w:sz w:val="21"/>
          <w:szCs w:val="21"/>
          <w:highlight w:val="none"/>
        </w:rPr>
      </w:pPr>
      <w:bookmarkStart w:id="5" w:name="_Toc17273"/>
      <w:r>
        <w:rPr>
          <w:rFonts w:hint="eastAsia" w:ascii="宋体" w:hAnsi="宋体" w:eastAsia="宋体" w:cs="宋体"/>
          <w:color w:val="auto"/>
          <w:highlight w:val="none"/>
        </w:rPr>
        <w:br w:type="page"/>
      </w:r>
      <w:bookmarkStart w:id="6" w:name="_Toc19513"/>
      <w:bookmarkStart w:id="7" w:name="_Toc4473"/>
      <w:r>
        <w:rPr>
          <w:rFonts w:hint="eastAsia" w:ascii="宋体" w:hAnsi="宋体" w:eastAsia="宋体" w:cs="宋体"/>
          <w:color w:val="auto"/>
          <w:highlight w:val="none"/>
        </w:rPr>
        <w:t>第一章  招标公告</w:t>
      </w:r>
      <w:bookmarkEnd w:id="5"/>
      <w:bookmarkEnd w:id="6"/>
      <w:bookmarkEnd w:id="7"/>
      <w:bookmarkStart w:id="8" w:name="_Toc32222"/>
    </w:p>
    <w:p w14:paraId="778BB957">
      <w:pPr>
        <w:keepNext w:val="0"/>
        <w:keepLines w:val="0"/>
        <w:pageBreakBefore w:val="0"/>
        <w:kinsoku/>
        <w:wordWrap/>
        <w:overflowPunct/>
        <w:topLinePunct w:val="0"/>
        <w:autoSpaceDE/>
        <w:autoSpaceDN/>
        <w:bidi w:val="0"/>
        <w:adjustRightInd/>
        <w:snapToGrid/>
        <w:spacing w:line="440" w:lineRule="exact"/>
        <w:ind w:firstLine="562" w:firstLineChars="200"/>
        <w:jc w:val="center"/>
        <w:textAlignment w:val="auto"/>
        <w:rPr>
          <w:rFonts w:hint="eastAsia" w:ascii="宋体" w:hAnsi="宋体" w:eastAsia="宋体" w:cs="宋体"/>
          <w:b/>
          <w:color w:val="auto"/>
          <w:szCs w:val="28"/>
          <w:highlight w:val="none"/>
        </w:rPr>
      </w:pPr>
      <w:bookmarkStart w:id="9" w:name="_Toc32301"/>
      <w:r>
        <w:rPr>
          <w:rFonts w:hint="eastAsia" w:ascii="宋体" w:hAnsi="宋体" w:eastAsia="宋体" w:cs="宋体"/>
          <w:b/>
          <w:color w:val="auto"/>
          <w:szCs w:val="28"/>
          <w:highlight w:val="none"/>
          <w:lang w:eastAsia="zh-CN"/>
        </w:rPr>
        <w:t>封丘县李庄镇人民政府封丘县李庄镇老年人体育健身示范园建设项目（二次）</w:t>
      </w:r>
      <w:r>
        <w:rPr>
          <w:rFonts w:hint="eastAsia" w:ascii="宋体" w:hAnsi="宋体" w:eastAsia="宋体" w:cs="宋体"/>
          <w:b/>
          <w:color w:val="auto"/>
          <w:szCs w:val="28"/>
          <w:highlight w:val="none"/>
        </w:rPr>
        <w:t>招标公告</w:t>
      </w:r>
      <w:bookmarkEnd w:id="9"/>
    </w:p>
    <w:p w14:paraId="74FFAAE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项目概况： </w:t>
      </w:r>
    </w:p>
    <w:p w14:paraId="2DD0E8D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封丘县李庄镇人民政府封丘县李庄镇老年人体育健身示范园建设项目（二次）</w:t>
      </w:r>
      <w:r>
        <w:rPr>
          <w:rFonts w:hint="eastAsia" w:ascii="宋体" w:hAnsi="宋体" w:eastAsia="宋体" w:cs="宋体"/>
          <w:color w:val="auto"/>
          <w:sz w:val="21"/>
          <w:szCs w:val="21"/>
          <w:highlight w:val="none"/>
        </w:rPr>
        <w:t>的潜在投标人应在新乡市公共资源交易中心网获取招标文件，并于2025年03月27日</w:t>
      </w:r>
      <w:r>
        <w:rPr>
          <w:rFonts w:hint="eastAsia" w:ascii="宋体" w:hAnsi="宋体" w:eastAsia="宋体" w:cs="宋体"/>
          <w:color w:val="auto"/>
          <w:sz w:val="21"/>
          <w:szCs w:val="21"/>
          <w:highlight w:val="none"/>
          <w:lang w:eastAsia="zh-CN"/>
        </w:rPr>
        <w:t>08时30分</w:t>
      </w:r>
      <w:r>
        <w:rPr>
          <w:rFonts w:hint="eastAsia" w:ascii="宋体" w:hAnsi="宋体" w:eastAsia="宋体" w:cs="宋体"/>
          <w:color w:val="auto"/>
          <w:sz w:val="21"/>
          <w:szCs w:val="21"/>
          <w:highlight w:val="none"/>
        </w:rPr>
        <w:t>（北京时间）前提交投标文件。</w:t>
      </w:r>
    </w:p>
    <w:p w14:paraId="3508F03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10" w:name="_Toc19460"/>
      <w:r>
        <w:rPr>
          <w:rFonts w:hint="eastAsia" w:ascii="宋体" w:hAnsi="宋体" w:eastAsia="宋体" w:cs="宋体"/>
          <w:color w:val="auto"/>
          <w:sz w:val="21"/>
          <w:szCs w:val="21"/>
          <w:highlight w:val="none"/>
        </w:rPr>
        <w:t>一、项目基本情况</w:t>
      </w:r>
      <w:bookmarkEnd w:id="10"/>
      <w:r>
        <w:rPr>
          <w:rFonts w:hint="eastAsia" w:ascii="宋体" w:hAnsi="宋体" w:eastAsia="宋体" w:cs="宋体"/>
          <w:color w:val="auto"/>
          <w:sz w:val="21"/>
          <w:szCs w:val="21"/>
          <w:highlight w:val="none"/>
        </w:rPr>
        <w:t xml:space="preserve"> </w:t>
      </w:r>
    </w:p>
    <w:p w14:paraId="494768D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bookmarkStart w:id="11" w:name="_Toc8537"/>
      <w:r>
        <w:rPr>
          <w:rFonts w:hint="eastAsia" w:ascii="宋体" w:hAnsi="宋体" w:eastAsia="宋体" w:cs="宋体"/>
          <w:color w:val="auto"/>
          <w:sz w:val="21"/>
          <w:szCs w:val="21"/>
          <w:highlight w:val="none"/>
        </w:rPr>
        <w:t>1、项目编号：</w:t>
      </w:r>
      <w:bookmarkEnd w:id="11"/>
      <w:r>
        <w:rPr>
          <w:rFonts w:hint="eastAsia" w:ascii="宋体" w:hAnsi="宋体" w:eastAsia="宋体" w:cs="宋体"/>
          <w:color w:val="auto"/>
          <w:sz w:val="21"/>
          <w:szCs w:val="21"/>
          <w:highlight w:val="none"/>
        </w:rPr>
        <w:t>封财招标采购-2025-5</w:t>
      </w:r>
      <w:r>
        <w:rPr>
          <w:rFonts w:hint="eastAsia" w:ascii="宋体" w:hAnsi="宋体" w:eastAsia="宋体" w:cs="宋体"/>
          <w:color w:val="auto"/>
          <w:sz w:val="21"/>
          <w:szCs w:val="21"/>
          <w:highlight w:val="none"/>
          <w:lang w:val="en-US" w:eastAsia="zh-CN"/>
        </w:rPr>
        <w:t xml:space="preserve">  </w:t>
      </w:r>
    </w:p>
    <w:p w14:paraId="2E3ABBB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eastAsia="zh-CN"/>
        </w:rPr>
        <w:t>封丘县李庄镇人民政府封丘县李庄镇老年人体育健身示范园建设项目（二次）</w:t>
      </w:r>
      <w:r>
        <w:rPr>
          <w:rFonts w:hint="eastAsia" w:ascii="宋体" w:hAnsi="宋体" w:eastAsia="宋体" w:cs="宋体"/>
          <w:color w:val="auto"/>
          <w:sz w:val="21"/>
          <w:szCs w:val="21"/>
          <w:highlight w:val="none"/>
          <w:lang w:eastAsia="zh-CN"/>
        </w:rPr>
        <w:t xml:space="preserve"> </w:t>
      </w:r>
    </w:p>
    <w:p w14:paraId="08B3A25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3、采购方式：公开招标</w:t>
      </w:r>
    </w:p>
    <w:p w14:paraId="2ED95CA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4、预算金额：</w:t>
      </w:r>
      <w:r>
        <w:rPr>
          <w:rFonts w:hint="eastAsia" w:ascii="宋体" w:hAnsi="宋体" w:eastAsia="宋体" w:cs="宋体"/>
          <w:color w:val="auto"/>
          <w:sz w:val="21"/>
          <w:szCs w:val="21"/>
          <w:highlight w:val="none"/>
          <w:lang w:val="en-US" w:eastAsia="zh-CN"/>
        </w:rPr>
        <w:t>200万元</w:t>
      </w: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125</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lang w:val="en-US" w:eastAsia="zh-CN"/>
        </w:rPr>
        <w:t>；</w:t>
      </w:r>
    </w:p>
    <w:p w14:paraId="44761242">
      <w:pPr>
        <w:keepNext w:val="0"/>
        <w:keepLines w:val="0"/>
        <w:pageBreakBefore w:val="0"/>
        <w:kinsoku/>
        <w:wordWrap/>
        <w:overflowPunct/>
        <w:topLinePunct w:val="0"/>
        <w:autoSpaceDE/>
        <w:autoSpaceDN/>
        <w:bidi w:val="0"/>
        <w:adjustRightInd/>
        <w:snapToGrid/>
        <w:spacing w:line="440" w:lineRule="exact"/>
        <w:ind w:firstLine="840" w:firstLineChars="4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其中二标段125万元</w:t>
      </w:r>
    </w:p>
    <w:p w14:paraId="284CA0A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5、采购需求：（包括但不限于标的的名称、数量、简要技术需求或服务要求等）</w:t>
      </w:r>
    </w:p>
    <w:p w14:paraId="1E8A33C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5.1采购内容：设备配置等;（详见第五章采购需求及具体要求）；</w:t>
      </w:r>
    </w:p>
    <w:p w14:paraId="5B5673D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5.2质量要求：</w:t>
      </w:r>
      <w:r>
        <w:rPr>
          <w:rFonts w:hint="eastAsia" w:ascii="宋体" w:hAnsi="宋体" w:eastAsia="宋体" w:cs="宋体"/>
          <w:color w:val="auto"/>
          <w:sz w:val="21"/>
          <w:szCs w:val="21"/>
          <w:highlight w:val="none"/>
          <w:lang w:val="en-US" w:eastAsia="zh-CN"/>
        </w:rPr>
        <w:t>合格</w:t>
      </w:r>
    </w:p>
    <w:p w14:paraId="7D858FE3">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标段划分：</w:t>
      </w:r>
      <w:bookmarkStart w:id="85" w:name="_GoBack"/>
      <w:bookmarkEnd w:id="85"/>
      <w:r>
        <w:rPr>
          <w:rFonts w:hint="eastAsia" w:ascii="宋体" w:hAnsi="宋体" w:eastAsia="宋体" w:cs="宋体"/>
          <w:color w:val="auto"/>
          <w:sz w:val="21"/>
          <w:szCs w:val="21"/>
          <w:highlight w:val="none"/>
          <w:lang w:val="en-US" w:eastAsia="zh-CN"/>
        </w:rPr>
        <w:t>本项目划分为两个标段，</w:t>
      </w:r>
      <w:r>
        <w:rPr>
          <w:rFonts w:hint="eastAsia" w:ascii="宋体" w:hAnsi="宋体" w:eastAsia="宋体" w:cs="宋体"/>
          <w:color w:val="auto"/>
          <w:sz w:val="21"/>
          <w:szCs w:val="21"/>
          <w:highlight w:val="none"/>
        </w:rPr>
        <w:t>本次招标</w:t>
      </w:r>
      <w:r>
        <w:rPr>
          <w:rFonts w:hint="eastAsia" w:ascii="宋体" w:hAnsi="宋体" w:eastAsia="宋体" w:cs="宋体"/>
          <w:color w:val="auto"/>
          <w:sz w:val="21"/>
          <w:szCs w:val="21"/>
          <w:highlight w:val="none"/>
          <w:lang w:val="en-US" w:eastAsia="zh-CN"/>
        </w:rPr>
        <w:t>为第二标段</w:t>
      </w:r>
      <w:r>
        <w:rPr>
          <w:rFonts w:hint="eastAsia" w:ascii="宋体" w:hAnsi="宋体" w:eastAsia="宋体" w:cs="宋体"/>
          <w:color w:val="auto"/>
          <w:sz w:val="21"/>
          <w:szCs w:val="21"/>
          <w:highlight w:val="none"/>
        </w:rPr>
        <w:t>；</w:t>
      </w:r>
    </w:p>
    <w:p w14:paraId="5D14967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资金来源和落实情况：财政性资金，已落实；</w:t>
      </w:r>
    </w:p>
    <w:p w14:paraId="664AE9C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5交货</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采购人指定地点</w:t>
      </w:r>
    </w:p>
    <w:p w14:paraId="0CCA7A75">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6、合同履行期限：90日历天</w:t>
      </w:r>
    </w:p>
    <w:p w14:paraId="3E99546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7、本项目是否接受联合体投标：否</w:t>
      </w:r>
    </w:p>
    <w:p w14:paraId="1520DAC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8、是否接受进口产品：否</w:t>
      </w:r>
    </w:p>
    <w:p w14:paraId="1CA8D1B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9、是否专门面向中小企业：</w:t>
      </w:r>
      <w:r>
        <w:rPr>
          <w:rFonts w:hint="eastAsia" w:ascii="宋体" w:hAnsi="宋体" w:eastAsia="宋体" w:cs="宋体"/>
          <w:color w:val="auto"/>
          <w:sz w:val="21"/>
          <w:szCs w:val="21"/>
          <w:highlight w:val="none"/>
          <w:lang w:val="en-US" w:eastAsia="zh-CN"/>
        </w:rPr>
        <w:t>否</w:t>
      </w:r>
    </w:p>
    <w:p w14:paraId="278B63D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12" w:name="_Toc26363"/>
      <w:r>
        <w:rPr>
          <w:rFonts w:hint="eastAsia" w:ascii="宋体" w:hAnsi="宋体" w:eastAsia="宋体" w:cs="宋体"/>
          <w:color w:val="auto"/>
          <w:sz w:val="21"/>
          <w:szCs w:val="21"/>
          <w:highlight w:val="none"/>
        </w:rPr>
        <w:t>二、申请人资格要求</w:t>
      </w:r>
      <w:bookmarkEnd w:id="12"/>
      <w:r>
        <w:rPr>
          <w:rFonts w:hint="eastAsia" w:ascii="宋体" w:hAnsi="宋体" w:eastAsia="宋体" w:cs="宋体"/>
          <w:color w:val="auto"/>
          <w:sz w:val="21"/>
          <w:szCs w:val="21"/>
          <w:highlight w:val="none"/>
        </w:rPr>
        <w:t xml:space="preserve"> </w:t>
      </w:r>
    </w:p>
    <w:p w14:paraId="7A60D9C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13" w:name="_Toc32420"/>
      <w:r>
        <w:rPr>
          <w:rFonts w:hint="eastAsia" w:ascii="宋体" w:hAnsi="宋体" w:eastAsia="宋体" w:cs="宋体"/>
          <w:color w:val="auto"/>
          <w:sz w:val="21"/>
          <w:szCs w:val="21"/>
          <w:highlight w:val="none"/>
        </w:rPr>
        <w:t>1、满足《中华人民共和国政府采购法》第二十二条规定；</w:t>
      </w:r>
      <w:bookmarkEnd w:id="13"/>
      <w:r>
        <w:rPr>
          <w:rFonts w:hint="eastAsia" w:ascii="宋体" w:hAnsi="宋体" w:eastAsia="宋体" w:cs="宋体"/>
          <w:color w:val="auto"/>
          <w:sz w:val="21"/>
          <w:szCs w:val="21"/>
          <w:highlight w:val="none"/>
        </w:rPr>
        <w:t xml:space="preserve"> </w:t>
      </w:r>
    </w:p>
    <w:p w14:paraId="50DA5DA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2、落实政府采购政策需满足的资格要求：本项目执行节约能源、保护环境、扶持不发达地区和少数民族地区、促进中小企业发展、促进残疾人就业、促进监狱企业发展等政府采购政策；</w:t>
      </w:r>
    </w:p>
    <w:p w14:paraId="61E04E3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3、本项目的特定资格条件：</w:t>
      </w:r>
      <w:bookmarkStart w:id="14" w:name="_Toc20380"/>
      <w:r>
        <w:rPr>
          <w:rFonts w:hint="eastAsia" w:ascii="宋体" w:hAnsi="宋体" w:eastAsia="宋体" w:cs="宋体"/>
          <w:color w:val="auto"/>
          <w:sz w:val="21"/>
          <w:szCs w:val="21"/>
          <w:highlight w:val="none"/>
        </w:rPr>
        <w:t>（1）信誉要求：本项目投标截止日期前被“信用中国”网站列入失信被执行人和重大税收违法失信主体的、被“中国政府采购网”网站列入政府采购严重违法失信行为记录名单（处罚期限尚未届满的），不得参与本项目的政府采购活动（只需提供信誉承诺书）；（2）</w:t>
      </w:r>
      <w:r>
        <w:rPr>
          <w:rFonts w:hint="eastAsia" w:ascii="宋体" w:hAnsi="宋体" w:eastAsia="宋体" w:cs="宋体"/>
          <w:color w:val="auto"/>
          <w:sz w:val="21"/>
          <w:szCs w:val="21"/>
          <w:highlight w:val="none"/>
          <w:lang w:val="en-US" w:eastAsia="zh-CN"/>
        </w:rPr>
        <w:t>二标段：</w:t>
      </w:r>
      <w:r>
        <w:rPr>
          <w:rFonts w:hint="eastAsia" w:ascii="宋体" w:hAnsi="宋体" w:eastAsia="宋体" w:cs="宋体"/>
          <w:color w:val="auto"/>
          <w:sz w:val="21"/>
          <w:szCs w:val="21"/>
          <w:highlight w:val="none"/>
        </w:rPr>
        <w:t>具备独立的法人资格，具有有效的营业执照；</w:t>
      </w:r>
    </w:p>
    <w:p w14:paraId="566738A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三、获取招标文件</w:t>
      </w:r>
      <w:bookmarkEnd w:id="14"/>
    </w:p>
    <w:p w14:paraId="12EC7D3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val="en-US" w:eastAsia="zh-CN"/>
        </w:rPr>
        <w:t>2025年03月07日</w:t>
      </w:r>
      <w:r>
        <w:rPr>
          <w:rFonts w:hint="eastAsia" w:ascii="宋体" w:hAnsi="宋体" w:eastAsia="宋体" w:cs="宋体"/>
          <w:color w:val="auto"/>
          <w:sz w:val="21"/>
          <w:szCs w:val="21"/>
          <w:highlight w:val="none"/>
          <w:lang w:eastAsia="zh-CN"/>
        </w:rPr>
        <w:t xml:space="preserve"> 08:00 时至</w:t>
      </w:r>
      <w:r>
        <w:rPr>
          <w:rFonts w:hint="eastAsia" w:ascii="宋体" w:hAnsi="宋体" w:eastAsia="宋体" w:cs="宋体"/>
          <w:color w:val="auto"/>
          <w:sz w:val="21"/>
          <w:szCs w:val="21"/>
          <w:highlight w:val="none"/>
          <w:lang w:val="en-US" w:eastAsia="zh-CN"/>
        </w:rPr>
        <w:t xml:space="preserve"> 2025 年03月13日</w:t>
      </w:r>
      <w:r>
        <w:rPr>
          <w:rFonts w:hint="eastAsia" w:ascii="宋体" w:hAnsi="宋体" w:eastAsia="宋体" w:cs="宋体"/>
          <w:color w:val="auto"/>
          <w:sz w:val="21"/>
          <w:szCs w:val="21"/>
          <w:highlight w:val="none"/>
          <w:lang w:eastAsia="zh-CN"/>
        </w:rPr>
        <w:t xml:space="preserve"> 18:00 时</w:t>
      </w:r>
      <w:r>
        <w:rPr>
          <w:rFonts w:hint="eastAsia" w:ascii="宋体" w:hAnsi="宋体" w:eastAsia="宋体" w:cs="宋体"/>
          <w:color w:val="auto"/>
          <w:sz w:val="21"/>
          <w:szCs w:val="21"/>
          <w:highlight w:val="none"/>
        </w:rPr>
        <w:t xml:space="preserve">（北京时间，法定节假日除外）； </w:t>
      </w:r>
    </w:p>
    <w:p w14:paraId="097E536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15" w:name="_Toc25082"/>
      <w:r>
        <w:rPr>
          <w:rFonts w:hint="eastAsia" w:ascii="宋体" w:hAnsi="宋体" w:eastAsia="宋体" w:cs="宋体"/>
          <w:color w:val="auto"/>
          <w:sz w:val="21"/>
          <w:szCs w:val="21"/>
          <w:highlight w:val="none"/>
        </w:rPr>
        <w:t>2、地点：新乡市公共资源交易中心网；</w:t>
      </w:r>
      <w:bookmarkEnd w:id="15"/>
      <w:r>
        <w:rPr>
          <w:rFonts w:hint="eastAsia" w:ascii="宋体" w:hAnsi="宋体" w:eastAsia="宋体" w:cs="宋体"/>
          <w:color w:val="auto"/>
          <w:sz w:val="21"/>
          <w:szCs w:val="21"/>
          <w:highlight w:val="none"/>
        </w:rPr>
        <w:t xml:space="preserve"> </w:t>
      </w:r>
    </w:p>
    <w:p w14:paraId="1517D20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3、方式：供应商须注册成为新乡市公共资源交易中心网站会员并取得 CA 密钥，凭 CA 密钥 </w:t>
      </w:r>
      <w:r>
        <w:rPr>
          <w:rFonts w:hint="eastAsia" w:ascii="宋体" w:hAnsi="宋体" w:eastAsia="宋体" w:cs="宋体"/>
          <w:color w:val="auto"/>
          <w:sz w:val="21"/>
          <w:szCs w:val="21"/>
          <w:highlight w:val="none"/>
          <w:lang w:eastAsia="zh-CN"/>
        </w:rPr>
        <w:t>登录会员专区</w:t>
      </w:r>
      <w:r>
        <w:rPr>
          <w:rFonts w:hint="eastAsia" w:ascii="宋体" w:hAnsi="宋体" w:eastAsia="宋体" w:cs="宋体"/>
          <w:color w:val="auto"/>
          <w:sz w:val="21"/>
          <w:szCs w:val="21"/>
          <w:highlight w:val="none"/>
        </w:rPr>
        <w:t xml:space="preserve">并按网上提示自行下载采购文件(.xxzf 格式)及资料（详见新乡市公共资源交易中心网/办事指南-服务指南）； </w:t>
      </w:r>
    </w:p>
    <w:p w14:paraId="49EE1EA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16" w:name="_Toc29326"/>
      <w:r>
        <w:rPr>
          <w:rFonts w:hint="eastAsia" w:ascii="宋体" w:hAnsi="宋体" w:eastAsia="宋体" w:cs="宋体"/>
          <w:color w:val="auto"/>
          <w:sz w:val="21"/>
          <w:szCs w:val="21"/>
          <w:highlight w:val="none"/>
        </w:rPr>
        <w:t>4、售价：0 元。</w:t>
      </w:r>
      <w:bookmarkEnd w:id="16"/>
    </w:p>
    <w:p w14:paraId="6DB00104">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bookmarkStart w:id="17" w:name="_Toc9334"/>
      <w:r>
        <w:rPr>
          <w:rFonts w:hint="eastAsia" w:ascii="宋体" w:hAnsi="宋体" w:eastAsia="宋体" w:cs="宋体"/>
          <w:color w:val="auto"/>
          <w:kern w:val="0"/>
          <w:sz w:val="21"/>
          <w:szCs w:val="21"/>
          <w:highlight w:val="none"/>
        </w:rPr>
        <w:t>四、投标截止时间及地点</w:t>
      </w:r>
      <w:bookmarkEnd w:id="17"/>
    </w:p>
    <w:p w14:paraId="0853032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1、时间：2025年03月27日</w:t>
      </w:r>
      <w:r>
        <w:rPr>
          <w:rFonts w:hint="eastAsia" w:ascii="宋体" w:hAnsi="宋体" w:eastAsia="宋体" w:cs="宋体"/>
          <w:color w:val="auto"/>
          <w:sz w:val="21"/>
          <w:szCs w:val="21"/>
          <w:highlight w:val="none"/>
          <w:lang w:val="en-US" w:eastAsia="zh-CN"/>
        </w:rPr>
        <w:t>08时30分</w:t>
      </w:r>
      <w:r>
        <w:rPr>
          <w:rFonts w:hint="eastAsia" w:ascii="宋体" w:hAnsi="宋体" w:eastAsia="宋体" w:cs="宋体"/>
          <w:color w:val="auto"/>
          <w:sz w:val="21"/>
          <w:szCs w:val="21"/>
          <w:highlight w:val="none"/>
        </w:rPr>
        <w:t>（北京时间）</w:t>
      </w:r>
    </w:p>
    <w:p w14:paraId="0B85BA9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2、地点：</w:t>
      </w:r>
      <w:r>
        <w:rPr>
          <w:rFonts w:hint="eastAsia" w:ascii="宋体" w:hAnsi="宋体" w:eastAsia="宋体" w:cs="宋体"/>
          <w:color w:val="auto"/>
          <w:sz w:val="21"/>
          <w:szCs w:val="21"/>
          <w:highlight w:val="none"/>
        </w:rPr>
        <w:t>各供应商应在投标截止时间前，通过新乡市电子招投标交易平台上传加密的电子投标文件（.xxTF）。上传时必须得到电脑“上传成功”的确认回复后方为上传成功。请各供应商在上传前务必认真检查上传电子投标文件是否完整、正确</w:t>
      </w:r>
      <w:r>
        <w:rPr>
          <w:rFonts w:hint="eastAsia" w:ascii="宋体" w:hAnsi="宋体" w:eastAsia="宋体" w:cs="宋体"/>
          <w:color w:val="auto"/>
          <w:kern w:val="0"/>
          <w:sz w:val="21"/>
          <w:szCs w:val="21"/>
          <w:highlight w:val="none"/>
        </w:rPr>
        <w:t>。</w:t>
      </w:r>
    </w:p>
    <w:p w14:paraId="23FE43D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bookmarkStart w:id="18" w:name="_Toc29636"/>
      <w:r>
        <w:rPr>
          <w:rFonts w:hint="eastAsia" w:ascii="宋体" w:hAnsi="宋体" w:eastAsia="宋体" w:cs="宋体"/>
          <w:color w:val="auto"/>
          <w:kern w:val="0"/>
          <w:sz w:val="21"/>
          <w:szCs w:val="21"/>
          <w:highlight w:val="none"/>
        </w:rPr>
        <w:t>五、开标时间及地点</w:t>
      </w:r>
      <w:bookmarkEnd w:id="18"/>
    </w:p>
    <w:p w14:paraId="099CD8E0">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1、时间：2025年03月27日</w:t>
      </w:r>
      <w:r>
        <w:rPr>
          <w:rFonts w:hint="eastAsia" w:ascii="宋体" w:hAnsi="宋体" w:eastAsia="宋体" w:cs="宋体"/>
          <w:color w:val="auto"/>
          <w:sz w:val="21"/>
          <w:szCs w:val="21"/>
          <w:highlight w:val="none"/>
          <w:lang w:val="en-US" w:eastAsia="zh-CN"/>
        </w:rPr>
        <w:t>08时30分</w:t>
      </w:r>
      <w:r>
        <w:rPr>
          <w:rFonts w:hint="eastAsia" w:ascii="宋体" w:hAnsi="宋体" w:eastAsia="宋体" w:cs="宋体"/>
          <w:color w:val="auto"/>
          <w:sz w:val="21"/>
          <w:szCs w:val="21"/>
          <w:highlight w:val="none"/>
        </w:rPr>
        <w:t>（北京时间）；</w:t>
      </w:r>
      <w:r>
        <w:rPr>
          <w:rFonts w:hint="eastAsia" w:ascii="宋体" w:hAnsi="宋体" w:eastAsia="宋体" w:cs="宋体"/>
          <w:color w:val="auto"/>
          <w:sz w:val="21"/>
          <w:szCs w:val="21"/>
          <w:highlight w:val="none"/>
        </w:rPr>
        <w:t xml:space="preserve"> </w:t>
      </w:r>
    </w:p>
    <w:p w14:paraId="5E9AE59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9" w:name="_Toc26359"/>
      <w:r>
        <w:rPr>
          <w:rFonts w:hint="eastAsia" w:ascii="宋体" w:hAnsi="宋体" w:eastAsia="宋体" w:cs="宋体"/>
          <w:color w:val="auto"/>
          <w:sz w:val="21"/>
          <w:szCs w:val="21"/>
          <w:highlight w:val="none"/>
        </w:rPr>
        <w:t>2、地点：封丘县公共资源交易中</w:t>
      </w:r>
      <w:r>
        <w:rPr>
          <w:rFonts w:hint="eastAsia" w:ascii="宋体" w:hAnsi="宋体" w:eastAsia="宋体" w:cs="宋体"/>
          <w:color w:val="auto"/>
          <w:sz w:val="21"/>
          <w:szCs w:val="21"/>
          <w:highlight w:val="none"/>
          <w:lang w:val="en-US" w:eastAsia="zh-CN"/>
        </w:rPr>
        <w:t>心第 1开标室。</w:t>
      </w:r>
      <w:bookmarkEnd w:id="19"/>
    </w:p>
    <w:p w14:paraId="559F34CD">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bookmarkStart w:id="20" w:name="_Toc31095"/>
      <w:r>
        <w:rPr>
          <w:rFonts w:hint="eastAsia" w:ascii="宋体" w:hAnsi="宋体" w:eastAsia="宋体" w:cs="宋体"/>
          <w:color w:val="auto"/>
          <w:kern w:val="0"/>
          <w:sz w:val="21"/>
          <w:szCs w:val="21"/>
          <w:highlight w:val="none"/>
        </w:rPr>
        <w:t>六、发布公告的媒介及招标公告期限</w:t>
      </w:r>
      <w:bookmarkEnd w:id="20"/>
    </w:p>
    <w:p w14:paraId="331D0732">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本次招标公告在《河南省政府采购网》、《新乡市政府采购网》、《新乡市公共资源交易中心网》、《中国招标投标公共服务平台》、《河南省电子招标投标公共服务平台》上发布， 招标公告期限为五个工作日。</w:t>
      </w:r>
    </w:p>
    <w:p w14:paraId="3364CBA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bookmarkStart w:id="21" w:name="_Toc3934"/>
      <w:r>
        <w:rPr>
          <w:rFonts w:hint="eastAsia" w:ascii="宋体" w:hAnsi="宋体" w:eastAsia="宋体" w:cs="宋体"/>
          <w:color w:val="auto"/>
          <w:kern w:val="0"/>
          <w:sz w:val="21"/>
          <w:szCs w:val="21"/>
          <w:highlight w:val="none"/>
        </w:rPr>
        <w:t>七、其他补充事宜</w:t>
      </w:r>
      <w:bookmarkEnd w:id="21"/>
    </w:p>
    <w:p w14:paraId="42045024">
      <w:pPr>
        <w:pStyle w:val="38"/>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1、本项目采用“远程不见面”开标方式，供应商无需到封丘县公共资源交易中心现场参加开标会议，无需到达现场提交原件资料。投标人应当在投标截止时间前，登录中心门户网站 ––“智能开标大厅”，在线准时参加开标活动，并在规定时间内进行投标文件解密、答疑澄清等。各潜在投标人因加密电子投标文件未能成功上传，其投标将被拒绝。投标人需在开标截止时间后30分钟内完成解密，否则造成的一切后果由投标人自行负责。具体事宜请查阅“智能开标大厅”首页右上角“操作指南”</w:t>
      </w:r>
      <w:r>
        <w:rPr>
          <w:rFonts w:hint="eastAsia" w:ascii="宋体" w:hAnsi="宋体" w:eastAsia="宋体" w:cs="宋体"/>
          <w:b/>
          <w:bCs/>
          <w:color w:val="auto"/>
          <w:sz w:val="21"/>
          <w:szCs w:val="21"/>
          <w:highlight w:val="none"/>
        </w:rPr>
        <w:t>。</w:t>
      </w:r>
    </w:p>
    <w:p w14:paraId="6B8966E8">
      <w:pPr>
        <w:pStyle w:val="38"/>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22" w:name="_Toc28776"/>
      <w:r>
        <w:rPr>
          <w:rFonts w:hint="eastAsia" w:ascii="宋体" w:hAnsi="宋体" w:eastAsia="宋体" w:cs="宋体"/>
          <w:color w:val="auto"/>
          <w:sz w:val="21"/>
          <w:szCs w:val="21"/>
          <w:highlight w:val="none"/>
        </w:rPr>
        <w:t>2、监督部门及电话：</w:t>
      </w:r>
      <w:bookmarkEnd w:id="22"/>
    </w:p>
    <w:p w14:paraId="0F78050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封丘县财政局：0373-8280638 </w:t>
      </w:r>
    </w:p>
    <w:p w14:paraId="2091DBF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八、对本次采购提出询问，请按以下方式联系。</w:t>
      </w:r>
    </w:p>
    <w:p w14:paraId="47319642">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1、采购人信息</w:t>
      </w:r>
    </w:p>
    <w:p w14:paraId="3BFA85A3">
      <w:pPr>
        <w:keepNext w:val="0"/>
        <w:keepLines w:val="0"/>
        <w:pageBreakBefore w:val="0"/>
        <w:widowControl/>
        <w:kinsoku/>
        <w:wordWrap/>
        <w:overflowPunct/>
        <w:topLinePunct w:val="0"/>
        <w:autoSpaceDE/>
        <w:autoSpaceDN/>
        <w:bidi w:val="0"/>
        <w:adjustRightInd/>
        <w:snapToGrid/>
        <w:spacing w:line="460" w:lineRule="exact"/>
        <w:ind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名称：封丘县李庄镇人民政府</w:t>
      </w:r>
    </w:p>
    <w:p w14:paraId="5897111C">
      <w:pPr>
        <w:keepNext w:val="0"/>
        <w:keepLines w:val="0"/>
        <w:pageBreakBefore w:val="0"/>
        <w:widowControl/>
        <w:kinsoku/>
        <w:wordWrap/>
        <w:overflowPunct/>
        <w:topLinePunct w:val="0"/>
        <w:autoSpaceDE/>
        <w:autoSpaceDN/>
        <w:bidi w:val="0"/>
        <w:adjustRightInd/>
        <w:snapToGrid/>
        <w:spacing w:line="460" w:lineRule="exact"/>
        <w:ind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地址：封丘县李庄镇</w:t>
      </w:r>
    </w:p>
    <w:p w14:paraId="358002C9">
      <w:pPr>
        <w:keepNext w:val="0"/>
        <w:keepLines w:val="0"/>
        <w:pageBreakBefore w:val="0"/>
        <w:widowControl/>
        <w:kinsoku/>
        <w:wordWrap/>
        <w:overflowPunct/>
        <w:topLinePunct w:val="0"/>
        <w:autoSpaceDE/>
        <w:autoSpaceDN/>
        <w:bidi w:val="0"/>
        <w:adjustRightInd/>
        <w:snapToGrid/>
        <w:spacing w:line="460" w:lineRule="exact"/>
        <w:ind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联系人：邵珠丙</w:t>
      </w:r>
    </w:p>
    <w:p w14:paraId="79162833">
      <w:pPr>
        <w:keepNext w:val="0"/>
        <w:keepLines w:val="0"/>
        <w:pageBreakBefore w:val="0"/>
        <w:widowControl/>
        <w:kinsoku/>
        <w:wordWrap/>
        <w:overflowPunct/>
        <w:topLinePunct w:val="0"/>
        <w:autoSpaceDE/>
        <w:autoSpaceDN/>
        <w:bidi w:val="0"/>
        <w:adjustRightInd/>
        <w:snapToGrid/>
        <w:spacing w:line="460" w:lineRule="exact"/>
        <w:ind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话：15037327767</w:t>
      </w:r>
    </w:p>
    <w:p w14:paraId="56946433">
      <w:pPr>
        <w:keepNext w:val="0"/>
        <w:keepLines w:val="0"/>
        <w:pageBreakBefore w:val="0"/>
        <w:widowControl/>
        <w:kinsoku/>
        <w:wordWrap/>
        <w:overflowPunct/>
        <w:topLinePunct w:val="0"/>
        <w:autoSpaceDE/>
        <w:autoSpaceDN/>
        <w:bidi w:val="0"/>
        <w:adjustRightInd/>
        <w:snapToGrid/>
        <w:spacing w:line="460" w:lineRule="exact"/>
        <w:ind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2、采购代理机构信息</w:t>
      </w:r>
    </w:p>
    <w:p w14:paraId="5E31556D">
      <w:pPr>
        <w:keepNext w:val="0"/>
        <w:keepLines w:val="0"/>
        <w:pageBreakBefore w:val="0"/>
        <w:widowControl/>
        <w:kinsoku/>
        <w:wordWrap/>
        <w:overflowPunct/>
        <w:topLinePunct w:val="0"/>
        <w:autoSpaceDE/>
        <w:autoSpaceDN/>
        <w:bidi w:val="0"/>
        <w:adjustRightInd/>
        <w:snapToGrid/>
        <w:spacing w:line="460" w:lineRule="exact"/>
        <w:ind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名称：新乡市丰成工程管理有限公司</w:t>
      </w:r>
    </w:p>
    <w:p w14:paraId="6207B1BD">
      <w:pPr>
        <w:keepNext w:val="0"/>
        <w:keepLines w:val="0"/>
        <w:pageBreakBefore w:val="0"/>
        <w:widowControl/>
        <w:kinsoku/>
        <w:wordWrap/>
        <w:overflowPunct/>
        <w:topLinePunct w:val="0"/>
        <w:autoSpaceDE/>
        <w:autoSpaceDN/>
        <w:bidi w:val="0"/>
        <w:adjustRightInd/>
        <w:snapToGrid/>
        <w:spacing w:line="460" w:lineRule="exact"/>
        <w:ind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地址：河南省新乡市封丘县幸福路中段1348号</w:t>
      </w:r>
    </w:p>
    <w:p w14:paraId="6875AF93">
      <w:pPr>
        <w:keepNext w:val="0"/>
        <w:keepLines w:val="0"/>
        <w:pageBreakBefore w:val="0"/>
        <w:widowControl w:val="0"/>
        <w:kinsoku/>
        <w:wordWrap/>
        <w:overflowPunct/>
        <w:topLinePunct w:val="0"/>
        <w:autoSpaceDE/>
        <w:autoSpaceDN/>
        <w:bidi w:val="0"/>
        <w:adjustRightInd/>
        <w:snapToGrid/>
        <w:spacing w:line="460" w:lineRule="exact"/>
        <w:ind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刘高正</w:t>
      </w:r>
    </w:p>
    <w:p w14:paraId="3047BA0F">
      <w:pPr>
        <w:keepNext w:val="0"/>
        <w:keepLines w:val="0"/>
        <w:pageBreakBefore w:val="0"/>
        <w:widowControl w:val="0"/>
        <w:kinsoku/>
        <w:wordWrap/>
        <w:overflowPunct/>
        <w:topLinePunct w:val="0"/>
        <w:autoSpaceDE/>
        <w:autoSpaceDN/>
        <w:bidi w:val="0"/>
        <w:adjustRightInd/>
        <w:snapToGrid/>
        <w:spacing w:line="460" w:lineRule="exact"/>
        <w:ind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联系电话：</w:t>
      </w:r>
      <w:r>
        <w:rPr>
          <w:rFonts w:hint="eastAsia" w:ascii="宋体" w:hAnsi="宋体" w:eastAsia="宋体" w:cs="宋体"/>
          <w:color w:val="auto"/>
          <w:sz w:val="21"/>
          <w:szCs w:val="21"/>
          <w:highlight w:val="none"/>
          <w:lang w:val="en-US" w:eastAsia="zh-CN"/>
        </w:rPr>
        <w:t xml:space="preserve">17739182727         </w:t>
      </w:r>
    </w:p>
    <w:p w14:paraId="1C0A1FCC">
      <w:pPr>
        <w:keepNext w:val="0"/>
        <w:keepLines w:val="0"/>
        <w:pageBreakBefore w:val="0"/>
        <w:widowControl w:val="0"/>
        <w:kinsoku/>
        <w:wordWrap/>
        <w:overflowPunct/>
        <w:topLinePunct w:val="0"/>
        <w:autoSpaceDE/>
        <w:autoSpaceDN/>
        <w:bidi w:val="0"/>
        <w:adjustRightInd/>
        <w:snapToGrid/>
        <w:spacing w:line="46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3、项目联系方式</w:t>
      </w:r>
    </w:p>
    <w:p w14:paraId="4F89420F">
      <w:pPr>
        <w:keepNext w:val="0"/>
        <w:keepLines w:val="0"/>
        <w:pageBreakBefore w:val="0"/>
        <w:widowControl w:val="0"/>
        <w:kinsoku/>
        <w:wordWrap/>
        <w:overflowPunct/>
        <w:topLinePunct w:val="0"/>
        <w:autoSpaceDE/>
        <w:autoSpaceDN/>
        <w:bidi w:val="0"/>
        <w:adjustRightInd/>
        <w:snapToGrid/>
        <w:spacing w:line="460" w:lineRule="exact"/>
        <w:ind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刘高正</w:t>
      </w:r>
    </w:p>
    <w:p w14:paraId="5B384384">
      <w:pPr>
        <w:keepNext w:val="0"/>
        <w:keepLines w:val="0"/>
        <w:pageBreakBefore w:val="0"/>
        <w:widowControl w:val="0"/>
        <w:kinsoku/>
        <w:wordWrap/>
        <w:overflowPunct/>
        <w:topLinePunct w:val="0"/>
        <w:autoSpaceDE/>
        <w:autoSpaceDN/>
        <w:bidi w:val="0"/>
        <w:adjustRightInd/>
        <w:snapToGrid/>
        <w:spacing w:line="46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w:t>
      </w:r>
      <w:r>
        <w:rPr>
          <w:rFonts w:hint="eastAsia" w:ascii="宋体" w:hAnsi="宋体" w:eastAsia="宋体" w:cs="宋体"/>
          <w:color w:val="auto"/>
          <w:sz w:val="21"/>
          <w:szCs w:val="21"/>
          <w:highlight w:val="none"/>
          <w:lang w:val="en-US" w:eastAsia="zh-CN"/>
        </w:rPr>
        <w:t>17739182727</w:t>
      </w:r>
    </w:p>
    <w:p w14:paraId="049D0736">
      <w:pPr>
        <w:keepNext w:val="0"/>
        <w:keepLines w:val="0"/>
        <w:pageBreakBefore w:val="0"/>
        <w:widowControl/>
        <w:kinsoku/>
        <w:wordWrap/>
        <w:overflowPunct/>
        <w:topLinePunct w:val="0"/>
        <w:autoSpaceDE/>
        <w:autoSpaceDN/>
        <w:bidi w:val="0"/>
        <w:adjustRightInd/>
        <w:snapToGrid/>
        <w:spacing w:line="460" w:lineRule="exact"/>
        <w:ind w:leftChars="0"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14:paraId="01F0FC8C">
      <w:pPr>
        <w:keepNext w:val="0"/>
        <w:keepLines w:val="0"/>
        <w:pageBreakBefore w:val="0"/>
        <w:widowControl/>
        <w:kinsoku/>
        <w:wordWrap/>
        <w:overflowPunct/>
        <w:topLinePunct w:val="0"/>
        <w:autoSpaceDE/>
        <w:autoSpaceDN/>
        <w:bidi w:val="0"/>
        <w:adjustRightInd/>
        <w:snapToGrid/>
        <w:spacing w:line="440" w:lineRule="exact"/>
        <w:ind w:firstLine="420" w:firstLineChars="200"/>
        <w:jc w:val="right"/>
        <w:textAlignment w:val="auto"/>
        <w:rPr>
          <w:rFonts w:hint="eastAsia" w:ascii="宋体" w:hAnsi="宋体" w:eastAsia="宋体" w:cs="宋体"/>
          <w:color w:val="auto"/>
          <w:sz w:val="21"/>
          <w:szCs w:val="21"/>
          <w:highlight w:val="none"/>
        </w:rPr>
      </w:pPr>
      <w:bookmarkStart w:id="23" w:name="_Toc11392"/>
      <w:r>
        <w:rPr>
          <w:rFonts w:hint="eastAsia" w:ascii="宋体" w:hAnsi="宋体" w:eastAsia="宋体" w:cs="宋体"/>
          <w:color w:val="auto"/>
          <w:sz w:val="21"/>
          <w:szCs w:val="21"/>
          <w:highlight w:val="none"/>
        </w:rPr>
        <w:t>新乡市丰成工程管理有限公司</w:t>
      </w:r>
      <w:bookmarkEnd w:id="23"/>
    </w:p>
    <w:p w14:paraId="454297F5">
      <w:pPr>
        <w:pStyle w:val="12"/>
        <w:ind w:firstLine="420"/>
        <w:jc w:val="righ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rPr>
        <w:t>日</w:t>
      </w:r>
    </w:p>
    <w:p w14:paraId="2A218D15">
      <w:pPr>
        <w:pStyle w:val="12"/>
        <w:ind w:firstLine="420"/>
        <w:rPr>
          <w:rFonts w:hint="eastAsia" w:ascii="宋体" w:hAnsi="宋体" w:eastAsia="宋体" w:cs="宋体"/>
          <w:color w:val="auto"/>
          <w:kern w:val="0"/>
          <w:sz w:val="21"/>
          <w:szCs w:val="21"/>
          <w:highlight w:val="none"/>
        </w:rPr>
      </w:pPr>
    </w:p>
    <w:p w14:paraId="6EC40781">
      <w:pPr>
        <w:pStyle w:val="12"/>
        <w:ind w:firstLine="420"/>
        <w:rPr>
          <w:rFonts w:hint="eastAsia" w:ascii="宋体" w:hAnsi="宋体" w:eastAsia="宋体" w:cs="宋体"/>
          <w:color w:val="auto"/>
          <w:kern w:val="0"/>
          <w:sz w:val="21"/>
          <w:szCs w:val="21"/>
          <w:highlight w:val="none"/>
        </w:rPr>
      </w:pPr>
    </w:p>
    <w:p w14:paraId="62CB7D54">
      <w:pPr>
        <w:pStyle w:val="12"/>
        <w:ind w:firstLine="420"/>
        <w:rPr>
          <w:rFonts w:hint="eastAsia" w:ascii="宋体" w:hAnsi="宋体" w:eastAsia="宋体" w:cs="宋体"/>
          <w:color w:val="auto"/>
          <w:kern w:val="0"/>
          <w:sz w:val="21"/>
          <w:szCs w:val="21"/>
          <w:highlight w:val="none"/>
        </w:rPr>
      </w:pPr>
    </w:p>
    <w:p w14:paraId="58F9DE4A">
      <w:pPr>
        <w:pStyle w:val="12"/>
        <w:ind w:firstLine="0" w:firstLineChars="0"/>
        <w:rPr>
          <w:rFonts w:hint="eastAsia" w:ascii="宋体" w:hAnsi="宋体" w:eastAsia="宋体" w:cs="宋体"/>
          <w:color w:val="auto"/>
          <w:kern w:val="0"/>
          <w:sz w:val="21"/>
          <w:szCs w:val="21"/>
          <w:highlight w:val="none"/>
        </w:rPr>
      </w:pPr>
    </w:p>
    <w:p w14:paraId="550AF5EF">
      <w:pPr>
        <w:pStyle w:val="12"/>
        <w:ind w:firstLine="0" w:firstLineChars="0"/>
        <w:rPr>
          <w:rFonts w:hint="eastAsia" w:ascii="宋体" w:hAnsi="宋体" w:eastAsia="宋体" w:cs="宋体"/>
          <w:color w:val="auto"/>
          <w:kern w:val="0"/>
          <w:sz w:val="21"/>
          <w:szCs w:val="21"/>
          <w:highlight w:val="none"/>
        </w:rPr>
      </w:pPr>
    </w:p>
    <w:p w14:paraId="20CCADF6">
      <w:pPr>
        <w:pStyle w:val="12"/>
        <w:ind w:firstLine="0" w:firstLineChars="0"/>
        <w:rPr>
          <w:rFonts w:hint="eastAsia" w:ascii="宋体" w:hAnsi="宋体" w:eastAsia="宋体" w:cs="宋体"/>
          <w:color w:val="auto"/>
          <w:kern w:val="0"/>
          <w:sz w:val="21"/>
          <w:szCs w:val="21"/>
          <w:highlight w:val="none"/>
        </w:rPr>
      </w:pPr>
    </w:p>
    <w:p w14:paraId="5C1DB8C9">
      <w:pPr>
        <w:pStyle w:val="12"/>
        <w:ind w:firstLine="0" w:firstLineChars="0"/>
        <w:rPr>
          <w:rFonts w:hint="eastAsia" w:ascii="宋体" w:hAnsi="宋体" w:eastAsia="宋体" w:cs="宋体"/>
          <w:color w:val="auto"/>
          <w:kern w:val="0"/>
          <w:sz w:val="21"/>
          <w:szCs w:val="21"/>
          <w:highlight w:val="none"/>
        </w:rPr>
      </w:pPr>
    </w:p>
    <w:bookmarkEnd w:id="8"/>
    <w:p w14:paraId="17C113BE">
      <w:pPr>
        <w:rPr>
          <w:rFonts w:hint="eastAsia" w:ascii="宋体" w:hAnsi="宋体" w:eastAsia="宋体" w:cs="宋体"/>
          <w:color w:val="auto"/>
          <w:szCs w:val="24"/>
          <w:highlight w:val="none"/>
        </w:rPr>
      </w:pPr>
      <w:bookmarkStart w:id="24" w:name="_Toc184635070"/>
      <w:bookmarkStart w:id="25" w:name="_Toc22387"/>
      <w:bookmarkStart w:id="26" w:name="_Toc12231"/>
      <w:bookmarkStart w:id="27" w:name="_Toc22416"/>
      <w:bookmarkStart w:id="28" w:name="_Toc20172"/>
      <w:bookmarkStart w:id="29" w:name="_Toc12519"/>
      <w:bookmarkStart w:id="30" w:name="_Toc7974"/>
      <w:r>
        <w:rPr>
          <w:rFonts w:hint="eastAsia" w:ascii="宋体" w:hAnsi="宋体" w:eastAsia="宋体" w:cs="宋体"/>
          <w:color w:val="auto"/>
          <w:szCs w:val="24"/>
          <w:highlight w:val="none"/>
        </w:rPr>
        <w:br w:type="page"/>
      </w:r>
    </w:p>
    <w:p w14:paraId="0C9417D9">
      <w:pPr>
        <w:pStyle w:val="4"/>
        <w:spacing w:line="400" w:lineRule="exact"/>
        <w:jc w:val="center"/>
        <w:rPr>
          <w:rFonts w:hint="eastAsia" w:ascii="宋体" w:hAnsi="宋体" w:eastAsia="宋体" w:cs="宋体"/>
          <w:color w:val="auto"/>
          <w:szCs w:val="24"/>
          <w:highlight w:val="none"/>
        </w:rPr>
      </w:pPr>
      <w:bookmarkStart w:id="31" w:name="_Toc14660"/>
      <w:r>
        <w:rPr>
          <w:rFonts w:hint="eastAsia" w:ascii="宋体" w:hAnsi="宋体" w:eastAsia="宋体" w:cs="宋体"/>
          <w:color w:val="auto"/>
          <w:szCs w:val="24"/>
          <w:highlight w:val="none"/>
        </w:rPr>
        <w:t>第二章  投标人须知</w:t>
      </w:r>
      <w:bookmarkEnd w:id="24"/>
      <w:bookmarkEnd w:id="25"/>
      <w:bookmarkEnd w:id="26"/>
      <w:bookmarkEnd w:id="27"/>
      <w:bookmarkEnd w:id="28"/>
      <w:bookmarkEnd w:id="29"/>
      <w:bookmarkEnd w:id="30"/>
      <w:bookmarkEnd w:id="31"/>
      <w:bookmarkStart w:id="32" w:name="_Toc25400"/>
    </w:p>
    <w:p w14:paraId="7E18C07F">
      <w:pPr>
        <w:pStyle w:val="5"/>
        <w:spacing w:line="400" w:lineRule="exact"/>
        <w:jc w:val="center"/>
        <w:rPr>
          <w:rFonts w:hint="eastAsia" w:ascii="宋体" w:hAnsi="宋体" w:eastAsia="宋体" w:cs="宋体"/>
          <w:b w:val="0"/>
          <w:bCs w:val="0"/>
          <w:color w:val="auto"/>
          <w:sz w:val="28"/>
          <w:szCs w:val="28"/>
          <w:highlight w:val="none"/>
        </w:rPr>
      </w:pPr>
      <w:bookmarkStart w:id="33" w:name="_Toc17968"/>
      <w:r>
        <w:rPr>
          <w:rFonts w:hint="eastAsia" w:ascii="宋体" w:hAnsi="宋体" w:eastAsia="宋体" w:cs="宋体"/>
          <w:b w:val="0"/>
          <w:bCs w:val="0"/>
          <w:color w:val="auto"/>
          <w:sz w:val="28"/>
          <w:szCs w:val="28"/>
          <w:highlight w:val="none"/>
        </w:rPr>
        <w:t>投标人须知前附表</w:t>
      </w:r>
      <w:bookmarkEnd w:id="32"/>
      <w:bookmarkEnd w:id="33"/>
    </w:p>
    <w:tbl>
      <w:tblPr>
        <w:tblStyle w:val="39"/>
        <w:tblW w:w="9446"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67"/>
        <w:gridCol w:w="6529"/>
      </w:tblGrid>
      <w:tr w14:paraId="665C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36661633">
            <w:pPr>
              <w:keepNext w:val="0"/>
              <w:keepLines w:val="0"/>
              <w:pageBreakBefore w:val="0"/>
              <w:kinsoku/>
              <w:wordWrap/>
              <w:overflowPunct/>
              <w:topLinePunct w:val="0"/>
              <w:bidi w:val="0"/>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167" w:type="dxa"/>
            <w:tcBorders>
              <w:top w:val="single" w:color="auto" w:sz="4" w:space="0"/>
              <w:left w:val="single" w:color="auto" w:sz="4" w:space="0"/>
              <w:bottom w:val="single" w:color="auto" w:sz="4" w:space="0"/>
              <w:right w:val="single" w:color="auto" w:sz="4" w:space="0"/>
            </w:tcBorders>
            <w:vAlign w:val="center"/>
          </w:tcPr>
          <w:p w14:paraId="7C0FAD39">
            <w:pPr>
              <w:keepNext w:val="0"/>
              <w:keepLines w:val="0"/>
              <w:pageBreakBefore w:val="0"/>
              <w:kinsoku/>
              <w:wordWrap/>
              <w:overflowPunct/>
              <w:topLinePunct w:val="0"/>
              <w:bidi w:val="0"/>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名称内容</w:t>
            </w:r>
          </w:p>
        </w:tc>
        <w:tc>
          <w:tcPr>
            <w:tcW w:w="6529" w:type="dxa"/>
            <w:tcBorders>
              <w:top w:val="single" w:color="auto" w:sz="4" w:space="0"/>
              <w:left w:val="single" w:color="auto" w:sz="4" w:space="0"/>
              <w:bottom w:val="single" w:color="auto" w:sz="4" w:space="0"/>
              <w:right w:val="single" w:color="auto" w:sz="4" w:space="0"/>
            </w:tcBorders>
            <w:vAlign w:val="center"/>
          </w:tcPr>
          <w:p w14:paraId="50EE98C4">
            <w:pPr>
              <w:keepNext w:val="0"/>
              <w:keepLines w:val="0"/>
              <w:pageBreakBefore w:val="0"/>
              <w:kinsoku/>
              <w:wordWrap/>
              <w:overflowPunct/>
              <w:topLinePunct w:val="0"/>
              <w:bidi w:val="0"/>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65EB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3C670C13">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7" w:type="dxa"/>
            <w:tcBorders>
              <w:top w:val="single" w:color="auto" w:sz="4" w:space="0"/>
              <w:left w:val="single" w:color="auto" w:sz="4" w:space="0"/>
              <w:bottom w:val="single" w:color="auto" w:sz="4" w:space="0"/>
              <w:right w:val="single" w:color="auto" w:sz="4" w:space="0"/>
            </w:tcBorders>
            <w:vAlign w:val="center"/>
          </w:tcPr>
          <w:p w14:paraId="67E30C09">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采购人信息</w:t>
            </w:r>
          </w:p>
        </w:tc>
        <w:tc>
          <w:tcPr>
            <w:tcW w:w="6529" w:type="dxa"/>
            <w:tcBorders>
              <w:top w:val="single" w:color="auto" w:sz="4" w:space="0"/>
              <w:left w:val="single" w:color="auto" w:sz="4" w:space="0"/>
              <w:bottom w:val="single" w:color="auto" w:sz="4" w:space="0"/>
              <w:right w:val="single" w:color="auto" w:sz="4" w:space="0"/>
            </w:tcBorders>
            <w:vAlign w:val="center"/>
          </w:tcPr>
          <w:p w14:paraId="3DE59B7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57B8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71A400E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7" w:type="dxa"/>
            <w:tcBorders>
              <w:top w:val="single" w:color="auto" w:sz="4" w:space="0"/>
              <w:left w:val="single" w:color="auto" w:sz="4" w:space="0"/>
              <w:bottom w:val="single" w:color="auto" w:sz="4" w:space="0"/>
              <w:right w:val="single" w:color="auto" w:sz="4" w:space="0"/>
            </w:tcBorders>
            <w:vAlign w:val="center"/>
          </w:tcPr>
          <w:p w14:paraId="0BA65520">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采购代理机构信息</w:t>
            </w:r>
          </w:p>
        </w:tc>
        <w:tc>
          <w:tcPr>
            <w:tcW w:w="6529" w:type="dxa"/>
            <w:tcBorders>
              <w:top w:val="single" w:color="auto" w:sz="4" w:space="0"/>
              <w:left w:val="single" w:color="auto" w:sz="4" w:space="0"/>
              <w:bottom w:val="single" w:color="auto" w:sz="4" w:space="0"/>
              <w:right w:val="single" w:color="auto" w:sz="4" w:space="0"/>
            </w:tcBorders>
            <w:vAlign w:val="center"/>
          </w:tcPr>
          <w:p w14:paraId="3F89C570">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5538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4B05F68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67" w:type="dxa"/>
            <w:tcBorders>
              <w:top w:val="single" w:color="auto" w:sz="4" w:space="0"/>
              <w:left w:val="single" w:color="auto" w:sz="4" w:space="0"/>
              <w:bottom w:val="single" w:color="auto" w:sz="4" w:space="0"/>
              <w:right w:val="single" w:color="auto" w:sz="4" w:space="0"/>
            </w:tcBorders>
            <w:vAlign w:val="center"/>
          </w:tcPr>
          <w:p w14:paraId="099050EF">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项目名称及项目编号</w:t>
            </w:r>
          </w:p>
        </w:tc>
        <w:tc>
          <w:tcPr>
            <w:tcW w:w="6529" w:type="dxa"/>
            <w:tcBorders>
              <w:top w:val="single" w:color="auto" w:sz="4" w:space="0"/>
              <w:left w:val="single" w:color="auto" w:sz="4" w:space="0"/>
              <w:bottom w:val="single" w:color="auto" w:sz="4" w:space="0"/>
              <w:right w:val="single" w:color="auto" w:sz="4" w:space="0"/>
            </w:tcBorders>
            <w:vAlign w:val="center"/>
          </w:tcPr>
          <w:p w14:paraId="7FA1E44D">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2A52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7182CDA7">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67" w:type="dxa"/>
            <w:tcBorders>
              <w:top w:val="single" w:color="auto" w:sz="4" w:space="0"/>
              <w:left w:val="single" w:color="auto" w:sz="4" w:space="0"/>
              <w:bottom w:val="single" w:color="auto" w:sz="4" w:space="0"/>
              <w:right w:val="single" w:color="auto" w:sz="4" w:space="0"/>
            </w:tcBorders>
            <w:vAlign w:val="center"/>
          </w:tcPr>
          <w:p w14:paraId="445A8B84">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资金来源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落实情况</w:t>
            </w:r>
          </w:p>
        </w:tc>
        <w:tc>
          <w:tcPr>
            <w:tcW w:w="6529" w:type="dxa"/>
            <w:tcBorders>
              <w:top w:val="single" w:color="auto" w:sz="4" w:space="0"/>
              <w:left w:val="single" w:color="auto" w:sz="4" w:space="0"/>
              <w:bottom w:val="single" w:color="auto" w:sz="4" w:space="0"/>
              <w:right w:val="single" w:color="auto" w:sz="4" w:space="0"/>
            </w:tcBorders>
            <w:vAlign w:val="center"/>
          </w:tcPr>
          <w:p w14:paraId="76EA037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已落实</w:t>
            </w:r>
          </w:p>
        </w:tc>
      </w:tr>
      <w:tr w14:paraId="2981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4EA87062">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67" w:type="dxa"/>
            <w:tcBorders>
              <w:top w:val="single" w:color="auto" w:sz="4" w:space="0"/>
              <w:left w:val="single" w:color="auto" w:sz="4" w:space="0"/>
              <w:bottom w:val="single" w:color="auto" w:sz="4" w:space="0"/>
              <w:right w:val="single" w:color="auto" w:sz="4" w:space="0"/>
            </w:tcBorders>
            <w:vAlign w:val="center"/>
          </w:tcPr>
          <w:p w14:paraId="6964F52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6529" w:type="dxa"/>
            <w:tcBorders>
              <w:top w:val="single" w:color="auto" w:sz="4" w:space="0"/>
              <w:left w:val="single" w:color="auto" w:sz="4" w:space="0"/>
              <w:bottom w:val="single" w:color="auto" w:sz="4" w:space="0"/>
              <w:right w:val="single" w:color="auto" w:sz="4" w:space="0"/>
            </w:tcBorders>
            <w:vAlign w:val="center"/>
          </w:tcPr>
          <w:p w14:paraId="13D0B7E1">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封丘县（指定位置）</w:t>
            </w:r>
          </w:p>
        </w:tc>
      </w:tr>
      <w:tr w14:paraId="1406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50" w:type="dxa"/>
            <w:tcBorders>
              <w:top w:val="single" w:color="auto" w:sz="4" w:space="0"/>
              <w:left w:val="single" w:color="auto" w:sz="4" w:space="0"/>
              <w:bottom w:val="single" w:color="auto" w:sz="4" w:space="0"/>
              <w:right w:val="single" w:color="auto" w:sz="4" w:space="0"/>
            </w:tcBorders>
            <w:vAlign w:val="center"/>
          </w:tcPr>
          <w:p w14:paraId="7061E8D1">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67" w:type="dxa"/>
            <w:tcBorders>
              <w:top w:val="single" w:color="auto" w:sz="4" w:space="0"/>
              <w:left w:val="single" w:color="auto" w:sz="4" w:space="0"/>
              <w:bottom w:val="single" w:color="auto" w:sz="4" w:space="0"/>
              <w:right w:val="single" w:color="auto" w:sz="4" w:space="0"/>
            </w:tcBorders>
            <w:vAlign w:val="center"/>
          </w:tcPr>
          <w:p w14:paraId="6E5092CC">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项目采购预算及最高投标限价</w:t>
            </w:r>
          </w:p>
        </w:tc>
        <w:tc>
          <w:tcPr>
            <w:tcW w:w="6529" w:type="dxa"/>
            <w:tcBorders>
              <w:top w:val="single" w:color="auto" w:sz="4" w:space="0"/>
              <w:left w:val="single" w:color="auto" w:sz="4" w:space="0"/>
              <w:bottom w:val="single" w:color="auto" w:sz="4" w:space="0"/>
              <w:right w:val="single" w:color="auto" w:sz="4" w:space="0"/>
            </w:tcBorders>
            <w:vAlign w:val="center"/>
          </w:tcPr>
          <w:p w14:paraId="62F74E0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p w14:paraId="3D349ED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注：投标报价超过最高投标限价的作无效投标处理。</w:t>
            </w:r>
          </w:p>
        </w:tc>
      </w:tr>
      <w:tr w14:paraId="4A58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23D899C3">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67" w:type="dxa"/>
            <w:tcBorders>
              <w:top w:val="single" w:color="auto" w:sz="4" w:space="0"/>
              <w:left w:val="single" w:color="auto" w:sz="4" w:space="0"/>
              <w:bottom w:val="single" w:color="auto" w:sz="4" w:space="0"/>
              <w:right w:val="single" w:color="auto" w:sz="4" w:space="0"/>
            </w:tcBorders>
            <w:vAlign w:val="center"/>
          </w:tcPr>
          <w:p w14:paraId="37BFBD22">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529" w:type="dxa"/>
            <w:tcBorders>
              <w:top w:val="single" w:color="auto" w:sz="4" w:space="0"/>
              <w:left w:val="single" w:color="auto" w:sz="4" w:space="0"/>
              <w:bottom w:val="single" w:color="auto" w:sz="4" w:space="0"/>
              <w:right w:val="single" w:color="auto" w:sz="4" w:space="0"/>
            </w:tcBorders>
            <w:vAlign w:val="center"/>
          </w:tcPr>
          <w:p w14:paraId="396CB48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7E2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0D3BBC15">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67" w:type="dxa"/>
            <w:tcBorders>
              <w:top w:val="single" w:color="auto" w:sz="4" w:space="0"/>
              <w:left w:val="single" w:color="auto" w:sz="4" w:space="0"/>
              <w:bottom w:val="single" w:color="auto" w:sz="4" w:space="0"/>
              <w:right w:val="single" w:color="auto" w:sz="4" w:space="0"/>
            </w:tcBorders>
            <w:vAlign w:val="center"/>
          </w:tcPr>
          <w:p w14:paraId="10BE1C7C">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p>
        </w:tc>
        <w:tc>
          <w:tcPr>
            <w:tcW w:w="6529" w:type="dxa"/>
            <w:tcBorders>
              <w:top w:val="single" w:color="auto" w:sz="4" w:space="0"/>
              <w:left w:val="single" w:color="auto" w:sz="4" w:space="0"/>
              <w:bottom w:val="single" w:color="auto" w:sz="4" w:space="0"/>
              <w:right w:val="single" w:color="auto" w:sz="4" w:space="0"/>
            </w:tcBorders>
            <w:vAlign w:val="center"/>
          </w:tcPr>
          <w:p w14:paraId="67086902">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EE4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24D7A964">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67" w:type="dxa"/>
            <w:tcBorders>
              <w:top w:val="single" w:color="auto" w:sz="4" w:space="0"/>
              <w:left w:val="single" w:color="auto" w:sz="4" w:space="0"/>
              <w:bottom w:val="single" w:color="auto" w:sz="4" w:space="0"/>
              <w:right w:val="single" w:color="auto" w:sz="4" w:space="0"/>
            </w:tcBorders>
            <w:vAlign w:val="center"/>
          </w:tcPr>
          <w:p w14:paraId="65B0548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529" w:type="dxa"/>
            <w:tcBorders>
              <w:top w:val="single" w:color="auto" w:sz="4" w:space="0"/>
              <w:left w:val="single" w:color="auto" w:sz="4" w:space="0"/>
              <w:bottom w:val="single" w:color="auto" w:sz="4" w:space="0"/>
              <w:right w:val="single" w:color="auto" w:sz="4" w:space="0"/>
            </w:tcBorders>
            <w:vAlign w:val="center"/>
          </w:tcPr>
          <w:p w14:paraId="6FAE6621">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4BE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53B0BC5F">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167" w:type="dxa"/>
            <w:tcBorders>
              <w:top w:val="single" w:color="auto" w:sz="4" w:space="0"/>
              <w:left w:val="single" w:color="auto" w:sz="4" w:space="0"/>
              <w:bottom w:val="single" w:color="auto" w:sz="4" w:space="0"/>
              <w:right w:val="single" w:color="auto" w:sz="4" w:space="0"/>
            </w:tcBorders>
            <w:vAlign w:val="center"/>
          </w:tcPr>
          <w:p w14:paraId="071A3832">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申请人的资格要求</w:t>
            </w:r>
          </w:p>
        </w:tc>
        <w:tc>
          <w:tcPr>
            <w:tcW w:w="6529" w:type="dxa"/>
            <w:tcBorders>
              <w:top w:val="single" w:color="auto" w:sz="4" w:space="0"/>
              <w:left w:val="single" w:color="auto" w:sz="4" w:space="0"/>
              <w:bottom w:val="single" w:color="auto" w:sz="4" w:space="0"/>
              <w:right w:val="single" w:color="auto" w:sz="4" w:space="0"/>
            </w:tcBorders>
            <w:vAlign w:val="center"/>
          </w:tcPr>
          <w:p w14:paraId="5D91B850">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540B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570AFB4F">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67" w:type="dxa"/>
            <w:tcBorders>
              <w:top w:val="single" w:color="auto" w:sz="4" w:space="0"/>
              <w:left w:val="single" w:color="auto" w:sz="4" w:space="0"/>
              <w:bottom w:val="single" w:color="auto" w:sz="4" w:space="0"/>
              <w:right w:val="single" w:color="auto" w:sz="4" w:space="0"/>
            </w:tcBorders>
            <w:vAlign w:val="center"/>
          </w:tcPr>
          <w:p w14:paraId="0D3EE4C9">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529" w:type="dxa"/>
            <w:tcBorders>
              <w:top w:val="single" w:color="auto" w:sz="4" w:space="0"/>
              <w:left w:val="single" w:color="auto" w:sz="4" w:space="0"/>
              <w:bottom w:val="single" w:color="auto" w:sz="4" w:space="0"/>
              <w:right w:val="single" w:color="auto" w:sz="4" w:space="0"/>
            </w:tcBorders>
            <w:vAlign w:val="center"/>
          </w:tcPr>
          <w:p w14:paraId="71915C68">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123D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06E22FC7">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67" w:type="dxa"/>
            <w:tcBorders>
              <w:top w:val="single" w:color="auto" w:sz="4" w:space="0"/>
              <w:left w:val="single" w:color="auto" w:sz="4" w:space="0"/>
              <w:bottom w:val="single" w:color="auto" w:sz="4" w:space="0"/>
              <w:right w:val="single" w:color="auto" w:sz="4" w:space="0"/>
            </w:tcBorders>
            <w:vAlign w:val="center"/>
          </w:tcPr>
          <w:p w14:paraId="7D256941">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结果公告期</w:t>
            </w:r>
          </w:p>
        </w:tc>
        <w:tc>
          <w:tcPr>
            <w:tcW w:w="6529" w:type="dxa"/>
            <w:tcBorders>
              <w:top w:val="single" w:color="auto" w:sz="4" w:space="0"/>
              <w:left w:val="single" w:color="auto" w:sz="4" w:space="0"/>
              <w:bottom w:val="single" w:color="auto" w:sz="4" w:space="0"/>
              <w:right w:val="single" w:color="auto" w:sz="4" w:space="0"/>
            </w:tcBorders>
            <w:vAlign w:val="center"/>
          </w:tcPr>
          <w:p w14:paraId="4236B7C4">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1个工作日</w:t>
            </w:r>
          </w:p>
        </w:tc>
      </w:tr>
      <w:tr w14:paraId="1EE7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03FD636C">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67" w:type="dxa"/>
            <w:tcBorders>
              <w:top w:val="single" w:color="auto" w:sz="4" w:space="0"/>
              <w:left w:val="single" w:color="auto" w:sz="4" w:space="0"/>
              <w:bottom w:val="single" w:color="auto" w:sz="4" w:space="0"/>
              <w:right w:val="single" w:color="auto" w:sz="4" w:space="0"/>
            </w:tcBorders>
            <w:vAlign w:val="center"/>
          </w:tcPr>
          <w:p w14:paraId="1153E14D">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529" w:type="dxa"/>
            <w:tcBorders>
              <w:top w:val="single" w:color="auto" w:sz="4" w:space="0"/>
              <w:left w:val="single" w:color="auto" w:sz="4" w:space="0"/>
              <w:bottom w:val="single" w:color="auto" w:sz="4" w:space="0"/>
              <w:right w:val="single" w:color="auto" w:sz="4" w:space="0"/>
            </w:tcBorders>
            <w:vAlign w:val="center"/>
          </w:tcPr>
          <w:p w14:paraId="6FFA74D0">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本项目不召开预备会</w:t>
            </w:r>
          </w:p>
        </w:tc>
      </w:tr>
      <w:tr w14:paraId="651E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50" w:type="dxa"/>
            <w:tcBorders>
              <w:top w:val="single" w:color="auto" w:sz="4" w:space="0"/>
              <w:left w:val="single" w:color="auto" w:sz="4" w:space="0"/>
              <w:bottom w:val="single" w:color="auto" w:sz="4" w:space="0"/>
              <w:right w:val="single" w:color="auto" w:sz="4" w:space="0"/>
            </w:tcBorders>
            <w:vAlign w:val="center"/>
          </w:tcPr>
          <w:p w14:paraId="25161924">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67" w:type="dxa"/>
            <w:tcBorders>
              <w:top w:val="single" w:color="auto" w:sz="4" w:space="0"/>
              <w:left w:val="single" w:color="auto" w:sz="4" w:space="0"/>
              <w:bottom w:val="single" w:color="auto" w:sz="4" w:space="0"/>
              <w:right w:val="single" w:color="auto" w:sz="4" w:space="0"/>
            </w:tcBorders>
            <w:vAlign w:val="center"/>
          </w:tcPr>
          <w:p w14:paraId="7CFE5BCC">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tc>
        <w:tc>
          <w:tcPr>
            <w:tcW w:w="6529" w:type="dxa"/>
            <w:tcBorders>
              <w:top w:val="single" w:color="auto" w:sz="4" w:space="0"/>
              <w:left w:val="single" w:color="auto" w:sz="4" w:space="0"/>
              <w:bottom w:val="single" w:color="auto" w:sz="4" w:space="0"/>
              <w:right w:val="single" w:color="auto" w:sz="4" w:space="0"/>
            </w:tcBorders>
            <w:vAlign w:val="center"/>
          </w:tcPr>
          <w:p w14:paraId="541875EF">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投标截止时间10日前在新乡市公共资源交易中心网上传</w:t>
            </w:r>
          </w:p>
        </w:tc>
      </w:tr>
      <w:tr w14:paraId="72B6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0" w:type="dxa"/>
            <w:tcBorders>
              <w:top w:val="single" w:color="auto" w:sz="4" w:space="0"/>
              <w:left w:val="single" w:color="auto" w:sz="4" w:space="0"/>
              <w:bottom w:val="single" w:color="auto" w:sz="4" w:space="0"/>
              <w:right w:val="single" w:color="auto" w:sz="4" w:space="0"/>
            </w:tcBorders>
            <w:vAlign w:val="center"/>
          </w:tcPr>
          <w:p w14:paraId="23571876">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67" w:type="dxa"/>
            <w:tcBorders>
              <w:top w:val="single" w:color="auto" w:sz="4" w:space="0"/>
              <w:left w:val="single" w:color="auto" w:sz="4" w:space="0"/>
              <w:bottom w:val="single" w:color="auto" w:sz="4" w:space="0"/>
              <w:right w:val="single" w:color="auto" w:sz="4" w:space="0"/>
            </w:tcBorders>
            <w:vAlign w:val="center"/>
          </w:tcPr>
          <w:p w14:paraId="4A86C5AD">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招标文件的澄清或者修改</w:t>
            </w:r>
          </w:p>
        </w:tc>
        <w:tc>
          <w:tcPr>
            <w:tcW w:w="6529" w:type="dxa"/>
            <w:tcBorders>
              <w:top w:val="single" w:color="auto" w:sz="4" w:space="0"/>
              <w:left w:val="single" w:color="auto" w:sz="4" w:space="0"/>
              <w:bottom w:val="single" w:color="auto" w:sz="4" w:space="0"/>
              <w:right w:val="single" w:color="auto" w:sz="4" w:space="0"/>
            </w:tcBorders>
            <w:vAlign w:val="center"/>
          </w:tcPr>
          <w:p w14:paraId="47915F3A">
            <w:pPr>
              <w:keepNext w:val="0"/>
              <w:keepLines w:val="0"/>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提交投标文件截止时间15日前，招标采购单位如对已发出的招标文件进行必要澄清或者修改的，将以变更公告方式向已获取招标文件的投标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发出，并发布在本次招标公告的同一媒体上，投标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应实时关注并及时下载。该澄清或者修改的内容为招标文件的组成部分。 </w:t>
            </w:r>
          </w:p>
          <w:p w14:paraId="25EDF3B0">
            <w:pPr>
              <w:keepNext w:val="0"/>
              <w:keepLines w:val="0"/>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）因新乡市公共资源交易中心电子交易平台在投标文件递交截止前具有保密性，</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供应商须自行查看项目进展、变更通知、澄清及回复，因</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供应商未及时查看而造成的后果由供应商自负。</w:t>
            </w:r>
          </w:p>
        </w:tc>
      </w:tr>
      <w:tr w14:paraId="6657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37024A73">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67" w:type="dxa"/>
            <w:tcBorders>
              <w:top w:val="single" w:color="auto" w:sz="4" w:space="0"/>
              <w:left w:val="single" w:color="auto" w:sz="4" w:space="0"/>
              <w:bottom w:val="single" w:color="auto" w:sz="4" w:space="0"/>
              <w:right w:val="single" w:color="auto" w:sz="4" w:space="0"/>
            </w:tcBorders>
            <w:vAlign w:val="center"/>
          </w:tcPr>
          <w:p w14:paraId="37C524F5">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构成招标文件的其他材料</w:t>
            </w:r>
          </w:p>
        </w:tc>
        <w:tc>
          <w:tcPr>
            <w:tcW w:w="6529" w:type="dxa"/>
            <w:tcBorders>
              <w:top w:val="single" w:color="auto" w:sz="4" w:space="0"/>
              <w:left w:val="single" w:color="auto" w:sz="4" w:space="0"/>
              <w:bottom w:val="single" w:color="auto" w:sz="4" w:space="0"/>
              <w:right w:val="single" w:color="auto" w:sz="4" w:space="0"/>
            </w:tcBorders>
            <w:vAlign w:val="center"/>
          </w:tcPr>
          <w:p w14:paraId="3E15052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采购人发出的答疑或补充文件。</w:t>
            </w:r>
          </w:p>
        </w:tc>
      </w:tr>
      <w:tr w14:paraId="5092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50" w:type="dxa"/>
            <w:tcBorders>
              <w:top w:val="single" w:color="auto" w:sz="4" w:space="0"/>
              <w:left w:val="single" w:color="auto" w:sz="4" w:space="0"/>
              <w:bottom w:val="single" w:color="auto" w:sz="4" w:space="0"/>
              <w:right w:val="single" w:color="auto" w:sz="4" w:space="0"/>
            </w:tcBorders>
            <w:vAlign w:val="center"/>
          </w:tcPr>
          <w:p w14:paraId="448173F5">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67" w:type="dxa"/>
            <w:tcBorders>
              <w:top w:val="single" w:color="auto" w:sz="4" w:space="0"/>
              <w:left w:val="single" w:color="auto" w:sz="4" w:space="0"/>
              <w:bottom w:val="single" w:color="auto" w:sz="4" w:space="0"/>
              <w:right w:val="single" w:color="auto" w:sz="4" w:space="0"/>
            </w:tcBorders>
            <w:vAlign w:val="center"/>
          </w:tcPr>
          <w:p w14:paraId="3FA49AB4">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投标人要求澄清招标文件的截止时间</w:t>
            </w:r>
          </w:p>
        </w:tc>
        <w:tc>
          <w:tcPr>
            <w:tcW w:w="6529" w:type="dxa"/>
            <w:tcBorders>
              <w:top w:val="single" w:color="auto" w:sz="4" w:space="0"/>
              <w:left w:val="single" w:color="auto" w:sz="4" w:space="0"/>
              <w:bottom w:val="single" w:color="auto" w:sz="4" w:space="0"/>
              <w:right w:val="single" w:color="auto" w:sz="4" w:space="0"/>
            </w:tcBorders>
            <w:vAlign w:val="center"/>
          </w:tcPr>
          <w:p w14:paraId="05CCAF1F">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收到提出问题后三个工作日内</w:t>
            </w:r>
          </w:p>
        </w:tc>
      </w:tr>
      <w:tr w14:paraId="241F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35D9DFFF">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67" w:type="dxa"/>
            <w:tcBorders>
              <w:top w:val="single" w:color="auto" w:sz="4" w:space="0"/>
              <w:left w:val="single" w:color="auto" w:sz="4" w:space="0"/>
              <w:bottom w:val="single" w:color="auto" w:sz="4" w:space="0"/>
              <w:right w:val="single" w:color="auto" w:sz="4" w:space="0"/>
            </w:tcBorders>
            <w:vAlign w:val="center"/>
          </w:tcPr>
          <w:p w14:paraId="64771B79">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6529" w:type="dxa"/>
            <w:tcBorders>
              <w:top w:val="single" w:color="auto" w:sz="4" w:space="0"/>
              <w:left w:val="single" w:color="auto" w:sz="4" w:space="0"/>
              <w:bottom w:val="single" w:color="auto" w:sz="4" w:space="0"/>
              <w:right w:val="single" w:color="auto" w:sz="4" w:space="0"/>
            </w:tcBorders>
            <w:vAlign w:val="center"/>
          </w:tcPr>
          <w:p w14:paraId="3A1C3BBD">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5389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50" w:type="dxa"/>
            <w:tcBorders>
              <w:top w:val="single" w:color="auto" w:sz="4" w:space="0"/>
              <w:left w:val="single" w:color="auto" w:sz="4" w:space="0"/>
              <w:bottom w:val="single" w:color="auto" w:sz="4" w:space="0"/>
              <w:right w:val="single" w:color="auto" w:sz="4" w:space="0"/>
            </w:tcBorders>
            <w:vAlign w:val="center"/>
          </w:tcPr>
          <w:p w14:paraId="4279D6A7">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167" w:type="dxa"/>
            <w:tcBorders>
              <w:top w:val="single" w:color="auto" w:sz="4" w:space="0"/>
              <w:left w:val="single" w:color="auto" w:sz="4" w:space="0"/>
              <w:bottom w:val="single" w:color="auto" w:sz="4" w:space="0"/>
              <w:right w:val="single" w:color="auto" w:sz="4" w:space="0"/>
            </w:tcBorders>
            <w:vAlign w:val="center"/>
          </w:tcPr>
          <w:p w14:paraId="3636E727">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529" w:type="dxa"/>
            <w:tcBorders>
              <w:top w:val="single" w:color="auto" w:sz="4" w:space="0"/>
              <w:left w:val="single" w:color="auto" w:sz="4" w:space="0"/>
              <w:bottom w:val="single" w:color="auto" w:sz="4" w:space="0"/>
              <w:right w:val="single" w:color="auto" w:sz="4" w:space="0"/>
            </w:tcBorders>
            <w:vAlign w:val="center"/>
          </w:tcPr>
          <w:p w14:paraId="0397EFCC">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90天（日历天）</w:t>
            </w:r>
            <w:r>
              <w:rPr>
                <w:rFonts w:hint="eastAsia" w:ascii="宋体" w:hAnsi="宋体" w:eastAsia="宋体" w:cs="宋体"/>
                <w:color w:val="auto"/>
                <w:sz w:val="21"/>
                <w:szCs w:val="21"/>
                <w:highlight w:val="none"/>
              </w:rPr>
              <w:t>从开标之日起计算, 有效期短于此规定的投标文件将被视为无效文件。</w:t>
            </w:r>
          </w:p>
        </w:tc>
      </w:tr>
      <w:tr w14:paraId="7775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50" w:type="dxa"/>
            <w:tcBorders>
              <w:top w:val="single" w:color="auto" w:sz="4" w:space="0"/>
              <w:left w:val="single" w:color="auto" w:sz="4" w:space="0"/>
              <w:bottom w:val="single" w:color="auto" w:sz="4" w:space="0"/>
              <w:right w:val="single" w:color="auto" w:sz="4" w:space="0"/>
            </w:tcBorders>
            <w:vAlign w:val="center"/>
          </w:tcPr>
          <w:p w14:paraId="12BC49E6">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167" w:type="dxa"/>
            <w:tcBorders>
              <w:top w:val="single" w:color="auto" w:sz="4" w:space="0"/>
              <w:left w:val="single" w:color="auto" w:sz="4" w:space="0"/>
              <w:bottom w:val="single" w:color="auto" w:sz="4" w:space="0"/>
              <w:right w:val="single" w:color="auto" w:sz="4" w:space="0"/>
            </w:tcBorders>
            <w:vAlign w:val="center"/>
          </w:tcPr>
          <w:p w14:paraId="15CC4F03">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6529" w:type="dxa"/>
            <w:tcBorders>
              <w:top w:val="single" w:color="auto" w:sz="4" w:space="0"/>
              <w:left w:val="single" w:color="auto" w:sz="4" w:space="0"/>
              <w:bottom w:val="single" w:color="auto" w:sz="4" w:space="0"/>
              <w:right w:val="single" w:color="auto" w:sz="4" w:space="0"/>
            </w:tcBorders>
            <w:vAlign w:val="center"/>
          </w:tcPr>
          <w:p w14:paraId="65A9C7A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623E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0" w:type="dxa"/>
            <w:tcBorders>
              <w:top w:val="single" w:color="auto" w:sz="4" w:space="0"/>
              <w:left w:val="single" w:color="auto" w:sz="4" w:space="0"/>
              <w:bottom w:val="single" w:color="auto" w:sz="4" w:space="0"/>
              <w:right w:val="single" w:color="auto" w:sz="4" w:space="0"/>
            </w:tcBorders>
            <w:vAlign w:val="center"/>
          </w:tcPr>
          <w:p w14:paraId="58D52B3C">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67" w:type="dxa"/>
            <w:tcBorders>
              <w:top w:val="single" w:color="auto" w:sz="4" w:space="0"/>
              <w:left w:val="single" w:color="auto" w:sz="4" w:space="0"/>
              <w:bottom w:val="single" w:color="auto" w:sz="4" w:space="0"/>
              <w:right w:val="single" w:color="auto" w:sz="4" w:space="0"/>
            </w:tcBorders>
            <w:vAlign w:val="center"/>
          </w:tcPr>
          <w:p w14:paraId="2F31ED20">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529" w:type="dxa"/>
            <w:tcBorders>
              <w:top w:val="single" w:color="auto" w:sz="4" w:space="0"/>
              <w:left w:val="single" w:color="auto" w:sz="4" w:space="0"/>
              <w:bottom w:val="single" w:color="auto" w:sz="4" w:space="0"/>
              <w:right w:val="single" w:color="auto" w:sz="4" w:space="0"/>
            </w:tcBorders>
            <w:vAlign w:val="center"/>
          </w:tcPr>
          <w:p w14:paraId="6CA32D82">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1、电子投标文件</w:t>
            </w:r>
          </w:p>
          <w:p w14:paraId="79D1A73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（1）所有要求投标人签章处都须加盖投标人的 CA 印章。</w:t>
            </w:r>
          </w:p>
          <w:p w14:paraId="7A828EAE">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（2）所有要求法定代表人签章处都须加盖投标人法定代表人的CA 印章。</w:t>
            </w:r>
          </w:p>
        </w:tc>
      </w:tr>
      <w:tr w14:paraId="09E4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0" w:type="dxa"/>
            <w:tcBorders>
              <w:top w:val="single" w:color="auto" w:sz="4" w:space="0"/>
              <w:left w:val="single" w:color="auto" w:sz="4" w:space="0"/>
              <w:bottom w:val="single" w:color="auto" w:sz="4" w:space="0"/>
              <w:right w:val="single" w:color="auto" w:sz="4" w:space="0"/>
            </w:tcBorders>
            <w:vAlign w:val="center"/>
          </w:tcPr>
          <w:p w14:paraId="5D235BEE">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67" w:type="dxa"/>
            <w:tcBorders>
              <w:top w:val="single" w:color="auto" w:sz="4" w:space="0"/>
              <w:left w:val="single" w:color="auto" w:sz="4" w:space="0"/>
              <w:bottom w:val="single" w:color="auto" w:sz="4" w:space="0"/>
              <w:right w:val="single" w:color="auto" w:sz="4" w:space="0"/>
            </w:tcBorders>
            <w:vAlign w:val="center"/>
          </w:tcPr>
          <w:p w14:paraId="4BF4B8FC">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投标文件的编制</w:t>
            </w:r>
          </w:p>
        </w:tc>
        <w:tc>
          <w:tcPr>
            <w:tcW w:w="6529" w:type="dxa"/>
            <w:tcBorders>
              <w:top w:val="single" w:color="auto" w:sz="4" w:space="0"/>
              <w:left w:val="single" w:color="auto" w:sz="4" w:space="0"/>
              <w:bottom w:val="single" w:color="auto" w:sz="4" w:space="0"/>
              <w:right w:val="single" w:color="auto" w:sz="4" w:space="0"/>
            </w:tcBorders>
            <w:vAlign w:val="center"/>
          </w:tcPr>
          <w:p w14:paraId="6F55D276">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（1）加密的电子投标文件（.xxtf 格式）为“新乡市公共资源交易中心”网站提供的“投标文件制作工具”软件制作生成的加密版投标文件。</w:t>
            </w:r>
          </w:p>
          <w:p w14:paraId="5AC65179">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（2）投标人必须使用投标工具制作投标文件，使用单位CA证书生成投标文件。</w:t>
            </w:r>
          </w:p>
        </w:tc>
      </w:tr>
      <w:tr w14:paraId="5889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50" w:type="dxa"/>
            <w:tcBorders>
              <w:top w:val="single" w:color="auto" w:sz="4" w:space="0"/>
              <w:left w:val="single" w:color="auto" w:sz="4" w:space="0"/>
              <w:bottom w:val="single" w:color="auto" w:sz="4" w:space="0"/>
              <w:right w:val="single" w:color="auto" w:sz="4" w:space="0"/>
            </w:tcBorders>
            <w:vAlign w:val="center"/>
          </w:tcPr>
          <w:p w14:paraId="78020B59">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167" w:type="dxa"/>
            <w:tcBorders>
              <w:top w:val="single" w:color="auto" w:sz="4" w:space="0"/>
              <w:left w:val="single" w:color="auto" w:sz="4" w:space="0"/>
              <w:bottom w:val="single" w:color="auto" w:sz="4" w:space="0"/>
              <w:right w:val="single" w:color="auto" w:sz="4" w:space="0"/>
            </w:tcBorders>
            <w:vAlign w:val="center"/>
          </w:tcPr>
          <w:p w14:paraId="3B246DF1">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投标文件上传要求</w:t>
            </w:r>
          </w:p>
        </w:tc>
        <w:tc>
          <w:tcPr>
            <w:tcW w:w="6529" w:type="dxa"/>
            <w:tcBorders>
              <w:top w:val="single" w:color="auto" w:sz="4" w:space="0"/>
              <w:left w:val="single" w:color="auto" w:sz="4" w:space="0"/>
              <w:bottom w:val="single" w:color="auto" w:sz="4" w:space="0"/>
              <w:right w:val="single" w:color="auto" w:sz="4" w:space="0"/>
            </w:tcBorders>
            <w:vAlign w:val="center"/>
          </w:tcPr>
          <w:p w14:paraId="3A3C1D74">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加密的电子投标文件,应在投标文件截止时间前通过“新乡市公共资源交易中心电子交易平台”内上传；</w:t>
            </w:r>
          </w:p>
          <w:p w14:paraId="52A1988F">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因交易中心投标系统问题无法上传电子投标文件时，请在工作时间与系统客服联系，联系电话：4009980000。</w:t>
            </w:r>
          </w:p>
        </w:tc>
      </w:tr>
      <w:tr w14:paraId="2BB8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50" w:type="dxa"/>
            <w:tcBorders>
              <w:top w:val="single" w:color="auto" w:sz="4" w:space="0"/>
              <w:left w:val="single" w:color="auto" w:sz="4" w:space="0"/>
              <w:bottom w:val="single" w:color="auto" w:sz="4" w:space="0"/>
              <w:right w:val="single" w:color="auto" w:sz="4" w:space="0"/>
            </w:tcBorders>
            <w:vAlign w:val="center"/>
          </w:tcPr>
          <w:p w14:paraId="152F74F3">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167" w:type="dxa"/>
            <w:tcBorders>
              <w:top w:val="single" w:color="auto" w:sz="4" w:space="0"/>
              <w:left w:val="single" w:color="auto" w:sz="4" w:space="0"/>
              <w:bottom w:val="single" w:color="auto" w:sz="4" w:space="0"/>
              <w:right w:val="single" w:color="auto" w:sz="4" w:space="0"/>
            </w:tcBorders>
            <w:vAlign w:val="center"/>
          </w:tcPr>
          <w:p w14:paraId="0691BCC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中标人投标文件后期要求</w:t>
            </w:r>
          </w:p>
        </w:tc>
        <w:tc>
          <w:tcPr>
            <w:tcW w:w="6529" w:type="dxa"/>
            <w:tcBorders>
              <w:top w:val="single" w:color="auto" w:sz="4" w:space="0"/>
              <w:left w:val="single" w:color="auto" w:sz="4" w:space="0"/>
              <w:bottom w:val="single" w:color="auto" w:sz="4" w:space="0"/>
              <w:right w:val="single" w:color="auto" w:sz="4" w:space="0"/>
            </w:tcBorders>
            <w:vAlign w:val="center"/>
          </w:tcPr>
          <w:p w14:paraId="5A6F5AB5">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中标人在签订合同时按采购人要求份数向其提交纸质投标文件。（为加密电子投标文件版本一致的打印件）。</w:t>
            </w:r>
          </w:p>
        </w:tc>
      </w:tr>
      <w:tr w14:paraId="23F7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29691BF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2167" w:type="dxa"/>
            <w:tcBorders>
              <w:top w:val="single" w:color="auto" w:sz="4" w:space="0"/>
              <w:left w:val="single" w:color="auto" w:sz="4" w:space="0"/>
              <w:bottom w:val="single" w:color="auto" w:sz="4" w:space="0"/>
              <w:right w:val="single" w:color="auto" w:sz="4" w:space="0"/>
            </w:tcBorders>
            <w:vAlign w:val="center"/>
          </w:tcPr>
          <w:p w14:paraId="02B17880">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529" w:type="dxa"/>
            <w:tcBorders>
              <w:top w:val="single" w:color="auto" w:sz="4" w:space="0"/>
              <w:left w:val="single" w:color="auto" w:sz="4" w:space="0"/>
              <w:bottom w:val="single" w:color="auto" w:sz="4" w:space="0"/>
              <w:right w:val="single" w:color="auto" w:sz="4" w:space="0"/>
            </w:tcBorders>
            <w:vAlign w:val="center"/>
          </w:tcPr>
          <w:p w14:paraId="06180D9F">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DC1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50" w:type="dxa"/>
            <w:tcBorders>
              <w:top w:val="single" w:color="auto" w:sz="4" w:space="0"/>
              <w:left w:val="single" w:color="auto" w:sz="4" w:space="0"/>
              <w:bottom w:val="single" w:color="auto" w:sz="4" w:space="0"/>
              <w:right w:val="single" w:color="auto" w:sz="4" w:space="0"/>
            </w:tcBorders>
            <w:vAlign w:val="center"/>
          </w:tcPr>
          <w:p w14:paraId="6E3862C2">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2167" w:type="dxa"/>
            <w:tcBorders>
              <w:top w:val="single" w:color="auto" w:sz="4" w:space="0"/>
              <w:left w:val="single" w:color="auto" w:sz="4" w:space="0"/>
              <w:bottom w:val="single" w:color="auto" w:sz="4" w:space="0"/>
              <w:right w:val="single" w:color="auto" w:sz="4" w:space="0"/>
            </w:tcBorders>
            <w:vAlign w:val="center"/>
          </w:tcPr>
          <w:p w14:paraId="5EA56E71">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开标方式</w:t>
            </w:r>
          </w:p>
        </w:tc>
        <w:tc>
          <w:tcPr>
            <w:tcW w:w="6529" w:type="dxa"/>
            <w:tcBorders>
              <w:top w:val="single" w:color="auto" w:sz="4" w:space="0"/>
              <w:left w:val="single" w:color="auto" w:sz="4" w:space="0"/>
              <w:bottom w:val="single" w:color="auto" w:sz="4" w:space="0"/>
              <w:right w:val="single" w:color="auto" w:sz="4" w:space="0"/>
            </w:tcBorders>
            <w:vAlign w:val="center"/>
          </w:tcPr>
          <w:p w14:paraId="580B6FE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本项目采用“远程不见面”开标方式，供应商无需到封丘县公共资源交易中心现场参加开标会议，无需到达现场提交原件资料。投标人应当在投标截止时间前，登录中心门户网站 ––“智能开标大厅”，在线准时参加开标活动，并在规定时间内进行投标文件解密、答疑澄清等。各潜在投标人因加密电子投标文件未能成功上传，其投标将被拒绝。投标人需在开标截止时间后30分钟内完成解密，否则造成的一切后果由投标人自行负责。具体事宜请查阅“智能开标大厅”首页右上角“操作指南”。</w:t>
            </w:r>
          </w:p>
        </w:tc>
      </w:tr>
      <w:tr w14:paraId="453C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50" w:type="dxa"/>
            <w:tcBorders>
              <w:top w:val="single" w:color="auto" w:sz="4" w:space="0"/>
              <w:left w:val="single" w:color="auto" w:sz="4" w:space="0"/>
              <w:bottom w:val="single" w:color="auto" w:sz="4" w:space="0"/>
              <w:right w:val="single" w:color="auto" w:sz="4" w:space="0"/>
            </w:tcBorders>
            <w:vAlign w:val="center"/>
          </w:tcPr>
          <w:p w14:paraId="64AF2118">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2167" w:type="dxa"/>
            <w:tcBorders>
              <w:top w:val="single" w:color="auto" w:sz="4" w:space="0"/>
              <w:left w:val="single" w:color="auto" w:sz="4" w:space="0"/>
              <w:bottom w:val="single" w:color="auto" w:sz="4" w:space="0"/>
              <w:right w:val="single" w:color="auto" w:sz="4" w:space="0"/>
            </w:tcBorders>
            <w:vAlign w:val="center"/>
          </w:tcPr>
          <w:p w14:paraId="2328D08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评标委员会组成</w:t>
            </w:r>
          </w:p>
        </w:tc>
        <w:tc>
          <w:tcPr>
            <w:tcW w:w="6529" w:type="dxa"/>
            <w:tcBorders>
              <w:top w:val="single" w:color="auto" w:sz="4" w:space="0"/>
              <w:left w:val="single" w:color="auto" w:sz="4" w:space="0"/>
              <w:bottom w:val="single" w:color="auto" w:sz="4" w:space="0"/>
              <w:right w:val="single" w:color="auto" w:sz="4" w:space="0"/>
            </w:tcBorders>
            <w:vAlign w:val="center"/>
          </w:tcPr>
          <w:p w14:paraId="01AD735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rPr>
              <w:t>由采购人代表</w:t>
            </w:r>
            <w:r>
              <w:rPr>
                <w:rFonts w:hint="eastAsia" w:ascii="宋体" w:hAnsi="宋体" w:eastAsia="宋体" w:cs="宋体"/>
                <w:color w:val="auto"/>
                <w:sz w:val="21"/>
                <w:szCs w:val="21"/>
                <w:highlight w:val="none"/>
                <w:lang w:val="en-US" w:eastAsia="zh-CN"/>
              </w:rPr>
              <w:t>1人、</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val="en-US" w:eastAsia="zh-CN"/>
              </w:rPr>
              <w:t>政府采购</w:t>
            </w:r>
            <w:r>
              <w:rPr>
                <w:rFonts w:hint="eastAsia" w:ascii="宋体" w:hAnsi="宋体" w:eastAsia="宋体" w:cs="宋体"/>
                <w:color w:val="auto"/>
                <w:sz w:val="21"/>
                <w:szCs w:val="21"/>
                <w:highlight w:val="none"/>
              </w:rPr>
              <w:t>评标专家库中随机抽取的</w:t>
            </w:r>
            <w:r>
              <w:rPr>
                <w:rFonts w:hint="eastAsia" w:ascii="宋体" w:hAnsi="宋体" w:eastAsia="宋体" w:cs="宋体"/>
                <w:color w:val="auto"/>
                <w:sz w:val="21"/>
                <w:szCs w:val="21"/>
                <w:highlight w:val="none"/>
                <w:lang w:val="en-US" w:eastAsia="zh-CN"/>
              </w:rPr>
              <w:t>相关专业</w:t>
            </w:r>
            <w:r>
              <w:rPr>
                <w:rFonts w:hint="eastAsia" w:ascii="宋体" w:hAnsi="宋体" w:eastAsia="宋体" w:cs="宋体"/>
                <w:color w:val="auto"/>
                <w:sz w:val="21"/>
                <w:szCs w:val="21"/>
                <w:highlight w:val="none"/>
              </w:rPr>
              <w:t xml:space="preserve">专家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共计5人</w:t>
            </w:r>
            <w:r>
              <w:rPr>
                <w:rFonts w:hint="eastAsia" w:ascii="宋体" w:hAnsi="宋体" w:eastAsia="宋体" w:cs="宋体"/>
                <w:color w:val="auto"/>
                <w:sz w:val="21"/>
                <w:szCs w:val="21"/>
                <w:highlight w:val="none"/>
              </w:rPr>
              <w:t>组成。</w:t>
            </w:r>
          </w:p>
        </w:tc>
      </w:tr>
      <w:tr w14:paraId="1A4C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29F2865D">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167" w:type="dxa"/>
            <w:tcBorders>
              <w:top w:val="single" w:color="auto" w:sz="4" w:space="0"/>
              <w:left w:val="single" w:color="auto" w:sz="4" w:space="0"/>
              <w:bottom w:val="single" w:color="auto" w:sz="4" w:space="0"/>
              <w:right w:val="single" w:color="auto" w:sz="4" w:space="0"/>
            </w:tcBorders>
            <w:vAlign w:val="center"/>
          </w:tcPr>
          <w:p w14:paraId="52F59F6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529" w:type="dxa"/>
            <w:tcBorders>
              <w:top w:val="single" w:color="auto" w:sz="4" w:space="0"/>
              <w:left w:val="single" w:color="auto" w:sz="4" w:space="0"/>
              <w:bottom w:val="single" w:color="auto" w:sz="4" w:space="0"/>
              <w:right w:val="single" w:color="auto" w:sz="4" w:space="0"/>
            </w:tcBorders>
            <w:vAlign w:val="center"/>
          </w:tcPr>
          <w:p w14:paraId="6B2D942F">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免收</w:t>
            </w:r>
          </w:p>
        </w:tc>
      </w:tr>
      <w:tr w14:paraId="2196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50" w:type="dxa"/>
            <w:tcBorders>
              <w:top w:val="single" w:color="auto" w:sz="4" w:space="0"/>
              <w:left w:val="single" w:color="auto" w:sz="4" w:space="0"/>
              <w:bottom w:val="single" w:color="auto" w:sz="4" w:space="0"/>
              <w:right w:val="single" w:color="auto" w:sz="4" w:space="0"/>
            </w:tcBorders>
            <w:vAlign w:val="center"/>
          </w:tcPr>
          <w:p w14:paraId="61187D00">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2167" w:type="dxa"/>
            <w:tcBorders>
              <w:top w:val="single" w:color="auto" w:sz="4" w:space="0"/>
              <w:left w:val="single" w:color="auto" w:sz="4" w:space="0"/>
              <w:bottom w:val="single" w:color="auto" w:sz="4" w:space="0"/>
              <w:right w:val="single" w:color="auto" w:sz="4" w:space="0"/>
            </w:tcBorders>
            <w:vAlign w:val="center"/>
          </w:tcPr>
          <w:p w14:paraId="64038CBC">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6529" w:type="dxa"/>
            <w:tcBorders>
              <w:top w:val="single" w:color="auto" w:sz="4" w:space="0"/>
              <w:left w:val="single" w:color="auto" w:sz="4" w:space="0"/>
              <w:bottom w:val="single" w:color="auto" w:sz="4" w:space="0"/>
              <w:right w:val="single" w:color="auto" w:sz="4" w:space="0"/>
            </w:tcBorders>
            <w:vAlign w:val="center"/>
          </w:tcPr>
          <w:p w14:paraId="76CFC1A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否，推荐的中标候选人数：1-3名</w:t>
            </w:r>
          </w:p>
        </w:tc>
      </w:tr>
      <w:tr w14:paraId="5545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750" w:type="dxa"/>
            <w:tcBorders>
              <w:top w:val="single" w:color="auto" w:sz="4" w:space="0"/>
              <w:left w:val="single" w:color="auto" w:sz="4" w:space="0"/>
              <w:bottom w:val="single" w:color="auto" w:sz="4" w:space="0"/>
              <w:right w:val="single" w:color="auto" w:sz="4" w:space="0"/>
            </w:tcBorders>
            <w:vAlign w:val="center"/>
          </w:tcPr>
          <w:p w14:paraId="02F59621">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2167" w:type="dxa"/>
            <w:tcBorders>
              <w:top w:val="single" w:color="auto" w:sz="4" w:space="0"/>
              <w:left w:val="single" w:color="auto" w:sz="4" w:space="0"/>
              <w:bottom w:val="single" w:color="auto" w:sz="4" w:space="0"/>
              <w:right w:val="single" w:color="auto" w:sz="4" w:space="0"/>
            </w:tcBorders>
            <w:vAlign w:val="center"/>
          </w:tcPr>
          <w:p w14:paraId="71315B37">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提示投标人注意事项         </w:t>
            </w:r>
          </w:p>
        </w:tc>
        <w:tc>
          <w:tcPr>
            <w:tcW w:w="6529" w:type="dxa"/>
            <w:tcBorders>
              <w:top w:val="single" w:color="auto" w:sz="4" w:space="0"/>
              <w:left w:val="single" w:color="auto" w:sz="4" w:space="0"/>
              <w:bottom w:val="single" w:color="auto" w:sz="4" w:space="0"/>
              <w:right w:val="single" w:color="auto" w:sz="4" w:space="0"/>
            </w:tcBorders>
            <w:vAlign w:val="center"/>
          </w:tcPr>
          <w:p w14:paraId="75600E8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豫发改公管〔2019〕198号)文件精神，本项目明确严格禁止不同投标人的“投标文件制作机器码一致”，若存在投标文件制作机器码或创建标识码与其他投标人雷同的或MAC地址一致，均按投标无效处理，行政监管部门依法查处。</w:t>
            </w:r>
          </w:p>
          <w:p w14:paraId="305E556F">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2、因新乡市公共资源交易中心平台在投标文件递交截止前具有保密性，投标人须自行查看项目进展、变更通知、澄清及回复，因投标人未及时查看而造成的后果由投标人自负。</w:t>
            </w:r>
          </w:p>
          <w:p w14:paraId="59776D3E">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3、本项目采购文件及采购公告中的项目编号和交易中心电子系统产生的项目编号（分包编号）均为有效编号，在评审时应均予认可。</w:t>
            </w:r>
          </w:p>
          <w:p w14:paraId="03D42425">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集中到投标截止时间前上传电子加密投标文件，可能出现由于投标企业制作电子投标文件不熟练、网络拥堵等不可预知的情况而且无法及时解决，丧失投标机会，请各投标企业提前制作、上传电子加密投标文件。</w:t>
            </w:r>
          </w:p>
        </w:tc>
      </w:tr>
      <w:tr w14:paraId="7280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0" w:type="dxa"/>
            <w:tcBorders>
              <w:top w:val="single" w:color="auto" w:sz="4" w:space="0"/>
              <w:left w:val="single" w:color="auto" w:sz="4" w:space="0"/>
              <w:bottom w:val="single" w:color="auto" w:sz="4" w:space="0"/>
              <w:right w:val="single" w:color="auto" w:sz="4" w:space="0"/>
            </w:tcBorders>
            <w:vAlign w:val="center"/>
          </w:tcPr>
          <w:p w14:paraId="3F279B50">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167" w:type="dxa"/>
            <w:tcBorders>
              <w:top w:val="single" w:color="auto" w:sz="4" w:space="0"/>
              <w:left w:val="single" w:color="auto" w:sz="4" w:space="0"/>
              <w:bottom w:val="single" w:color="auto" w:sz="4" w:space="0"/>
              <w:right w:val="single" w:color="auto" w:sz="4" w:space="0"/>
            </w:tcBorders>
            <w:vAlign w:val="center"/>
          </w:tcPr>
          <w:p w14:paraId="6A063184">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其他提示事项</w:t>
            </w:r>
          </w:p>
        </w:tc>
        <w:tc>
          <w:tcPr>
            <w:tcW w:w="6529" w:type="dxa"/>
            <w:tcBorders>
              <w:top w:val="single" w:color="auto" w:sz="4" w:space="0"/>
              <w:left w:val="single" w:color="auto" w:sz="4" w:space="0"/>
              <w:bottom w:val="single" w:color="auto" w:sz="4" w:space="0"/>
              <w:right w:val="single" w:color="auto" w:sz="4" w:space="0"/>
            </w:tcBorders>
            <w:shd w:val="clear" w:color="auto" w:fill="auto"/>
            <w:vAlign w:val="center"/>
          </w:tcPr>
          <w:p w14:paraId="67EE126D">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供应商认为采购文件、采购过程、中标或者成交结果使自己的权益受到损害的，可以在知道或者应知其权益受到损害之日起7个工作日内， 以书面形式向采购人、采购代理机构提出质疑。</w:t>
            </w:r>
          </w:p>
          <w:p w14:paraId="210EF3D9">
            <w:pPr>
              <w:spacing w:line="400" w:lineRule="exact"/>
              <w:rPr>
                <w:rFonts w:hint="default" w:ascii="Times New Roman" w:hAnsi="宋体" w:eastAsia="黑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针对同一采购程序环节的质疑</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在法定质疑期内一次性提出</w:t>
            </w:r>
            <w:r>
              <w:rPr>
                <w:rFonts w:hint="eastAsia" w:ascii="宋体" w:hAnsi="宋体" w:eastAsia="宋体" w:cs="宋体"/>
                <w:color w:val="auto"/>
                <w:sz w:val="21"/>
                <w:szCs w:val="21"/>
                <w:highlight w:val="none"/>
                <w:lang w:val="en-US" w:eastAsia="zh-CN"/>
              </w:rPr>
              <w:t>。</w:t>
            </w:r>
          </w:p>
        </w:tc>
      </w:tr>
      <w:tr w14:paraId="17F8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50" w:type="dxa"/>
            <w:tcBorders>
              <w:top w:val="single" w:color="auto" w:sz="4" w:space="0"/>
              <w:left w:val="single" w:color="auto" w:sz="4" w:space="0"/>
              <w:bottom w:val="single" w:color="auto" w:sz="4" w:space="0"/>
              <w:right w:val="single" w:color="auto" w:sz="4" w:space="0"/>
            </w:tcBorders>
            <w:vAlign w:val="center"/>
          </w:tcPr>
          <w:p w14:paraId="477933B1">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p>
        </w:tc>
        <w:tc>
          <w:tcPr>
            <w:tcW w:w="2167" w:type="dxa"/>
            <w:tcBorders>
              <w:top w:val="single" w:color="auto" w:sz="4" w:space="0"/>
              <w:left w:val="single" w:color="auto" w:sz="4" w:space="0"/>
              <w:bottom w:val="single" w:color="auto" w:sz="4" w:space="0"/>
              <w:right w:val="single" w:color="auto" w:sz="4" w:space="0"/>
            </w:tcBorders>
            <w:vAlign w:val="center"/>
          </w:tcPr>
          <w:p w14:paraId="0A4772D7">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政府采购相关政策</w:t>
            </w:r>
          </w:p>
        </w:tc>
        <w:tc>
          <w:tcPr>
            <w:tcW w:w="6529" w:type="dxa"/>
            <w:tcBorders>
              <w:top w:val="single" w:color="auto" w:sz="4" w:space="0"/>
              <w:left w:val="single" w:color="auto" w:sz="4" w:space="0"/>
              <w:bottom w:val="single" w:color="auto" w:sz="4" w:space="0"/>
              <w:right w:val="single" w:color="auto" w:sz="4" w:space="0"/>
            </w:tcBorders>
            <w:vAlign w:val="center"/>
          </w:tcPr>
          <w:p w14:paraId="7EDCADEC">
            <w:pPr>
              <w:pStyle w:val="17"/>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1、根据财库[2019]9 号《财政部、发展改革委、生态环境部、市场监管总局关于调整优化节能产品、环境标志产品政府采购执行机制的通知》、财库[2019]18 号《财政部、生态环境部关于印发环境标志产品政府采购品目清单的通知》、财库[2019]19 号《财政部、发展改革委关于印发节能产品政府采购品目清单的通知》文件规定，本项目如涉及到节能产品、环境标志产品政府采购品目清单内的产品，将依据国家确定的认证机构出具的、处于有效期之内的节能产品、环境标志产品认证证书，对获得证书的产品实施优先采购或强制采购。以上所指的“节能产品政府采购品目清单”在中国政府采购网（</w:t>
            </w:r>
            <w:r>
              <w:rPr>
                <w:rFonts w:hint="eastAsia" w:ascii="宋体" w:hAnsi="宋体" w:eastAsia="宋体" w:cs="宋体"/>
                <w:color w:val="auto"/>
                <w:kern w:val="0"/>
                <w:sz w:val="21"/>
                <w:szCs w:val="21"/>
                <w:highlight w:val="none"/>
                <w:lang w:val="en-US" w:eastAsia="zh-CN" w:bidi="ar"/>
              </w:rPr>
              <w:fldChar w:fldCharType="begin"/>
            </w:r>
            <w:r>
              <w:rPr>
                <w:rFonts w:hint="eastAsia" w:ascii="宋体" w:hAnsi="宋体" w:eastAsia="宋体" w:cs="宋体"/>
                <w:color w:val="auto"/>
                <w:kern w:val="0"/>
                <w:sz w:val="21"/>
                <w:szCs w:val="21"/>
                <w:highlight w:val="none"/>
                <w:lang w:val="en-US" w:eastAsia="zh-CN" w:bidi="ar"/>
              </w:rPr>
              <w:instrText xml:space="preserve"> HYPERLINK "http://www.ccgp.gov.cn/" \h </w:instrText>
            </w:r>
            <w:r>
              <w:rPr>
                <w:rFonts w:hint="eastAsia" w:ascii="宋体" w:hAnsi="宋体" w:eastAsia="宋体" w:cs="宋体"/>
                <w:color w:val="auto"/>
                <w:kern w:val="0"/>
                <w:sz w:val="21"/>
                <w:szCs w:val="21"/>
                <w:highlight w:val="none"/>
                <w:lang w:val="en-US" w:eastAsia="zh-CN" w:bidi="ar"/>
              </w:rPr>
              <w:fldChar w:fldCharType="separate"/>
            </w:r>
            <w:r>
              <w:rPr>
                <w:rFonts w:hint="eastAsia" w:ascii="宋体" w:hAnsi="宋体" w:eastAsia="宋体" w:cs="宋体"/>
                <w:color w:val="auto"/>
                <w:kern w:val="0"/>
                <w:sz w:val="21"/>
                <w:szCs w:val="21"/>
                <w:highlight w:val="none"/>
                <w:lang w:val="en-US" w:eastAsia="zh-CN" w:bidi="ar"/>
              </w:rPr>
              <w:t>http://www.ccgp.gov.cn/</w:t>
            </w:r>
            <w:r>
              <w:rPr>
                <w:rFonts w:hint="eastAsia" w:ascii="宋体" w:hAnsi="宋体" w:eastAsia="宋体" w:cs="宋体"/>
                <w:color w:val="auto"/>
                <w:kern w:val="0"/>
                <w:sz w:val="21"/>
                <w:szCs w:val="21"/>
                <w:highlight w:val="none"/>
                <w:lang w:val="en-US" w:eastAsia="zh-CN" w:bidi="ar"/>
              </w:rPr>
              <w:fldChar w:fldCharType="end"/>
            </w:r>
            <w:r>
              <w:rPr>
                <w:rFonts w:hint="eastAsia" w:ascii="宋体" w:hAnsi="宋体" w:eastAsia="宋体" w:cs="宋体"/>
                <w:color w:val="auto"/>
                <w:kern w:val="0"/>
                <w:sz w:val="21"/>
                <w:szCs w:val="21"/>
                <w:highlight w:val="none"/>
                <w:lang w:val="en-US" w:eastAsia="zh-CN" w:bidi="ar"/>
              </w:rPr>
              <w:t>）发布，“环境标志产品政府采购品目清单”在中国政府采购网（</w:t>
            </w:r>
            <w:r>
              <w:rPr>
                <w:rFonts w:hint="eastAsia" w:ascii="宋体" w:hAnsi="宋体" w:eastAsia="宋体" w:cs="宋体"/>
                <w:color w:val="auto"/>
                <w:kern w:val="0"/>
                <w:sz w:val="21"/>
                <w:szCs w:val="21"/>
                <w:highlight w:val="none"/>
                <w:lang w:val="en-US" w:eastAsia="zh-CN" w:bidi="ar"/>
              </w:rPr>
              <w:fldChar w:fldCharType="begin"/>
            </w:r>
            <w:r>
              <w:rPr>
                <w:rFonts w:hint="eastAsia" w:ascii="宋体" w:hAnsi="宋体" w:eastAsia="宋体" w:cs="宋体"/>
                <w:color w:val="auto"/>
                <w:kern w:val="0"/>
                <w:sz w:val="21"/>
                <w:szCs w:val="21"/>
                <w:highlight w:val="none"/>
                <w:lang w:val="en-US" w:eastAsia="zh-CN" w:bidi="ar"/>
              </w:rPr>
              <w:instrText xml:space="preserve"> HYPERLINK "http://www.ccgp.gov.cn/" \h </w:instrText>
            </w:r>
            <w:r>
              <w:rPr>
                <w:rFonts w:hint="eastAsia" w:ascii="宋体" w:hAnsi="宋体" w:eastAsia="宋体" w:cs="宋体"/>
                <w:color w:val="auto"/>
                <w:kern w:val="0"/>
                <w:sz w:val="21"/>
                <w:szCs w:val="21"/>
                <w:highlight w:val="none"/>
                <w:lang w:val="en-US" w:eastAsia="zh-CN" w:bidi="ar"/>
              </w:rPr>
              <w:fldChar w:fldCharType="separate"/>
            </w:r>
            <w:r>
              <w:rPr>
                <w:rFonts w:hint="eastAsia" w:ascii="宋体" w:hAnsi="宋体" w:eastAsia="宋体" w:cs="宋体"/>
                <w:color w:val="auto"/>
                <w:kern w:val="0"/>
                <w:sz w:val="21"/>
                <w:szCs w:val="21"/>
                <w:highlight w:val="none"/>
                <w:lang w:val="en-US" w:eastAsia="zh-CN" w:bidi="ar"/>
              </w:rPr>
              <w:t>http://www.ccgp.gov.cn/</w:t>
            </w:r>
            <w:r>
              <w:rPr>
                <w:rFonts w:hint="eastAsia" w:ascii="宋体" w:hAnsi="宋体" w:eastAsia="宋体" w:cs="宋体"/>
                <w:color w:val="auto"/>
                <w:kern w:val="0"/>
                <w:sz w:val="21"/>
                <w:szCs w:val="21"/>
                <w:highlight w:val="none"/>
                <w:lang w:val="en-US" w:eastAsia="zh-CN" w:bidi="ar"/>
              </w:rPr>
              <w:fldChar w:fldCharType="end"/>
            </w:r>
            <w:r>
              <w:rPr>
                <w:rFonts w:hint="eastAsia" w:ascii="宋体" w:hAnsi="宋体" w:eastAsia="宋体" w:cs="宋体"/>
                <w:color w:val="auto"/>
                <w:kern w:val="0"/>
                <w:sz w:val="21"/>
                <w:szCs w:val="21"/>
                <w:highlight w:val="none"/>
                <w:lang w:val="en-US" w:eastAsia="zh-CN" w:bidi="ar"/>
              </w:rPr>
              <w:t>）发布，均以国家有关部门公布的有效期内的清单为准。</w:t>
            </w:r>
          </w:p>
          <w:p w14:paraId="69F6BC85">
            <w:pPr>
              <w:pStyle w:val="17"/>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 </w:t>
            </w:r>
          </w:p>
          <w:p w14:paraId="09B4D4B7">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3、根据政府采购政策，本项目如涉及到自主创新首购产品，应当采购由财政部会同科技部等部门制定的《政府采购自主创新产品目录》内的产品。 </w:t>
            </w:r>
          </w:p>
          <w:p w14:paraId="137FC423">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4、根据政府采购政策，本项目如涉及到无线局域网产品，应当优先采购《无线局域网认证产品政府采购清单》内的产品，如涉及到信息安全产品，应当采购经国家认证的信息安全产品。 </w:t>
            </w:r>
          </w:p>
          <w:p w14:paraId="2C143DA4">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5、根据政府采购政策，本项目如涉及到计算机办公设备产品，竞标人所投产品必须是预装正版操作系统软件的计算机产品。 </w:t>
            </w:r>
          </w:p>
          <w:p w14:paraId="7AD076A0">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6、商品包装和快递包装应符合《商品包装政府采购需求标准（试行）》和《快递包装政府采购需求标准（试行）》规定。 </w:t>
            </w:r>
          </w:p>
          <w:p w14:paraId="4B52B104">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7、其它未尽事宜，按国家有关法律、法规执行。</w:t>
            </w:r>
          </w:p>
        </w:tc>
      </w:tr>
      <w:tr w14:paraId="7FF7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0" w:type="dxa"/>
            <w:tcBorders>
              <w:top w:val="single" w:color="auto" w:sz="4" w:space="0"/>
              <w:left w:val="single" w:color="auto" w:sz="4" w:space="0"/>
              <w:bottom w:val="single" w:color="auto" w:sz="4" w:space="0"/>
              <w:right w:val="single" w:color="auto" w:sz="4" w:space="0"/>
            </w:tcBorders>
            <w:vAlign w:val="center"/>
          </w:tcPr>
          <w:p w14:paraId="7C3D4511">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p>
        </w:tc>
        <w:tc>
          <w:tcPr>
            <w:tcW w:w="2167" w:type="dxa"/>
            <w:tcBorders>
              <w:top w:val="single" w:color="auto" w:sz="4" w:space="0"/>
              <w:left w:val="single" w:color="auto" w:sz="4" w:space="0"/>
              <w:bottom w:val="single" w:color="auto" w:sz="4" w:space="0"/>
              <w:right w:val="single" w:color="auto" w:sz="4" w:space="0"/>
            </w:tcBorders>
            <w:vAlign w:val="center"/>
          </w:tcPr>
          <w:p w14:paraId="5E15CE04">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5E2E0A07">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促进中小企业发展的政府采购政策</w:t>
            </w:r>
          </w:p>
        </w:tc>
        <w:tc>
          <w:tcPr>
            <w:tcW w:w="6529" w:type="dxa"/>
            <w:tcBorders>
              <w:top w:val="single" w:color="auto" w:sz="4" w:space="0"/>
              <w:left w:val="single" w:color="auto" w:sz="4" w:space="0"/>
              <w:bottom w:val="single" w:color="auto" w:sz="4" w:space="0"/>
              <w:right w:val="single" w:color="auto" w:sz="4" w:space="0"/>
            </w:tcBorders>
            <w:vAlign w:val="center"/>
          </w:tcPr>
          <w:p w14:paraId="020213B5">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据中小企业划型标准规定（工信部联企业[2011]300 号）和国家统计局关于印发《统计上大中小微型企业划分办法（2017）》的通知划分。执行支持小微企业、监狱企业、残疾人福利性单位等政府采购政策。</w:t>
            </w:r>
          </w:p>
          <w:p w14:paraId="775BDE6E">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A、为贯彻落实财库[2022]19号《关于进一步加大政府采购支持中小企业力度的通知》、财库[2020]46 号《关于印发《政府采购促进中小企业发展管理办法》的通知》、《中华人民共和国中小企业促进法》和国发[2009]36 号《国务院关于进一步促进中小企业发展的若干意见》，本项目鼓励中小企业参与投标，中小企业划型标准以工信部联企业〔2011〕300 号《工业和信息化部、国家统计局、国家发展和改革委员会、财政部关于印发中小企业划型标准规定的通知》为依据。</w:t>
            </w:r>
          </w:p>
          <w:p w14:paraId="690CBA61">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采购限额标准以上，200万元以下的货物和服务采购项目、400万元以下的工程采购项目，适宜由中小企业提供的，采购人应当专门面向中小企业采购。</w:t>
            </w:r>
          </w:p>
          <w:p w14:paraId="6F219462">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295DE809">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符合中小企业划型标准的个体工商户，在政府采购活动中视同中小企业。</w:t>
            </w:r>
          </w:p>
          <w:p w14:paraId="15D58D1C">
            <w:pPr>
              <w:pStyle w:val="135"/>
              <w:keepNext w:val="0"/>
              <w:keepLines w:val="0"/>
              <w:pageBreakBefore w:val="0"/>
              <w:kinsoku/>
              <w:wordWrap/>
              <w:overflowPunct/>
              <w:topLinePunct w:val="0"/>
              <w:autoSpaceDE w:val="0"/>
              <w:autoSpaceDN w:val="0"/>
              <w:bidi w:val="0"/>
              <w:adjustRightInd w:val="0"/>
              <w:snapToGrid/>
              <w:spacing w:line="40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本办法所称中小企业划型标准，是指国务院有关部门根据企业从业人员、营业收入、资产总额等指标制定的中小企业划型标准。</w:t>
            </w:r>
          </w:p>
          <w:p w14:paraId="6A34ED8D">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在货物采购项目中，货物由中小企业制造，即货物由中小企业生产且使用该中小企业商号或者注册商标；</w:t>
            </w:r>
          </w:p>
          <w:p w14:paraId="130B281F">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在工程采购项目中，工程由中小企业承建，即工程施工单位为中小企业；</w:t>
            </w:r>
          </w:p>
          <w:p w14:paraId="4FFB9FB0">
            <w:pPr>
              <w:pStyle w:val="135"/>
              <w:keepNext w:val="0"/>
              <w:keepLines w:val="0"/>
              <w:pageBreakBefore w:val="0"/>
              <w:kinsoku/>
              <w:wordWrap/>
              <w:overflowPunct/>
              <w:topLinePunct w:val="0"/>
              <w:autoSpaceDE w:val="0"/>
              <w:autoSpaceDN w:val="0"/>
              <w:bidi w:val="0"/>
              <w:adjustRightInd w:val="0"/>
              <w:snapToGrid/>
              <w:spacing w:line="40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在服务采购项目中，服务由中小企业承接，即提供服务的人员为中小企业依照《中华人民共和国劳动合同法》订立劳动合同的从业人员。</w:t>
            </w:r>
          </w:p>
          <w:p w14:paraId="71D36DB2">
            <w:pPr>
              <w:pStyle w:val="135"/>
              <w:keepNext w:val="0"/>
              <w:keepLines w:val="0"/>
              <w:pageBreakBefore w:val="0"/>
              <w:kinsoku/>
              <w:wordWrap/>
              <w:overflowPunct/>
              <w:topLinePunct w:val="0"/>
              <w:autoSpaceDE w:val="0"/>
              <w:autoSpaceDN w:val="0"/>
              <w:bidi w:val="0"/>
              <w:adjustRightInd w:val="0"/>
              <w:snapToGrid/>
              <w:spacing w:line="40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在货物采购项目中，供应商提供的货物既有中小企业制造货物，也有大型企业制造货物的，不享受本办法规定的中小企业扶持政策。</w:t>
            </w:r>
          </w:p>
          <w:p w14:paraId="25BEC75F">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以联合体形式参加政府采购活动，联合体各方均为中小企业的，联合体视同中小企业。其中，联合体各方均为小微企业的，联合体视同小微企业。</w:t>
            </w:r>
          </w:p>
          <w:p w14:paraId="37E5CF25">
            <w:pPr>
              <w:pStyle w:val="135"/>
              <w:keepNext w:val="0"/>
              <w:keepLines w:val="0"/>
              <w:pageBreakBefore w:val="0"/>
              <w:kinsoku/>
              <w:wordWrap/>
              <w:overflowPunct/>
              <w:topLinePunct w:val="0"/>
              <w:autoSpaceDE w:val="0"/>
              <w:autoSpaceDN w:val="0"/>
              <w:bidi w:val="0"/>
              <w:adjustRightInd w:val="0"/>
              <w:snapToGrid/>
              <w:spacing w:line="40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依据本办法规定享受扶持政策获得政府采购合同的，小微企业不得将合同分包给大中型企业，中型企业不得将合同分包给大型企业；</w:t>
            </w:r>
          </w:p>
          <w:p w14:paraId="41D2A162">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小企业参加政府采购活动，应当出具本办法规定的《中小企业声明函》，否则不得享受相关中小企业扶持政策。依据本办法规定享受扶持政策获得政府采购合同的，小微企业不得将合同分包给大中型企业，中型企业不得将合同分包给大型企业。</w:t>
            </w:r>
          </w:p>
          <w:p w14:paraId="436A91AC">
            <w:pPr>
              <w:pStyle w:val="135"/>
              <w:keepNext w:val="0"/>
              <w:keepLines w:val="0"/>
              <w:pageBreakBefore w:val="0"/>
              <w:kinsoku/>
              <w:wordWrap/>
              <w:overflowPunct/>
              <w:topLinePunct w:val="0"/>
              <w:autoSpaceDE w:val="0"/>
              <w:autoSpaceDN w:val="0"/>
              <w:bidi w:val="0"/>
              <w:adjustRightInd w:val="0"/>
              <w:snapToGrid/>
              <w:spacing w:line="40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B、根据《财政部、司法部关于政府采购支持监狱企业发展有关问题的通知》（财库[2014]68 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33AC538B">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C、根据《关于促进残疾人就业政府采购政策的通知》（财库〔2017〕141 号）文件规定，本项目支持残疾人福利性单位参与政府采购活动。符合条件的残疾人福利性单位参加本项目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14:paraId="4B0A811C">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bidi="ar"/>
              </w:rPr>
              <w:t>本项目</w:t>
            </w:r>
            <w:r>
              <w:rPr>
                <w:rFonts w:hint="eastAsia" w:ascii="宋体" w:hAnsi="宋体" w:eastAsia="宋体" w:cs="宋体"/>
                <w:b/>
                <w:bCs/>
                <w:color w:val="auto"/>
                <w:kern w:val="0"/>
                <w:sz w:val="21"/>
                <w:szCs w:val="21"/>
                <w:highlight w:val="none"/>
                <w:lang w:val="en-US" w:eastAsia="zh-CN" w:bidi="ar"/>
              </w:rPr>
              <w:t>为</w:t>
            </w:r>
            <w:r>
              <w:rPr>
                <w:rFonts w:hint="eastAsia" w:ascii="宋体" w:hAnsi="宋体" w:eastAsia="宋体" w:cs="宋体"/>
                <w:b/>
                <w:bCs/>
                <w:color w:val="auto"/>
                <w:sz w:val="21"/>
                <w:szCs w:val="21"/>
                <w:highlight w:val="none"/>
                <w:lang w:val="en-US" w:eastAsia="zh-CN" w:bidi="ar"/>
              </w:rPr>
              <w:t>非专门面向中小企业采购项目</w:t>
            </w:r>
          </w:p>
          <w:p w14:paraId="6369EA8E">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评审时给予小型或微型企业20%的价格扣除，用扣除后的价格参与评审，大型或中型企业用评审报价参与评分。</w:t>
            </w:r>
          </w:p>
          <w:p w14:paraId="2356CE7E">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大型企业评审报价=投标报价</w:t>
            </w:r>
          </w:p>
          <w:p w14:paraId="79729E44">
            <w:pPr>
              <w:pStyle w:val="135"/>
              <w:keepNext w:val="0"/>
              <w:keepLines w:val="0"/>
              <w:pageBreakBefore w:val="0"/>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中型企业评审报价=投标报价</w:t>
            </w:r>
          </w:p>
          <w:p w14:paraId="18C23FF1">
            <w:pPr>
              <w:pStyle w:val="135"/>
              <w:keepNext w:val="0"/>
              <w:keepLines w:val="0"/>
              <w:pageBreakBefore w:val="0"/>
              <w:kinsoku/>
              <w:wordWrap/>
              <w:overflowPunct/>
              <w:topLinePunct w:val="0"/>
              <w:autoSpaceDE w:val="0"/>
              <w:autoSpaceDN w:val="0"/>
              <w:bidi w:val="0"/>
              <w:adjustRightInd w:val="0"/>
              <w:snapToGrid/>
              <w:spacing w:line="40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小型或微型企业评审报价=投标报价*（1-20%）</w:t>
            </w:r>
          </w:p>
          <w:p w14:paraId="6D4CBC0C">
            <w:pPr>
              <w:keepNext w:val="0"/>
              <w:keepLines w:val="0"/>
              <w:pageBreakBefore w:val="0"/>
              <w:widowControl/>
              <w:kinsoku/>
              <w:wordWrap/>
              <w:overflowPunct/>
              <w:topLinePunct w:val="0"/>
              <w:autoSpaceDE w:val="0"/>
              <w:autoSpaceDN w:val="0"/>
              <w:bidi w:val="0"/>
              <w:adjustRightInd w:val="0"/>
              <w:snapToGrid/>
              <w:spacing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小型微型企业认定及评标价格评审：</w:t>
            </w:r>
          </w:p>
          <w:tbl>
            <w:tblPr>
              <w:tblStyle w:val="40"/>
              <w:tblW w:w="6651"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230"/>
              <w:gridCol w:w="1215"/>
              <w:gridCol w:w="1485"/>
              <w:gridCol w:w="1575"/>
            </w:tblGrid>
            <w:tr w14:paraId="2A9D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46" w:type="dxa"/>
                  <w:noWrap w:val="0"/>
                  <w:vAlign w:val="top"/>
                </w:tcPr>
                <w:p w14:paraId="4B75287E">
                  <w:pPr>
                    <w:pStyle w:val="135"/>
                    <w:keepNext w:val="0"/>
                    <w:keepLines w:val="0"/>
                    <w:pageBreakBefore w:val="0"/>
                    <w:kinsoku/>
                    <w:wordWrap/>
                    <w:overflowPunct/>
                    <w:topLinePunct w:val="0"/>
                    <w:bidi w:val="0"/>
                    <w:snapToGrid/>
                    <w:spacing w:before="136" w:line="400" w:lineRule="exact"/>
                    <w:ind w:left="122" w:leftChars="0" w:right="113" w:rightChars="0"/>
                    <w:jc w:val="center"/>
                    <w:textAlignment w:val="auto"/>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5"/>
                      <w:sz w:val="21"/>
                      <w:szCs w:val="21"/>
                      <w:highlight w:val="none"/>
                    </w:rPr>
                    <w:t>内容</w:t>
                  </w:r>
                </w:p>
              </w:tc>
              <w:tc>
                <w:tcPr>
                  <w:tcW w:w="1230" w:type="dxa"/>
                  <w:noWrap w:val="0"/>
                  <w:vAlign w:val="top"/>
                </w:tcPr>
                <w:p w14:paraId="559A5113">
                  <w:pPr>
                    <w:pStyle w:val="135"/>
                    <w:keepNext w:val="0"/>
                    <w:keepLines w:val="0"/>
                    <w:pageBreakBefore w:val="0"/>
                    <w:kinsoku/>
                    <w:wordWrap/>
                    <w:overflowPunct/>
                    <w:topLinePunct w:val="0"/>
                    <w:bidi w:val="0"/>
                    <w:snapToGrid/>
                    <w:spacing w:before="136" w:line="400" w:lineRule="exact"/>
                    <w:ind w:left="119" w:leftChars="0" w:right="116" w:rightChars="0"/>
                    <w:jc w:val="center"/>
                    <w:textAlignment w:val="auto"/>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3"/>
                      <w:sz w:val="21"/>
                      <w:szCs w:val="21"/>
                      <w:highlight w:val="none"/>
                    </w:rPr>
                    <w:t>大型企业</w:t>
                  </w:r>
                </w:p>
              </w:tc>
              <w:tc>
                <w:tcPr>
                  <w:tcW w:w="1215" w:type="dxa"/>
                  <w:noWrap w:val="0"/>
                  <w:vAlign w:val="top"/>
                </w:tcPr>
                <w:p w14:paraId="0D322C0B">
                  <w:pPr>
                    <w:pStyle w:val="135"/>
                    <w:keepNext w:val="0"/>
                    <w:keepLines w:val="0"/>
                    <w:pageBreakBefore w:val="0"/>
                    <w:kinsoku/>
                    <w:wordWrap/>
                    <w:overflowPunct/>
                    <w:topLinePunct w:val="0"/>
                    <w:bidi w:val="0"/>
                    <w:snapToGrid/>
                    <w:spacing w:before="136" w:line="400" w:lineRule="exact"/>
                    <w:ind w:left="136" w:leftChars="0" w:right="130" w:rightChars="0"/>
                    <w:jc w:val="center"/>
                    <w:textAlignment w:val="auto"/>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3"/>
                      <w:sz w:val="21"/>
                      <w:szCs w:val="21"/>
                      <w:highlight w:val="none"/>
                    </w:rPr>
                    <w:t>中型企业</w:t>
                  </w:r>
                </w:p>
              </w:tc>
              <w:tc>
                <w:tcPr>
                  <w:tcW w:w="1485" w:type="dxa"/>
                  <w:noWrap w:val="0"/>
                  <w:vAlign w:val="top"/>
                </w:tcPr>
                <w:p w14:paraId="60E5895C">
                  <w:pPr>
                    <w:pStyle w:val="135"/>
                    <w:keepNext w:val="0"/>
                    <w:keepLines w:val="0"/>
                    <w:pageBreakBefore w:val="0"/>
                    <w:kinsoku/>
                    <w:wordWrap/>
                    <w:overflowPunct/>
                    <w:topLinePunct w:val="0"/>
                    <w:bidi w:val="0"/>
                    <w:snapToGrid/>
                    <w:spacing w:before="136" w:line="400" w:lineRule="exact"/>
                    <w:ind w:left="15" w:leftChars="0" w:right="12" w:rightChars="0"/>
                    <w:jc w:val="center"/>
                    <w:textAlignment w:val="auto"/>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3"/>
                      <w:sz w:val="21"/>
                      <w:szCs w:val="21"/>
                      <w:highlight w:val="none"/>
                    </w:rPr>
                    <w:t>小型企业</w:t>
                  </w:r>
                </w:p>
              </w:tc>
              <w:tc>
                <w:tcPr>
                  <w:tcW w:w="1575" w:type="dxa"/>
                  <w:noWrap w:val="0"/>
                  <w:vAlign w:val="top"/>
                </w:tcPr>
                <w:p w14:paraId="44C9848F">
                  <w:pPr>
                    <w:pStyle w:val="135"/>
                    <w:keepNext w:val="0"/>
                    <w:keepLines w:val="0"/>
                    <w:pageBreakBefore w:val="0"/>
                    <w:kinsoku/>
                    <w:wordWrap/>
                    <w:overflowPunct/>
                    <w:topLinePunct w:val="0"/>
                    <w:bidi w:val="0"/>
                    <w:snapToGrid/>
                    <w:spacing w:before="136" w:line="400" w:lineRule="exact"/>
                    <w:ind w:left="49" w:leftChars="0" w:right="44" w:rightChars="0"/>
                    <w:jc w:val="center"/>
                    <w:textAlignment w:val="auto"/>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3"/>
                      <w:sz w:val="21"/>
                      <w:szCs w:val="21"/>
                      <w:highlight w:val="none"/>
                    </w:rPr>
                    <w:t>微型企业</w:t>
                  </w:r>
                </w:p>
              </w:tc>
            </w:tr>
            <w:tr w14:paraId="4442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46" w:type="dxa"/>
                  <w:noWrap w:val="0"/>
                  <w:vAlign w:val="top"/>
                </w:tcPr>
                <w:p w14:paraId="78629E90">
                  <w:pPr>
                    <w:pStyle w:val="135"/>
                    <w:keepNext w:val="0"/>
                    <w:keepLines w:val="0"/>
                    <w:pageBreakBefore w:val="0"/>
                    <w:kinsoku/>
                    <w:wordWrap/>
                    <w:overflowPunct/>
                    <w:topLinePunct w:val="0"/>
                    <w:bidi w:val="0"/>
                    <w:snapToGrid/>
                    <w:spacing w:line="400" w:lineRule="exact"/>
                    <w:textAlignment w:val="auto"/>
                    <w:rPr>
                      <w:rFonts w:hint="eastAsia" w:ascii="宋体" w:hAnsi="宋体" w:eastAsia="宋体" w:cs="宋体"/>
                      <w:b/>
                      <w:color w:val="auto"/>
                      <w:sz w:val="21"/>
                      <w:szCs w:val="21"/>
                      <w:highlight w:val="none"/>
                    </w:rPr>
                  </w:pPr>
                </w:p>
                <w:p w14:paraId="0AB09B2B">
                  <w:pPr>
                    <w:pStyle w:val="135"/>
                    <w:keepNext w:val="0"/>
                    <w:keepLines w:val="0"/>
                    <w:pageBreakBefore w:val="0"/>
                    <w:kinsoku/>
                    <w:wordWrap/>
                    <w:overflowPunct/>
                    <w:topLinePunct w:val="0"/>
                    <w:bidi w:val="0"/>
                    <w:snapToGrid/>
                    <w:spacing w:line="400" w:lineRule="exact"/>
                    <w:ind w:left="122" w:leftChars="0" w:right="115" w:rightChars="0"/>
                    <w:jc w:val="center"/>
                    <w:textAlignment w:val="auto"/>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4"/>
                      <w:sz w:val="21"/>
                      <w:szCs w:val="21"/>
                      <w:highlight w:val="none"/>
                    </w:rPr>
                    <w:t>价格=</w:t>
                  </w:r>
                </w:p>
              </w:tc>
              <w:tc>
                <w:tcPr>
                  <w:tcW w:w="1230" w:type="dxa"/>
                  <w:noWrap w:val="0"/>
                  <w:vAlign w:val="top"/>
                </w:tcPr>
                <w:p w14:paraId="3C1C0AA9">
                  <w:pPr>
                    <w:pStyle w:val="135"/>
                    <w:keepNext w:val="0"/>
                    <w:keepLines w:val="0"/>
                    <w:pageBreakBefore w:val="0"/>
                    <w:kinsoku/>
                    <w:wordWrap/>
                    <w:overflowPunct/>
                    <w:topLinePunct w:val="0"/>
                    <w:bidi w:val="0"/>
                    <w:snapToGrid/>
                    <w:spacing w:line="400" w:lineRule="exact"/>
                    <w:textAlignment w:val="auto"/>
                    <w:rPr>
                      <w:rFonts w:hint="eastAsia" w:ascii="宋体" w:hAnsi="宋体" w:eastAsia="宋体" w:cs="宋体"/>
                      <w:b/>
                      <w:color w:val="auto"/>
                      <w:sz w:val="21"/>
                      <w:szCs w:val="21"/>
                      <w:highlight w:val="none"/>
                    </w:rPr>
                  </w:pPr>
                </w:p>
                <w:p w14:paraId="53A882CE">
                  <w:pPr>
                    <w:pStyle w:val="135"/>
                    <w:keepNext w:val="0"/>
                    <w:keepLines w:val="0"/>
                    <w:pageBreakBefore w:val="0"/>
                    <w:kinsoku/>
                    <w:wordWrap/>
                    <w:overflowPunct/>
                    <w:topLinePunct w:val="0"/>
                    <w:bidi w:val="0"/>
                    <w:snapToGrid/>
                    <w:spacing w:line="400" w:lineRule="exact"/>
                    <w:ind w:left="119" w:leftChars="0" w:right="116" w:rightChars="0"/>
                    <w:jc w:val="center"/>
                    <w:textAlignment w:val="auto"/>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5"/>
                      <w:sz w:val="21"/>
                      <w:szCs w:val="21"/>
                      <w:highlight w:val="none"/>
                    </w:rPr>
                    <w:t>报价</w:t>
                  </w:r>
                </w:p>
              </w:tc>
              <w:tc>
                <w:tcPr>
                  <w:tcW w:w="1215" w:type="dxa"/>
                  <w:noWrap w:val="0"/>
                  <w:vAlign w:val="top"/>
                </w:tcPr>
                <w:p w14:paraId="7D3C0CB0">
                  <w:pPr>
                    <w:pStyle w:val="135"/>
                    <w:keepNext w:val="0"/>
                    <w:keepLines w:val="0"/>
                    <w:pageBreakBefore w:val="0"/>
                    <w:kinsoku/>
                    <w:wordWrap/>
                    <w:overflowPunct/>
                    <w:topLinePunct w:val="0"/>
                    <w:bidi w:val="0"/>
                    <w:snapToGrid/>
                    <w:spacing w:line="400" w:lineRule="exact"/>
                    <w:textAlignment w:val="auto"/>
                    <w:rPr>
                      <w:rFonts w:hint="eastAsia" w:ascii="宋体" w:hAnsi="宋体" w:eastAsia="宋体" w:cs="宋体"/>
                      <w:b/>
                      <w:color w:val="auto"/>
                      <w:sz w:val="21"/>
                      <w:szCs w:val="21"/>
                      <w:highlight w:val="none"/>
                    </w:rPr>
                  </w:pPr>
                </w:p>
                <w:p w14:paraId="67B5F2B9">
                  <w:pPr>
                    <w:pStyle w:val="135"/>
                    <w:keepNext w:val="0"/>
                    <w:keepLines w:val="0"/>
                    <w:pageBreakBefore w:val="0"/>
                    <w:kinsoku/>
                    <w:wordWrap/>
                    <w:overflowPunct/>
                    <w:topLinePunct w:val="0"/>
                    <w:bidi w:val="0"/>
                    <w:snapToGrid/>
                    <w:spacing w:line="400" w:lineRule="exact"/>
                    <w:ind w:left="136" w:leftChars="0" w:right="130" w:rightChars="0"/>
                    <w:jc w:val="center"/>
                    <w:textAlignment w:val="auto"/>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5"/>
                      <w:sz w:val="21"/>
                      <w:szCs w:val="21"/>
                      <w:highlight w:val="none"/>
                    </w:rPr>
                    <w:t>报价</w:t>
                  </w:r>
                </w:p>
              </w:tc>
              <w:tc>
                <w:tcPr>
                  <w:tcW w:w="1485" w:type="dxa"/>
                  <w:noWrap w:val="0"/>
                  <w:vAlign w:val="top"/>
                </w:tcPr>
                <w:p w14:paraId="5E336652">
                  <w:pPr>
                    <w:pStyle w:val="135"/>
                    <w:keepNext w:val="0"/>
                    <w:keepLines w:val="0"/>
                    <w:pageBreakBefore w:val="0"/>
                    <w:kinsoku/>
                    <w:wordWrap/>
                    <w:overflowPunct/>
                    <w:topLinePunct w:val="0"/>
                    <w:bidi w:val="0"/>
                    <w:snapToGrid/>
                    <w:spacing w:line="400" w:lineRule="exact"/>
                    <w:textAlignment w:val="auto"/>
                    <w:rPr>
                      <w:rFonts w:hint="eastAsia" w:ascii="宋体" w:hAnsi="宋体" w:eastAsia="宋体" w:cs="宋体"/>
                      <w:b/>
                      <w:color w:val="auto"/>
                      <w:sz w:val="21"/>
                      <w:szCs w:val="21"/>
                      <w:highlight w:val="none"/>
                    </w:rPr>
                  </w:pPr>
                </w:p>
                <w:p w14:paraId="48FDE26B">
                  <w:pPr>
                    <w:pStyle w:val="135"/>
                    <w:keepNext w:val="0"/>
                    <w:keepLines w:val="0"/>
                    <w:pageBreakBefore w:val="0"/>
                    <w:kinsoku/>
                    <w:wordWrap/>
                    <w:overflowPunct/>
                    <w:topLinePunct w:val="0"/>
                    <w:bidi w:val="0"/>
                    <w:snapToGrid/>
                    <w:spacing w:line="400" w:lineRule="exact"/>
                    <w:ind w:left="96" w:leftChars="0" w:right="12" w:rightChars="0"/>
                    <w:jc w:val="center"/>
                    <w:textAlignment w:val="auto"/>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z w:val="21"/>
                      <w:szCs w:val="21"/>
                      <w:highlight w:val="none"/>
                    </w:rPr>
                    <w:t>报价*（1-</w:t>
                  </w:r>
                  <w:r>
                    <w:rPr>
                      <w:rFonts w:hint="eastAsia" w:ascii="宋体" w:hAnsi="宋体" w:eastAsia="宋体" w:cs="宋体"/>
                      <w:color w:val="auto"/>
                      <w:spacing w:val="-4"/>
                      <w:sz w:val="21"/>
                      <w:szCs w:val="21"/>
                      <w:highlight w:val="none"/>
                    </w:rPr>
                    <w:t>20%）</w:t>
                  </w:r>
                </w:p>
              </w:tc>
              <w:tc>
                <w:tcPr>
                  <w:tcW w:w="1575" w:type="dxa"/>
                  <w:noWrap w:val="0"/>
                  <w:vAlign w:val="top"/>
                </w:tcPr>
                <w:p w14:paraId="0D539D7D">
                  <w:pPr>
                    <w:pStyle w:val="135"/>
                    <w:keepNext w:val="0"/>
                    <w:keepLines w:val="0"/>
                    <w:pageBreakBefore w:val="0"/>
                    <w:kinsoku/>
                    <w:wordWrap/>
                    <w:overflowPunct/>
                    <w:topLinePunct w:val="0"/>
                    <w:bidi w:val="0"/>
                    <w:snapToGrid/>
                    <w:spacing w:line="400" w:lineRule="exact"/>
                    <w:textAlignment w:val="auto"/>
                    <w:rPr>
                      <w:rFonts w:hint="eastAsia" w:ascii="宋体" w:hAnsi="宋体" w:eastAsia="宋体" w:cs="宋体"/>
                      <w:b/>
                      <w:color w:val="auto"/>
                      <w:sz w:val="21"/>
                      <w:szCs w:val="21"/>
                      <w:highlight w:val="none"/>
                    </w:rPr>
                  </w:pPr>
                </w:p>
                <w:p w14:paraId="44BFDA16">
                  <w:pPr>
                    <w:pStyle w:val="135"/>
                    <w:keepNext w:val="0"/>
                    <w:keepLines w:val="0"/>
                    <w:pageBreakBefore w:val="0"/>
                    <w:kinsoku/>
                    <w:wordWrap/>
                    <w:overflowPunct/>
                    <w:topLinePunct w:val="0"/>
                    <w:bidi w:val="0"/>
                    <w:snapToGrid/>
                    <w:spacing w:line="400" w:lineRule="exact"/>
                    <w:ind w:left="96" w:leftChars="0" w:right="44" w:rightChars="0"/>
                    <w:jc w:val="center"/>
                    <w:textAlignment w:val="auto"/>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z w:val="21"/>
                      <w:szCs w:val="21"/>
                      <w:highlight w:val="none"/>
                    </w:rPr>
                    <w:t>报价*（1-</w:t>
                  </w:r>
                  <w:r>
                    <w:rPr>
                      <w:rFonts w:hint="eastAsia" w:ascii="宋体" w:hAnsi="宋体" w:eastAsia="宋体" w:cs="宋体"/>
                      <w:color w:val="auto"/>
                      <w:spacing w:val="-4"/>
                      <w:sz w:val="21"/>
                      <w:szCs w:val="21"/>
                      <w:highlight w:val="none"/>
                    </w:rPr>
                    <w:t>20%）</w:t>
                  </w:r>
                </w:p>
              </w:tc>
            </w:tr>
          </w:tbl>
          <w:p w14:paraId="7B88E2AD">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tc>
      </w:tr>
      <w:tr w14:paraId="6238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0" w:type="dxa"/>
            <w:tcBorders>
              <w:top w:val="single" w:color="auto" w:sz="4" w:space="0"/>
              <w:left w:val="single" w:color="auto" w:sz="4" w:space="0"/>
              <w:bottom w:val="single" w:color="auto" w:sz="4" w:space="0"/>
              <w:right w:val="single" w:color="auto" w:sz="4" w:space="0"/>
            </w:tcBorders>
            <w:vAlign w:val="center"/>
          </w:tcPr>
          <w:p w14:paraId="651F3CF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w:t>
            </w:r>
          </w:p>
        </w:tc>
        <w:tc>
          <w:tcPr>
            <w:tcW w:w="2167" w:type="dxa"/>
            <w:tcBorders>
              <w:top w:val="single" w:color="auto" w:sz="4" w:space="0"/>
              <w:left w:val="single" w:color="auto" w:sz="4" w:space="0"/>
              <w:bottom w:val="single" w:color="auto" w:sz="4" w:space="0"/>
              <w:right w:val="single" w:color="auto" w:sz="4" w:space="0"/>
            </w:tcBorders>
            <w:vAlign w:val="center"/>
          </w:tcPr>
          <w:p w14:paraId="53FCC24D">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本项目所属行业</w:t>
            </w:r>
          </w:p>
        </w:tc>
        <w:tc>
          <w:tcPr>
            <w:tcW w:w="6529" w:type="dxa"/>
            <w:tcBorders>
              <w:top w:val="single" w:color="auto" w:sz="4" w:space="0"/>
              <w:left w:val="single" w:color="auto" w:sz="4" w:space="0"/>
              <w:bottom w:val="single" w:color="auto" w:sz="4" w:space="0"/>
              <w:right w:val="single" w:color="auto" w:sz="4" w:space="0"/>
            </w:tcBorders>
            <w:vAlign w:val="center"/>
          </w:tcPr>
          <w:p w14:paraId="39CD02E4">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根据工信部联企业[2011]300号文的规定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采购标的对应的中小企业</w:t>
            </w:r>
            <w:r>
              <w:rPr>
                <w:rFonts w:hint="eastAsia" w:ascii="宋体" w:hAnsi="宋体" w:eastAsia="宋体" w:cs="宋体"/>
                <w:color w:val="auto"/>
                <w:sz w:val="21"/>
                <w:szCs w:val="21"/>
                <w:highlight w:val="none"/>
                <w:lang w:val="en-US" w:eastAsia="zh-CN"/>
              </w:rPr>
              <w:t>划型</w:t>
            </w:r>
            <w:r>
              <w:rPr>
                <w:rFonts w:hint="eastAsia" w:ascii="宋体" w:hAnsi="宋体" w:eastAsia="宋体" w:cs="宋体"/>
                <w:color w:val="auto"/>
                <w:sz w:val="21"/>
                <w:szCs w:val="21"/>
                <w:highlight w:val="none"/>
              </w:rPr>
              <w:t>标准所属行业</w:t>
            </w:r>
            <w:r>
              <w:rPr>
                <w:rFonts w:hint="eastAsia" w:ascii="宋体" w:hAnsi="宋体" w:eastAsia="宋体" w:cs="宋体"/>
                <w:color w:val="auto"/>
                <w:sz w:val="21"/>
                <w:szCs w:val="21"/>
                <w:highlight w:val="none"/>
                <w:lang w:val="en-US" w:eastAsia="zh-CN"/>
              </w:rPr>
              <w:t>为：</w:t>
            </w:r>
            <w:r>
              <w:rPr>
                <w:rFonts w:hint="eastAsia" w:ascii="宋体" w:hAnsi="宋体" w:eastAsia="宋体" w:cs="宋体"/>
                <w:b/>
                <w:bCs/>
                <w:color w:val="auto"/>
                <w:sz w:val="21"/>
                <w:szCs w:val="21"/>
                <w:highlight w:val="none"/>
                <w:lang w:val="en-US"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274C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50" w:type="dxa"/>
            <w:tcBorders>
              <w:top w:val="single" w:color="auto" w:sz="4" w:space="0"/>
              <w:left w:val="single" w:color="auto" w:sz="4" w:space="0"/>
              <w:bottom w:val="single" w:color="auto" w:sz="4" w:space="0"/>
              <w:right w:val="single" w:color="auto" w:sz="4" w:space="0"/>
            </w:tcBorders>
            <w:vAlign w:val="center"/>
          </w:tcPr>
          <w:p w14:paraId="7AE4BDA9">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p>
        </w:tc>
        <w:tc>
          <w:tcPr>
            <w:tcW w:w="2167" w:type="dxa"/>
            <w:tcBorders>
              <w:top w:val="single" w:color="auto" w:sz="4" w:space="0"/>
              <w:left w:val="single" w:color="auto" w:sz="4" w:space="0"/>
              <w:bottom w:val="single" w:color="auto" w:sz="4" w:space="0"/>
              <w:right w:val="single" w:color="auto" w:sz="4" w:space="0"/>
            </w:tcBorders>
            <w:vAlign w:val="center"/>
          </w:tcPr>
          <w:p w14:paraId="10DE0B1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有关核心产品问题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货物类项目适用</w:t>
            </w:r>
            <w:r>
              <w:rPr>
                <w:rFonts w:hint="eastAsia" w:ascii="宋体" w:hAnsi="宋体" w:eastAsia="宋体" w:cs="宋体"/>
                <w:color w:val="auto"/>
                <w:sz w:val="21"/>
                <w:szCs w:val="21"/>
                <w:highlight w:val="none"/>
                <w:lang w:eastAsia="zh-CN"/>
              </w:rPr>
              <w:t>）</w:t>
            </w:r>
          </w:p>
        </w:tc>
        <w:tc>
          <w:tcPr>
            <w:tcW w:w="6529" w:type="dxa"/>
            <w:tcBorders>
              <w:top w:val="single" w:color="auto" w:sz="4" w:space="0"/>
              <w:left w:val="single" w:color="auto" w:sz="4" w:space="0"/>
              <w:bottom w:val="single" w:color="auto" w:sz="4" w:space="0"/>
              <w:right w:val="single" w:color="auto" w:sz="4" w:space="0"/>
            </w:tcBorders>
            <w:vAlign w:val="center"/>
          </w:tcPr>
          <w:p w14:paraId="3C233540">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非单一产品采购项目 ，采购人应当确定核心产品 ，核心产品将在招标文件 第五章“采购需求及具体要求”中载明，投标人提供的核心产品品牌相同的，按 《政府采购货物和服务招标投标管理办法》的规定处理。</w:t>
            </w:r>
          </w:p>
        </w:tc>
      </w:tr>
      <w:tr w14:paraId="0751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0" w:type="dxa"/>
            <w:tcBorders>
              <w:top w:val="single" w:color="auto" w:sz="4" w:space="0"/>
              <w:left w:val="single" w:color="auto" w:sz="4" w:space="0"/>
              <w:bottom w:val="single" w:color="auto" w:sz="4" w:space="0"/>
              <w:right w:val="single" w:color="auto" w:sz="4" w:space="0"/>
            </w:tcBorders>
            <w:vAlign w:val="center"/>
          </w:tcPr>
          <w:p w14:paraId="4BD3B6B0">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p>
        </w:tc>
        <w:tc>
          <w:tcPr>
            <w:tcW w:w="2167" w:type="dxa"/>
            <w:tcBorders>
              <w:top w:val="single" w:color="auto" w:sz="4" w:space="0"/>
              <w:left w:val="single" w:color="auto" w:sz="4" w:space="0"/>
              <w:bottom w:val="single" w:color="auto" w:sz="4" w:space="0"/>
              <w:right w:val="single" w:color="auto" w:sz="4" w:space="0"/>
            </w:tcBorders>
            <w:vAlign w:val="center"/>
          </w:tcPr>
          <w:p w14:paraId="490FA93C">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有关政府采购合同融资政策告知内容</w:t>
            </w:r>
          </w:p>
        </w:tc>
        <w:tc>
          <w:tcPr>
            <w:tcW w:w="6529" w:type="dxa"/>
            <w:tcBorders>
              <w:top w:val="single" w:color="auto" w:sz="4" w:space="0"/>
              <w:left w:val="single" w:color="auto" w:sz="4" w:space="0"/>
              <w:bottom w:val="single" w:color="auto" w:sz="4" w:space="0"/>
              <w:right w:val="single" w:color="auto" w:sz="4" w:space="0"/>
            </w:tcBorders>
            <w:vAlign w:val="center"/>
          </w:tcPr>
          <w:p w14:paraId="306CB5BF">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根据新乡市财政局《关于进一步推进政府采购合同融资工作实施方案的通知》（新财购【2020】10 号）要求，供应商在中标成交后可以持政府采购合同向融资机构申请贷款。融资渠道和方式可以通过河南省政府采购网或新乡市政府采购网“河南省政府采购合同融资平台”获取。</w:t>
            </w:r>
          </w:p>
        </w:tc>
      </w:tr>
      <w:tr w14:paraId="1CF7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50" w:type="dxa"/>
            <w:tcBorders>
              <w:top w:val="single" w:color="auto" w:sz="4" w:space="0"/>
              <w:left w:val="single" w:color="auto" w:sz="4" w:space="0"/>
              <w:bottom w:val="single" w:color="auto" w:sz="4" w:space="0"/>
              <w:right w:val="single" w:color="auto" w:sz="4" w:space="0"/>
            </w:tcBorders>
            <w:vAlign w:val="center"/>
          </w:tcPr>
          <w:p w14:paraId="72231690">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7</w:t>
            </w:r>
          </w:p>
        </w:tc>
        <w:tc>
          <w:tcPr>
            <w:tcW w:w="2167" w:type="dxa"/>
            <w:tcBorders>
              <w:top w:val="single" w:color="auto" w:sz="4" w:space="0"/>
              <w:left w:val="single" w:color="auto" w:sz="4" w:space="0"/>
              <w:bottom w:val="single" w:color="auto" w:sz="4" w:space="0"/>
              <w:right w:val="single" w:color="auto" w:sz="4" w:space="0"/>
            </w:tcBorders>
            <w:vAlign w:val="center"/>
          </w:tcPr>
          <w:p w14:paraId="5A14336C">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付款方式</w:t>
            </w:r>
          </w:p>
        </w:tc>
        <w:tc>
          <w:tcPr>
            <w:tcW w:w="6529" w:type="dxa"/>
            <w:tcBorders>
              <w:top w:val="single" w:color="auto" w:sz="4" w:space="0"/>
              <w:left w:val="single" w:color="auto" w:sz="4" w:space="0"/>
              <w:bottom w:val="single" w:color="auto" w:sz="4" w:space="0"/>
              <w:right w:val="single" w:color="auto" w:sz="4" w:space="0"/>
            </w:tcBorders>
            <w:vAlign w:val="center"/>
          </w:tcPr>
          <w:p w14:paraId="38ACA6B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签订合同后预付合同价款的50%，设备到货并安装调试完成，经验收合格后，无质量问题后一次性付清。</w:t>
            </w:r>
          </w:p>
        </w:tc>
      </w:tr>
      <w:tr w14:paraId="18BF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52E53637">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8</w:t>
            </w:r>
          </w:p>
        </w:tc>
        <w:tc>
          <w:tcPr>
            <w:tcW w:w="2167" w:type="dxa"/>
            <w:tcBorders>
              <w:top w:val="single" w:color="auto" w:sz="4" w:space="0"/>
              <w:left w:val="single" w:color="auto" w:sz="4" w:space="0"/>
              <w:bottom w:val="single" w:color="auto" w:sz="4" w:space="0"/>
              <w:right w:val="single" w:color="auto" w:sz="4" w:space="0"/>
            </w:tcBorders>
            <w:vAlign w:val="center"/>
          </w:tcPr>
          <w:p w14:paraId="180C7256">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代理服务费</w:t>
            </w:r>
          </w:p>
        </w:tc>
        <w:tc>
          <w:tcPr>
            <w:tcW w:w="6529" w:type="dxa"/>
            <w:tcBorders>
              <w:top w:val="single" w:color="auto" w:sz="4" w:space="0"/>
              <w:left w:val="single" w:color="auto" w:sz="4" w:space="0"/>
              <w:bottom w:val="single" w:color="auto" w:sz="4" w:space="0"/>
              <w:right w:val="single" w:color="auto" w:sz="4" w:space="0"/>
            </w:tcBorders>
            <w:vAlign w:val="center"/>
          </w:tcPr>
          <w:p w14:paraId="0D2B2807">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（1）本项目招标代理服务费：按关于印发《河南省招标代理服务费指导意见》的通知，豫招协[2023]002号文收费标准收取招标代理服务费，由中标人领取中标通知书时支付</w:t>
            </w:r>
            <w:r>
              <w:rPr>
                <w:rFonts w:hint="eastAsia" w:hAnsi="宋体" w:eastAsia="宋体" w:cs="宋体"/>
                <w:color w:val="auto"/>
                <w:sz w:val="21"/>
                <w:szCs w:val="21"/>
                <w:highlight w:val="none"/>
                <w:lang w:eastAsia="zh-CN"/>
              </w:rPr>
              <w:t>，</w:t>
            </w:r>
            <w:r>
              <w:rPr>
                <w:rFonts w:hint="eastAsia" w:ascii="Times New Roman" w:hAnsi="宋体" w:eastAsia="宋体" w:cs="宋体"/>
                <w:color w:val="auto"/>
                <w:sz w:val="21"/>
                <w:szCs w:val="21"/>
                <w:highlight w:val="none"/>
                <w:lang w:val="en-US" w:eastAsia="zh-CN"/>
              </w:rPr>
              <w:t>二标段代理服务费均为：</w:t>
            </w:r>
            <w:r>
              <w:rPr>
                <w:rFonts w:hint="eastAsia" w:hAnsi="宋体" w:eastAsia="宋体" w:cs="宋体"/>
                <w:color w:val="auto"/>
                <w:sz w:val="21"/>
                <w:szCs w:val="21"/>
                <w:highlight w:val="none"/>
                <w:lang w:val="en-US" w:eastAsia="zh-CN"/>
              </w:rPr>
              <w:t>1</w:t>
            </w:r>
            <w:r>
              <w:rPr>
                <w:rFonts w:hint="eastAsia" w:ascii="Times New Roman" w:hAnsi="宋体" w:eastAsia="宋体" w:cs="宋体"/>
                <w:color w:val="auto"/>
                <w:sz w:val="21"/>
                <w:szCs w:val="21"/>
                <w:highlight w:val="none"/>
                <w:lang w:val="en-US" w:eastAsia="zh-CN"/>
              </w:rPr>
              <w:t>万元。</w:t>
            </w:r>
          </w:p>
          <w:p w14:paraId="68001649">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（2）招标代理服务费的交纳方式：</w:t>
            </w:r>
          </w:p>
          <w:p w14:paraId="75716A03">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rPr>
              <w:t>名称：新乡市丰成工程管理有限公司</w:t>
            </w:r>
          </w:p>
          <w:p w14:paraId="552C51E9">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开户银行：中原银行股份有限公司封丘支行</w:t>
            </w:r>
          </w:p>
          <w:p w14:paraId="0FF93F35">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410744010170115801；</w:t>
            </w:r>
          </w:p>
          <w:p w14:paraId="278AA474">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缴纳代理服务费后，请及时联系我公司财务开取发票，联系电话：0373-8586582</w:t>
            </w:r>
          </w:p>
        </w:tc>
      </w:tr>
      <w:tr w14:paraId="78BF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0" w:type="dxa"/>
            <w:tcBorders>
              <w:top w:val="single" w:color="auto" w:sz="4" w:space="0"/>
              <w:left w:val="single" w:color="auto" w:sz="4" w:space="0"/>
              <w:bottom w:val="single" w:color="auto" w:sz="4" w:space="0"/>
              <w:right w:val="single" w:color="auto" w:sz="4" w:space="0"/>
            </w:tcBorders>
            <w:vAlign w:val="center"/>
          </w:tcPr>
          <w:p w14:paraId="4088B891">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w:t>
            </w:r>
          </w:p>
        </w:tc>
        <w:tc>
          <w:tcPr>
            <w:tcW w:w="2167" w:type="dxa"/>
            <w:tcBorders>
              <w:top w:val="single" w:color="auto" w:sz="4" w:space="0"/>
              <w:left w:val="single" w:color="auto" w:sz="4" w:space="0"/>
              <w:bottom w:val="single" w:color="auto" w:sz="4" w:space="0"/>
              <w:right w:val="single" w:color="auto" w:sz="4" w:space="0"/>
            </w:tcBorders>
            <w:vAlign w:val="center"/>
          </w:tcPr>
          <w:p w14:paraId="7C559494">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同义词语</w:t>
            </w:r>
          </w:p>
        </w:tc>
        <w:tc>
          <w:tcPr>
            <w:tcW w:w="6529" w:type="dxa"/>
            <w:tcBorders>
              <w:top w:val="single" w:color="auto" w:sz="4" w:space="0"/>
              <w:left w:val="single" w:color="auto" w:sz="4" w:space="0"/>
              <w:bottom w:val="single" w:color="auto" w:sz="4" w:space="0"/>
              <w:right w:val="single" w:color="auto" w:sz="4" w:space="0"/>
            </w:tcBorders>
            <w:vAlign w:val="center"/>
          </w:tcPr>
          <w:p w14:paraId="408D9461">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中“招标文件”、“采购文件”所表述的为同一内容；本文件中“招标公告”、“采购公告”所表述的为同一内容；本文件中“招标人”、“采购人”所表述的为同一内容；本文件中“投标人”、“供应商”所表述的为同一内容；本文件中“中标人”、“成交人”所表述的为同一内容；本文件中“响应性文件”、“投标文件”所表述的为同一内容；本文件中“合同履行期限”、“交货期”、“交货及完工期”“</w:t>
            </w:r>
            <w:r>
              <w:rPr>
                <w:rFonts w:hint="eastAsia" w:ascii="宋体" w:hAnsi="宋体" w:eastAsia="宋体" w:cs="宋体"/>
                <w:color w:val="auto"/>
                <w:sz w:val="21"/>
                <w:szCs w:val="21"/>
                <w:highlight w:val="none"/>
                <w:lang w:val="en-US" w:eastAsia="zh-CN"/>
              </w:rPr>
              <w:t>完成期限</w:t>
            </w:r>
            <w:r>
              <w:rPr>
                <w:rFonts w:hint="eastAsia" w:ascii="宋体" w:hAnsi="宋体" w:eastAsia="宋体" w:cs="宋体"/>
                <w:color w:val="auto"/>
                <w:sz w:val="21"/>
                <w:szCs w:val="21"/>
                <w:highlight w:val="none"/>
              </w:rPr>
              <w:t>”所表述的为同一内容，本文件中“货物名称”、“投标货物名称”“产品名称”、“投标产品名称”所表述的为同一内容。</w:t>
            </w:r>
          </w:p>
        </w:tc>
      </w:tr>
      <w:tr w14:paraId="6EBC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0" w:type="dxa"/>
            <w:tcBorders>
              <w:top w:val="single" w:color="auto" w:sz="4" w:space="0"/>
              <w:left w:val="single" w:color="auto" w:sz="4" w:space="0"/>
              <w:bottom w:val="single" w:color="auto" w:sz="4" w:space="0"/>
              <w:right w:val="single" w:color="auto" w:sz="4" w:space="0"/>
            </w:tcBorders>
            <w:vAlign w:val="center"/>
          </w:tcPr>
          <w:p w14:paraId="7F51DFA9">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2167" w:type="dxa"/>
            <w:tcBorders>
              <w:top w:val="single" w:color="auto" w:sz="4" w:space="0"/>
              <w:left w:val="single" w:color="auto" w:sz="4" w:space="0"/>
              <w:bottom w:val="single" w:color="auto" w:sz="4" w:space="0"/>
              <w:right w:val="single" w:color="auto" w:sz="4" w:space="0"/>
            </w:tcBorders>
            <w:vAlign w:val="center"/>
          </w:tcPr>
          <w:p w14:paraId="1D6DC7F7">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验收要求</w:t>
            </w:r>
          </w:p>
        </w:tc>
        <w:tc>
          <w:tcPr>
            <w:tcW w:w="6529" w:type="dxa"/>
            <w:tcBorders>
              <w:top w:val="single" w:color="auto" w:sz="4" w:space="0"/>
              <w:left w:val="single" w:color="auto" w:sz="4" w:space="0"/>
              <w:bottom w:val="single" w:color="auto" w:sz="4" w:space="0"/>
              <w:right w:val="single" w:color="auto" w:sz="4" w:space="0"/>
            </w:tcBorders>
            <w:vAlign w:val="center"/>
          </w:tcPr>
          <w:p w14:paraId="377FE552">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按照招标文件规定、中标供应商投标文件承诺及国家有关规定认真组织验收工作</w:t>
            </w:r>
            <w:r>
              <w:rPr>
                <w:rFonts w:hint="eastAsia" w:ascii="宋体" w:hAnsi="宋体" w:eastAsia="宋体" w:cs="宋体"/>
                <w:color w:val="auto"/>
                <w:sz w:val="21"/>
                <w:szCs w:val="21"/>
                <w:highlight w:val="none"/>
                <w:lang w:eastAsia="zh-CN"/>
              </w:rPr>
              <w:t>。</w:t>
            </w:r>
          </w:p>
        </w:tc>
      </w:tr>
      <w:tr w14:paraId="2DAE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446" w:type="dxa"/>
            <w:gridSpan w:val="3"/>
            <w:tcBorders>
              <w:top w:val="single" w:color="auto" w:sz="4" w:space="0"/>
              <w:left w:val="single" w:color="auto" w:sz="4" w:space="0"/>
              <w:bottom w:val="single" w:color="auto" w:sz="4" w:space="0"/>
              <w:right w:val="single" w:color="auto" w:sz="4" w:space="0"/>
            </w:tcBorders>
            <w:vAlign w:val="center"/>
          </w:tcPr>
          <w:p w14:paraId="25755B9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本文件解释权归采购人； </w:t>
            </w:r>
          </w:p>
          <w:p w14:paraId="032277C2">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其它未尽事宜，按国家有关法律、法规执行；</w:t>
            </w:r>
          </w:p>
          <w:p w14:paraId="0A22E602">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如招标文件前后出现不一致，以招标公告和投标人须知前附表为准。</w:t>
            </w:r>
          </w:p>
        </w:tc>
      </w:tr>
    </w:tbl>
    <w:p w14:paraId="38A9EF39">
      <w:pPr>
        <w:keepNext/>
        <w:keepLines/>
        <w:adjustRightInd w:val="0"/>
        <w:spacing w:line="440" w:lineRule="exact"/>
        <w:ind w:firstLine="442" w:firstLineChars="200"/>
        <w:jc w:val="left"/>
        <w:textAlignment w:val="baseline"/>
        <w:outlineLvl w:val="1"/>
        <w:rPr>
          <w:rFonts w:hint="eastAsia" w:ascii="宋体" w:hAnsi="宋体" w:eastAsia="宋体" w:cs="宋体"/>
          <w:b/>
          <w:color w:val="auto"/>
          <w:kern w:val="0"/>
          <w:sz w:val="22"/>
          <w:szCs w:val="22"/>
          <w:highlight w:val="none"/>
        </w:rPr>
      </w:pPr>
      <w:bookmarkStart w:id="34" w:name="_Toc13087"/>
      <w:r>
        <w:rPr>
          <w:rFonts w:hint="eastAsia" w:ascii="宋体" w:hAnsi="宋体" w:eastAsia="宋体" w:cs="宋体"/>
          <w:b/>
          <w:color w:val="auto"/>
          <w:kern w:val="0"/>
          <w:sz w:val="22"/>
          <w:szCs w:val="22"/>
          <w:highlight w:val="none"/>
        </w:rPr>
        <w:t xml:space="preserve"> </w:t>
      </w:r>
      <w:bookmarkStart w:id="35" w:name="_Toc618"/>
      <w:bookmarkStart w:id="36" w:name="_Toc18358"/>
      <w:bookmarkStart w:id="37" w:name="_Toc20327"/>
      <w:r>
        <w:rPr>
          <w:rFonts w:hint="eastAsia" w:ascii="宋体" w:hAnsi="宋体" w:eastAsia="宋体" w:cs="宋体"/>
          <w:b/>
          <w:color w:val="auto"/>
          <w:kern w:val="0"/>
          <w:sz w:val="22"/>
          <w:szCs w:val="22"/>
          <w:highlight w:val="none"/>
        </w:rPr>
        <w:t>(一)总则</w:t>
      </w:r>
      <w:bookmarkEnd w:id="35"/>
      <w:bookmarkEnd w:id="36"/>
      <w:bookmarkEnd w:id="37"/>
      <w:r>
        <w:rPr>
          <w:rFonts w:hint="eastAsia" w:ascii="宋体" w:hAnsi="宋体" w:eastAsia="宋体" w:cs="宋体"/>
          <w:b/>
          <w:color w:val="auto"/>
          <w:kern w:val="0"/>
          <w:sz w:val="22"/>
          <w:szCs w:val="22"/>
          <w:highlight w:val="none"/>
        </w:rPr>
        <w:t xml:space="preserve">     </w:t>
      </w:r>
    </w:p>
    <w:p w14:paraId="7D9E2644">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1、本次招标文件仅适用于本次招标公告中所叙述采购项目的政府采购。    </w:t>
      </w:r>
    </w:p>
    <w:p w14:paraId="3004B12B">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1.1本次招标文件的解释权属于采购人。</w:t>
      </w:r>
    </w:p>
    <w:p w14:paraId="5E9C775B">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2、定义：</w:t>
      </w:r>
    </w:p>
    <w:p w14:paraId="4EB4D5DA">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2.1“采购代理机构”指采购人本次委托人采购代理机构。</w:t>
      </w:r>
    </w:p>
    <w:p w14:paraId="41EAFC44">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2.2“采购人”见本招标文件“第一部分 招标公告”。</w:t>
      </w:r>
    </w:p>
    <w:p w14:paraId="6A4122B2">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2.3“投标人”指符合本文件规定并接受参加投标的投标人。</w:t>
      </w:r>
    </w:p>
    <w:p w14:paraId="3971D6BB">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货物”指本次招标文件规定投标人应提交的货物及伴随的相关服务；“服务”指本次招标文件规定投标人应承担的与提供货物和服务有关的辅助服务，比如运输、保险、安装、调试、提供技术援助、培训、配合措施、维修响应及合同中规定投标人应承担的其它义务。</w:t>
      </w:r>
    </w:p>
    <w:p w14:paraId="062BEED5">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2.5“中标人”指依据本招标文件规定经评标委员会评审被最终授予合同的投标人。</w:t>
      </w:r>
    </w:p>
    <w:p w14:paraId="55072D72">
      <w:pPr>
        <w:tabs>
          <w:tab w:val="left" w:pos="72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2.6“法定代表人”指法人单位 (企业) 法人营业执照 (或事业法人登记证书上) 上注明的法定代表人；如为个体经营者参加投标的，指个体工商户营业执照上注明的经营者。</w:t>
      </w:r>
      <w:r>
        <w:rPr>
          <w:rFonts w:hint="eastAsia" w:ascii="宋体" w:hAnsi="宋体" w:eastAsia="宋体" w:cs="宋体"/>
          <w:color w:val="auto"/>
          <w:spacing w:val="-2"/>
          <w:sz w:val="21"/>
          <w:szCs w:val="21"/>
          <w:highlight w:val="none"/>
        </w:rPr>
        <w:t>根据《〈政府采购法实施条例〉释义》，银行、保险、石油石化、电力、电信等有行业特殊</w:t>
      </w:r>
      <w:r>
        <w:rPr>
          <w:rFonts w:hint="eastAsia" w:ascii="宋体" w:hAnsi="宋体" w:eastAsia="宋体" w:cs="宋体"/>
          <w:color w:val="auto"/>
          <w:spacing w:val="-12"/>
          <w:sz w:val="21"/>
          <w:szCs w:val="21"/>
          <w:highlight w:val="none"/>
        </w:rPr>
        <w:t>情况的，取得营业执照的分支机构可以分公司名义参与投标，但同一上级公司的两个分支机构不得</w:t>
      </w:r>
      <w:r>
        <w:rPr>
          <w:rFonts w:hint="eastAsia" w:ascii="宋体" w:hAnsi="宋体" w:eastAsia="宋体" w:cs="宋体"/>
          <w:color w:val="auto"/>
          <w:spacing w:val="-7"/>
          <w:sz w:val="21"/>
          <w:szCs w:val="21"/>
          <w:highlight w:val="none"/>
        </w:rPr>
        <w:t>同时参加投标，招标文件中涉及的“法定代表人”在前述特殊行业中即对应为“分支机构负责人”。</w:t>
      </w:r>
    </w:p>
    <w:p w14:paraId="0EE1F652">
      <w:pPr>
        <w:tabs>
          <w:tab w:val="left" w:pos="72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3、合格投标人的条件：</w:t>
      </w:r>
    </w:p>
    <w:p w14:paraId="111C83A8">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投标人应遵守国家的有关法律、法规和条例，还须具备《中华人民共和国政府采购法》和本招标文件中规定的条件</w:t>
      </w:r>
      <w:r>
        <w:rPr>
          <w:rFonts w:hint="eastAsia" w:ascii="宋体" w:hAnsi="宋体" w:eastAsia="宋体" w:cs="宋体"/>
          <w:b/>
          <w:color w:val="auto"/>
          <w:kern w:val="0"/>
          <w:sz w:val="21"/>
          <w:szCs w:val="21"/>
          <w:highlight w:val="none"/>
        </w:rPr>
        <w:t>。</w:t>
      </w:r>
    </w:p>
    <w:p w14:paraId="1CFE984B">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4、只有在法律上和财务上独立运作的投标人才能参加投标。</w:t>
      </w:r>
    </w:p>
    <w:p w14:paraId="607C9303">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5、投标人报名按照新乡市公共资源交易中心网上报名要求进行。</w:t>
      </w:r>
    </w:p>
    <w:p w14:paraId="1954A67A">
      <w:pPr>
        <w:adjustRightInd w:val="0"/>
        <w:spacing w:line="44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6、评委会查验核实投标人商务标文件时，投标人代表为法定代表人的应有法定代表人身份证扫描件；如投标人代表为授权代表的，应与《授权委托书》中的代表一致且有身份证扫描件。</w:t>
      </w:r>
    </w:p>
    <w:p w14:paraId="7563C1D2">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7、投标费用：</w:t>
      </w:r>
    </w:p>
    <w:p w14:paraId="7F3160A0">
      <w:pPr>
        <w:adjustRightInd w:val="0"/>
        <w:spacing w:line="44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投标人应承担所有与准备和参加投标有关的费用，采购代理机构和采购人在任何情况下均无义务和责任承担这些费用。</w:t>
      </w:r>
    </w:p>
    <w:p w14:paraId="75F584BB">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8、通知：</w:t>
      </w:r>
    </w:p>
    <w:p w14:paraId="3C27A49B">
      <w:pPr>
        <w:tabs>
          <w:tab w:val="left" w:pos="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与本项目有关的通知，采购代理机构将以公告形式，向投标人发出，投标人应以书面方式立即予以回复确认，但投标人未回复或采购代理机构未收到回复时，采购代理机构不因此承担任何责任，有关的招标活动可以继续有效地进行，请潜在投标人注意查看公告。</w:t>
      </w:r>
    </w:p>
    <w:p w14:paraId="46B1834E">
      <w:pPr>
        <w:keepNext/>
        <w:keepLines/>
        <w:adjustRightInd w:val="0"/>
        <w:spacing w:line="440" w:lineRule="exact"/>
        <w:ind w:firstLine="422" w:firstLineChars="200"/>
        <w:jc w:val="left"/>
        <w:textAlignment w:val="baseline"/>
        <w:outlineLvl w:val="1"/>
        <w:rPr>
          <w:rFonts w:hint="eastAsia" w:ascii="宋体" w:hAnsi="宋体" w:eastAsia="宋体" w:cs="宋体"/>
          <w:b/>
          <w:color w:val="auto"/>
          <w:kern w:val="0"/>
          <w:sz w:val="21"/>
          <w:szCs w:val="21"/>
          <w:highlight w:val="none"/>
        </w:rPr>
      </w:pPr>
      <w:bookmarkStart w:id="38" w:name="_Toc26768"/>
      <w:bookmarkStart w:id="39" w:name="_Toc26614"/>
      <w:bookmarkStart w:id="40" w:name="_Toc2624"/>
      <w:bookmarkStart w:id="41" w:name="_Toc500596804"/>
      <w:bookmarkStart w:id="42" w:name="_Toc500632309"/>
      <w:r>
        <w:rPr>
          <w:rFonts w:hint="eastAsia" w:ascii="宋体" w:hAnsi="宋体" w:eastAsia="宋体" w:cs="宋体"/>
          <w:b/>
          <w:color w:val="auto"/>
          <w:kern w:val="0"/>
          <w:sz w:val="21"/>
          <w:szCs w:val="21"/>
          <w:highlight w:val="none"/>
        </w:rPr>
        <w:t>（二）招标文件</w:t>
      </w:r>
      <w:bookmarkEnd w:id="38"/>
      <w:bookmarkEnd w:id="39"/>
      <w:bookmarkEnd w:id="40"/>
      <w:bookmarkEnd w:id="41"/>
      <w:bookmarkEnd w:id="42"/>
    </w:p>
    <w:p w14:paraId="5AF094AB">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招标文件由招标文件目录所列内容组成，投标人应详细阅读招标文件的全部内容，按照招标文件要求提交投标文件，并保证所提交的全部资料的真实性，不按招标文件的要求提供的投标文件和资料，可能导致投标被拒绝。投标人请仔细检查招标文件是否齐全，如有缺漏，请立即与采购人或采购代理机构联系，否则，将视为对本招标文件无任何异议。</w:t>
      </w:r>
    </w:p>
    <w:p w14:paraId="6F50DAA0">
      <w:pPr>
        <w:adjustRightInd w:val="0"/>
        <w:spacing w:line="440" w:lineRule="exact"/>
        <w:ind w:firstLine="420" w:firstLineChars="200"/>
        <w:jc w:val="left"/>
        <w:textAlignment w:val="baseline"/>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b/>
          <w:color w:val="auto"/>
          <w:kern w:val="0"/>
          <w:sz w:val="21"/>
          <w:szCs w:val="21"/>
          <w:highlight w:val="none"/>
        </w:rPr>
        <w:t>招标文件的澄清与修改</w:t>
      </w:r>
    </w:p>
    <w:p w14:paraId="41D99740">
      <w:pPr>
        <w:adjustRightInd w:val="0"/>
        <w:spacing w:line="440" w:lineRule="exact"/>
        <w:ind w:firstLine="420" w:firstLineChars="200"/>
        <w:jc w:val="left"/>
        <w:textAlignment w:val="baseline"/>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rPr>
        <w:t>10.1</w:t>
      </w:r>
      <w:r>
        <w:rPr>
          <w:rFonts w:hint="eastAsia" w:ascii="宋体" w:hAnsi="宋体" w:eastAsia="宋体" w:cs="宋体"/>
          <w:color w:val="auto"/>
          <w:kern w:val="0"/>
          <w:sz w:val="21"/>
          <w:szCs w:val="21"/>
          <w:highlight w:val="none"/>
        </w:rPr>
        <w:t>投标人下载招标文件后，应仔细阅读招标文件的全部内容。如有疑问，应及时向采购人提出，以便澄清。</w:t>
      </w:r>
    </w:p>
    <w:p w14:paraId="3EE0C398">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10.2采购人不集中组织答疑。实行网上提疑和答疑。投标供应商若对招标文件有疑问，需要采购人予以澄清，应登录“新乡市公共资源交易中心网”通过“会员登录”入口进入交易系统以不署名的形式提出。</w:t>
      </w:r>
    </w:p>
    <w:p w14:paraId="6AE85675">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10.3采购人将按投标人须知前附表规定时限前在网上解答招标文件的疑问，并形成招标文件的澄清答疑文件。招标文件的澄清答疑文件将在“新乡市公共资源交易中心网”</w:t>
      </w:r>
      <w:r>
        <w:rPr>
          <w:rFonts w:hint="eastAsia" w:ascii="宋体" w:hAnsi="宋体" w:eastAsia="宋体" w:cs="宋体"/>
          <w:color w:val="auto"/>
          <w:kern w:val="0"/>
          <w:sz w:val="21"/>
          <w:szCs w:val="21"/>
          <w:highlight w:val="none"/>
          <w:lang w:eastAsia="zh-CN"/>
        </w:rPr>
        <w:t>及其他</w:t>
      </w:r>
      <w:r>
        <w:rPr>
          <w:rFonts w:hint="eastAsia" w:ascii="宋体" w:hAnsi="宋体" w:eastAsia="宋体" w:cs="宋体"/>
          <w:color w:val="auto"/>
          <w:kern w:val="0"/>
          <w:sz w:val="21"/>
          <w:szCs w:val="21"/>
          <w:highlight w:val="none"/>
        </w:rPr>
        <w:t>招标公告发布媒体向所有投标供应商公示，但不指明来源。</w:t>
      </w:r>
    </w:p>
    <w:p w14:paraId="73C61D65">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 招标文件发布后，在投标人须知前附表规定时限的任何时候，确需要变更招标文件内容的，采购人可主动或在解答投标人提出的澄清答疑时对招标文件进行修改，招标文件的澄清、修改、变更等内容在相关媒体发布前须报招标投标监督部门备案，招标文件的修改在“新乡市公共资源交易中心网”</w:t>
      </w:r>
      <w:r>
        <w:rPr>
          <w:rFonts w:hint="eastAsia" w:ascii="宋体" w:hAnsi="宋体" w:eastAsia="宋体" w:cs="宋体"/>
          <w:color w:val="auto"/>
          <w:kern w:val="0"/>
          <w:sz w:val="21"/>
          <w:szCs w:val="21"/>
          <w:highlight w:val="none"/>
          <w:lang w:eastAsia="zh-CN"/>
        </w:rPr>
        <w:t>及其他</w:t>
      </w:r>
      <w:r>
        <w:rPr>
          <w:rFonts w:hint="eastAsia" w:ascii="宋体" w:hAnsi="宋体" w:eastAsia="宋体" w:cs="宋体"/>
          <w:color w:val="auto"/>
          <w:kern w:val="0"/>
          <w:sz w:val="21"/>
          <w:szCs w:val="21"/>
          <w:highlight w:val="none"/>
        </w:rPr>
        <w:t>招标公告发布媒体发布。</w:t>
      </w:r>
    </w:p>
    <w:p w14:paraId="1CA68298">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10.5 对招标文件所作的澄清答疑、修改，投标人在投标截止时间前，应通过新乡市公共资源交易中心网“变更公告”栏</w:t>
      </w:r>
      <w:r>
        <w:rPr>
          <w:rFonts w:hint="eastAsia" w:ascii="宋体" w:hAnsi="宋体" w:eastAsia="宋体" w:cs="宋体"/>
          <w:bCs/>
          <w:color w:val="auto"/>
          <w:kern w:val="0"/>
          <w:sz w:val="21"/>
          <w:szCs w:val="21"/>
          <w:highlight w:val="none"/>
        </w:rPr>
        <w:t xml:space="preserve"> 或通过新乡市公共资源交易中心网（网址</w:t>
      </w:r>
      <w:r>
        <w:rPr>
          <w:rFonts w:hint="eastAsia" w:ascii="宋体" w:hAnsi="宋体" w:eastAsia="宋体" w:cs="宋体"/>
          <w:color w:val="auto"/>
          <w:kern w:val="0"/>
          <w:sz w:val="21"/>
          <w:szCs w:val="21"/>
          <w:highlight w:val="none"/>
        </w:rPr>
        <w:t>http://www.xxggzy.cn</w:t>
      </w:r>
      <w:r>
        <w:rPr>
          <w:rFonts w:hint="eastAsia" w:ascii="宋体" w:hAnsi="宋体" w:eastAsia="宋体" w:cs="宋体"/>
          <w:bCs/>
          <w:color w:val="auto"/>
          <w:kern w:val="0"/>
          <w:sz w:val="21"/>
          <w:szCs w:val="21"/>
          <w:highlight w:val="none"/>
        </w:rPr>
        <w:t>）“会员登录”入口进入交易系统</w:t>
      </w:r>
      <w:r>
        <w:rPr>
          <w:rFonts w:hint="eastAsia" w:ascii="宋体" w:hAnsi="宋体" w:eastAsia="宋体" w:cs="宋体"/>
          <w:color w:val="auto"/>
          <w:kern w:val="0"/>
          <w:sz w:val="21"/>
          <w:szCs w:val="21"/>
          <w:highlight w:val="none"/>
        </w:rPr>
        <w:t>随时查看有关该招标文件的澄清、修改(招标答疑、补遗文件)公示等内容。</w:t>
      </w:r>
      <w:bookmarkStart w:id="43" w:name="_Toc152042321"/>
      <w:bookmarkStart w:id="44" w:name="_Toc144974513"/>
      <w:bookmarkStart w:id="45" w:name="_Toc263777143"/>
      <w:bookmarkStart w:id="46" w:name="_Toc267475048"/>
      <w:bookmarkStart w:id="47" w:name="_Toc263403050"/>
      <w:bookmarkStart w:id="48" w:name="_Toc152045545"/>
      <w:r>
        <w:rPr>
          <w:rFonts w:hint="eastAsia" w:ascii="宋体" w:hAnsi="宋体" w:eastAsia="宋体" w:cs="宋体"/>
          <w:color w:val="auto"/>
          <w:kern w:val="0"/>
          <w:sz w:val="21"/>
          <w:szCs w:val="21"/>
          <w:highlight w:val="none"/>
        </w:rPr>
        <w:t>投标人应注意及时浏览网上发布的澄清和修改通知并下载，因投标人原因未及时获知澄清答疑、修改内容而导致的任何后果，其风险概由投标人自行承担。</w:t>
      </w:r>
    </w:p>
    <w:p w14:paraId="31360FA3">
      <w:pPr>
        <w:autoSpaceDE w:val="0"/>
        <w:autoSpaceDN w:val="0"/>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10.6 如果澄清、修改招标文件的时间距投标截止时间不足15天，且澄清或者修改的内容可能影响投标文件编制的，采购人应当顺延提交投标文件的截止时间。</w:t>
      </w:r>
      <w:bookmarkEnd w:id="43"/>
      <w:bookmarkEnd w:id="44"/>
      <w:bookmarkEnd w:id="45"/>
      <w:bookmarkEnd w:id="46"/>
      <w:bookmarkEnd w:id="47"/>
      <w:bookmarkEnd w:id="48"/>
    </w:p>
    <w:p w14:paraId="798B719E">
      <w:pPr>
        <w:autoSpaceDE w:val="0"/>
        <w:autoSpaceDN w:val="0"/>
        <w:adjustRightInd w:val="0"/>
        <w:spacing w:line="440" w:lineRule="exact"/>
        <w:ind w:firstLine="422" w:firstLineChars="200"/>
        <w:jc w:val="left"/>
        <w:textAlignment w:val="baseline"/>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rPr>
        <w:t xml:space="preserve">10.7 </w:t>
      </w:r>
      <w:r>
        <w:rPr>
          <w:rFonts w:hint="eastAsia" w:ascii="宋体" w:hAnsi="宋体" w:eastAsia="宋体" w:cs="宋体"/>
          <w:b/>
          <w:color w:val="auto"/>
          <w:kern w:val="0"/>
          <w:sz w:val="21"/>
          <w:szCs w:val="21"/>
          <w:highlight w:val="none"/>
          <w:u w:val="single"/>
        </w:rPr>
        <w:t>招标文件的约束力: 投标人一旦获取了本招标文件并参加投标，即被认为对本招标文件中的所有条件和规定均无异议。</w:t>
      </w:r>
      <w:bookmarkStart w:id="49" w:name="_Toc8808"/>
      <w:bookmarkStart w:id="50" w:name="_Toc500596805"/>
      <w:bookmarkStart w:id="51" w:name="_Toc500632310"/>
      <w:bookmarkStart w:id="52" w:name="_Toc28881"/>
      <w:bookmarkStart w:id="53" w:name="_Toc24934"/>
    </w:p>
    <w:p w14:paraId="46606851">
      <w:pPr>
        <w:autoSpaceDE w:val="0"/>
        <w:autoSpaceDN w:val="0"/>
        <w:adjustRightInd w:val="0"/>
        <w:spacing w:line="440" w:lineRule="exact"/>
        <w:ind w:firstLine="422" w:firstLineChars="200"/>
        <w:jc w:val="left"/>
        <w:textAlignment w:val="baseline"/>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（三）投标文件</w:t>
      </w:r>
      <w:bookmarkEnd w:id="49"/>
      <w:bookmarkEnd w:id="50"/>
      <w:bookmarkEnd w:id="51"/>
      <w:bookmarkEnd w:id="52"/>
      <w:bookmarkEnd w:id="53"/>
      <w:r>
        <w:rPr>
          <w:rFonts w:hint="eastAsia" w:ascii="宋体" w:hAnsi="宋体" w:eastAsia="宋体" w:cs="宋体"/>
          <w:b/>
          <w:color w:val="auto"/>
          <w:kern w:val="0"/>
          <w:sz w:val="21"/>
          <w:szCs w:val="21"/>
          <w:highlight w:val="none"/>
        </w:rPr>
        <w:t xml:space="preserve">      </w:t>
      </w:r>
    </w:p>
    <w:p w14:paraId="7CB3C7CF">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11、投标文件的语言和计量单位。</w:t>
      </w:r>
    </w:p>
    <w:p w14:paraId="65873AFC">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11.1投标人提交的全部及任何投标文件，包括技术文件和资料，包括图纸中的说明，以及投标人与采购代理机构就有关采购的所有来往函电等，均应使用中文简体字。</w:t>
      </w:r>
    </w:p>
    <w:p w14:paraId="0F50C64F">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原版为外文的证书类文件，以及由外国人作出的本人签名、外国公司的名称或外国印章等可以是外文，但必须提供中文翻译文件，在解释投标文件时，以译文为准，必要时采购代理机构可以要求提供附有公证书的翻译文件。</w:t>
      </w:r>
    </w:p>
    <w:p w14:paraId="317681C6">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11.3对违反上述规定情形的，评标委员会有权不予认可。</w:t>
      </w:r>
    </w:p>
    <w:p w14:paraId="1A0E35A2">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11.4所使用的计量单位，应使用国家法定计量单位。</w:t>
      </w:r>
    </w:p>
    <w:p w14:paraId="7477E524">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11.5本招标文件所表述的时间均为北京时间。</w:t>
      </w:r>
    </w:p>
    <w:p w14:paraId="2C6A5CDC">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12、投标文件的组成及相关要求。</w:t>
      </w:r>
    </w:p>
    <w:p w14:paraId="5205C03F">
      <w:pPr>
        <w:adjustRightInd w:val="0"/>
        <w:spacing w:line="44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12.1</w:t>
      </w:r>
      <w:r>
        <w:rPr>
          <w:rFonts w:hint="eastAsia" w:ascii="宋体" w:hAnsi="宋体" w:eastAsia="宋体" w:cs="宋体"/>
          <w:color w:val="auto"/>
          <w:kern w:val="0"/>
          <w:sz w:val="21"/>
          <w:szCs w:val="21"/>
          <w:highlight w:val="none"/>
          <w:u w:val="single"/>
        </w:rPr>
        <w:t>投标文件分为：资格标文件、商务标文件、技术标文件和</w:t>
      </w:r>
      <w:r>
        <w:rPr>
          <w:rFonts w:hint="eastAsia" w:ascii="宋体" w:hAnsi="宋体" w:eastAsia="宋体" w:cs="宋体"/>
          <w:color w:val="auto"/>
          <w:kern w:val="0"/>
          <w:sz w:val="21"/>
          <w:szCs w:val="21"/>
          <w:highlight w:val="none"/>
          <w:u w:val="single"/>
          <w:lang w:val="zh-CN"/>
        </w:rPr>
        <w:t>其他部分</w:t>
      </w:r>
      <w:r>
        <w:rPr>
          <w:rFonts w:hint="eastAsia" w:ascii="宋体" w:hAnsi="宋体" w:eastAsia="宋体" w:cs="宋体"/>
          <w:color w:val="auto"/>
          <w:kern w:val="0"/>
          <w:sz w:val="21"/>
          <w:szCs w:val="21"/>
          <w:highlight w:val="none"/>
          <w:u w:val="single"/>
        </w:rPr>
        <w:t>。</w:t>
      </w:r>
    </w:p>
    <w:p w14:paraId="7D3183C8">
      <w:pPr>
        <w:adjustRightInd w:val="0"/>
        <w:spacing w:line="440" w:lineRule="exact"/>
        <w:ind w:firstLine="420"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lang w:val="zh-CN"/>
        </w:rPr>
        <w:t>12.2</w:t>
      </w:r>
      <w:r>
        <w:rPr>
          <w:rFonts w:hint="eastAsia" w:ascii="宋体" w:hAnsi="宋体" w:eastAsia="宋体" w:cs="宋体"/>
          <w:color w:val="auto"/>
          <w:kern w:val="0"/>
          <w:sz w:val="21"/>
          <w:szCs w:val="21"/>
          <w:highlight w:val="none"/>
        </w:rPr>
        <w:t>本次招标，投标供应商应按第二部分投标人须知前附表及第六章投标文件格式中有关规定提交投标文件。</w:t>
      </w:r>
    </w:p>
    <w:p w14:paraId="72BD5ECB">
      <w:pPr>
        <w:tabs>
          <w:tab w:val="left" w:pos="709"/>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12.3投标人文件按照招标文件规定严格进行编制、上传、加密。</w:t>
      </w:r>
    </w:p>
    <w:p w14:paraId="2401256D">
      <w:pPr>
        <w:tabs>
          <w:tab w:val="left" w:pos="709"/>
        </w:tabs>
        <w:adjustRightInd w:val="0"/>
        <w:spacing w:line="440" w:lineRule="exact"/>
        <w:ind w:firstLine="420" w:firstLineChars="20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13、投标报价</w:t>
      </w:r>
    </w:p>
    <w:p w14:paraId="36E146DF">
      <w:pPr>
        <w:widowControl/>
        <w:adjustRightInd w:val="0"/>
        <w:spacing w:line="440" w:lineRule="exact"/>
        <w:ind w:firstLine="420" w:firstLineChars="200"/>
        <w:jc w:val="left"/>
        <w:textAlignment w:val="baseline"/>
        <w:rPr>
          <w:rFonts w:hint="eastAsia" w:ascii="宋体" w:hAnsi="宋体" w:eastAsia="宋体" w:cs="宋体"/>
          <w:b/>
          <w:color w:val="auto"/>
          <w:kern w:val="0"/>
          <w:sz w:val="21"/>
          <w:szCs w:val="21"/>
          <w:highlight w:val="none"/>
          <w:u w:val="single"/>
        </w:rPr>
      </w:pPr>
      <w:r>
        <w:rPr>
          <w:rFonts w:hint="eastAsia" w:ascii="宋体" w:hAnsi="宋体" w:eastAsia="宋体" w:cs="宋体"/>
          <w:bCs/>
          <w:color w:val="auto"/>
          <w:kern w:val="0"/>
          <w:sz w:val="21"/>
          <w:szCs w:val="21"/>
          <w:highlight w:val="none"/>
        </w:rPr>
        <w:t>13</w:t>
      </w:r>
      <w:r>
        <w:rPr>
          <w:rFonts w:hint="eastAsia" w:ascii="宋体" w:hAnsi="宋体" w:eastAsia="宋体" w:cs="宋体"/>
          <w:bCs/>
          <w:color w:val="auto"/>
          <w:kern w:val="0"/>
          <w:sz w:val="21"/>
          <w:szCs w:val="21"/>
          <w:highlight w:val="none"/>
          <w:lang w:val="zh-CN"/>
        </w:rPr>
        <w:t>.1投标人应在《开标一览表》、《投标报价明细表》中标明拟提供货物和服务的单价、总价以及分项报价。请投标人认真测算所投全部货物（工程、服务）价款、安装调试、测试、验收、培训、税金、运输、售后服务以及其他有关的交付使用前所必需的所有费用，包括采购项目未考虑的但项目实施过程中必要的费用，及采购项目履行过程中所需的而招标文件中未列出的相关辅助材料和费用。投标报价应包括上述各项费用。一旦中标，合同签订后合同价格将不得变动。投标人应充分考虑合同履行期限内可能产生的物价变化、政策调整、市场经营风险等多种因素，慎重报价。报价应以人民币为结算货币，投标人只要投报了一个确定数额的总价，无论分项价格是否全部填报了相应的金额或免费字样，该报价应被视为已经包含了但并不限于各该项购买货物及其运送、安装、调试、验收、保险和相关服务等的费用和所需缴纳的所有价格、税费，并且报价价格应该被视为已经扣除所有同业折扣以及现金折扣</w:t>
      </w:r>
      <w:r>
        <w:rPr>
          <w:rFonts w:hint="eastAsia" w:ascii="宋体" w:hAnsi="宋体" w:eastAsia="宋体" w:cs="宋体"/>
          <w:color w:val="auto"/>
          <w:kern w:val="0"/>
          <w:sz w:val="21"/>
          <w:szCs w:val="21"/>
          <w:highlight w:val="none"/>
        </w:rPr>
        <w:t>。</w:t>
      </w:r>
    </w:p>
    <w:p w14:paraId="4DDE7C44">
      <w:pPr>
        <w:adjustRightInd w:val="0"/>
        <w:spacing w:line="440" w:lineRule="exact"/>
        <w:ind w:firstLine="420"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13.2投标人对投标报价若有说明应在《开标一览表》显著处注明，只有开标时唱出的报价和优惠才会在评标时予以考虑，采购人不接受可选择的投标方案和报价，任何有选择的或可调整的投标方案和报价将被视为非响应性投标而被拒绝。</w:t>
      </w:r>
      <w:r>
        <w:rPr>
          <w:rFonts w:hint="eastAsia" w:ascii="宋体" w:hAnsi="宋体" w:eastAsia="宋体" w:cs="宋体"/>
          <w:b/>
          <w:color w:val="auto"/>
          <w:kern w:val="0"/>
          <w:sz w:val="21"/>
          <w:szCs w:val="21"/>
          <w:highlight w:val="none"/>
          <w:u w:val="single"/>
        </w:rPr>
        <w:t>除招标文件有明确规定外，在评审中如发现投标人投报单价或总价出现两种（或以上）不同报价的，采购人和采购代理机构将不接受有任何选择报价的投标,因此，产生任何不利的后果均应当由该投标人自行承担，并且不应当因此而提出异议</w:t>
      </w:r>
      <w:r>
        <w:rPr>
          <w:rFonts w:hint="eastAsia" w:ascii="宋体" w:hAnsi="宋体" w:eastAsia="宋体" w:cs="宋体"/>
          <w:b/>
          <w:color w:val="auto"/>
          <w:kern w:val="0"/>
          <w:sz w:val="21"/>
          <w:szCs w:val="21"/>
          <w:highlight w:val="none"/>
        </w:rPr>
        <w:t>。</w:t>
      </w:r>
    </w:p>
    <w:p w14:paraId="70621320">
      <w:pPr>
        <w:pStyle w:val="67"/>
        <w:spacing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13.3 投标人应对招标文件内所要采购的全部内容进行报价，只投报其中部分内容者，其投标书将被拒绝。 </w:t>
      </w:r>
    </w:p>
    <w:p w14:paraId="44F3B57E">
      <w:pPr>
        <w:pStyle w:val="67"/>
        <w:spacing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14、本项目最低投标价不作为中标人的标准。 </w:t>
      </w:r>
    </w:p>
    <w:p w14:paraId="01F7EE58">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15、投标内容填写说明</w:t>
      </w:r>
    </w:p>
    <w:p w14:paraId="362722AD">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投标人应详细阅读招标文件的全部内容。投标文件须对招标文件中的内容做出实质性和完整的响应，如果投标文件填报的内容资料不详，或没有提供招标文件中所要求的全部资料及数据，将可能导致投标被拒绝。</w:t>
      </w:r>
    </w:p>
    <w:p w14:paraId="3B09B057">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15.2投标文件应严格按照招标文件规定的顺序编制目录，由于编排混乱导致投标文件被误读或查找不到是投标人自身的责任。</w:t>
      </w:r>
    </w:p>
    <w:p w14:paraId="5D1D30B9">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15.3投标文件应严格按照招标文件</w:t>
      </w:r>
      <w:r>
        <w:rPr>
          <w:rFonts w:hint="eastAsia" w:ascii="宋体" w:hAnsi="宋体" w:eastAsia="宋体" w:cs="宋体"/>
          <w:color w:val="auto"/>
          <w:kern w:val="0"/>
          <w:sz w:val="21"/>
          <w:szCs w:val="21"/>
          <w:highlight w:val="none"/>
          <w:u w:val="single"/>
        </w:rPr>
        <w:t>第六章</w:t>
      </w:r>
      <w:r>
        <w:rPr>
          <w:rFonts w:hint="eastAsia" w:ascii="宋体" w:hAnsi="宋体" w:eastAsia="宋体" w:cs="宋体"/>
          <w:color w:val="auto"/>
          <w:kern w:val="0"/>
          <w:sz w:val="21"/>
          <w:szCs w:val="21"/>
          <w:highlight w:val="none"/>
        </w:rPr>
        <w:t>的要求提交相关附件，并按规定的统一格式逐项填写。投标文件未按规定提交，将被视为不完整响应的投标文件，其投标有可能被拒绝。</w:t>
      </w:r>
    </w:p>
    <w:p w14:paraId="5A014247">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15.4开标一览表为在开标仪式上唱标的内容，要求按格式统一填写，不得自行增减内容。</w:t>
      </w:r>
    </w:p>
    <w:p w14:paraId="0FC36713">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15.5投标人应对招标文件中的技术、服务要求逐项做出实质性响应,否则该投标将可能被拒绝。</w:t>
      </w:r>
    </w:p>
    <w:p w14:paraId="7DC7D507">
      <w:pPr>
        <w:adjustRightInd w:val="0"/>
        <w:spacing w:line="44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15.6投标人必须保证投标文件所提供的全部资料真实可靠，并接受采购人或评标委员会对其中任何资料进一步审查的要求，</w:t>
      </w:r>
      <w:r>
        <w:rPr>
          <w:rFonts w:hint="eastAsia" w:ascii="宋体" w:hAnsi="宋体" w:eastAsia="宋体" w:cs="宋体"/>
          <w:bCs/>
          <w:color w:val="auto"/>
          <w:kern w:val="0"/>
          <w:sz w:val="21"/>
          <w:szCs w:val="21"/>
          <w:highlight w:val="none"/>
          <w:u w:val="single"/>
        </w:rPr>
        <w:t>采购人保留对中标候选人所有投标资料的真实性进行核实（包括进行实地考察）的权利。</w:t>
      </w:r>
    </w:p>
    <w:p w14:paraId="2066C7FE">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16、投标文件的有效期</w:t>
      </w:r>
    </w:p>
    <w:p w14:paraId="22135133">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16.1本项目投标文件的有效期详见投标人须知前附表，有效期短于此规定的投标文件将被视为无效。</w:t>
      </w:r>
    </w:p>
    <w:p w14:paraId="36780E74">
      <w:pPr>
        <w:tabs>
          <w:tab w:val="left" w:pos="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16.2在特殊情况下，采购人可与投标人协商延长投标文件的有效期。这种要求和答复都应以书面形式进行。同意延长有效期的投标人除按照采购人要求修改投标文件有效期外，不能修改投标文件的其他内容。</w:t>
      </w:r>
    </w:p>
    <w:p w14:paraId="7C427035">
      <w:pPr>
        <w:tabs>
          <w:tab w:val="left" w:pos="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17、投标文件的签署及其他规定，组成投标文件的各项文件均应遵守投标人须知前附表要求。</w:t>
      </w:r>
    </w:p>
    <w:p w14:paraId="5D399C26">
      <w:pPr>
        <w:tabs>
          <w:tab w:val="left" w:pos="709"/>
        </w:tabs>
        <w:adjustRightInd w:val="0"/>
        <w:spacing w:line="440" w:lineRule="exact"/>
        <w:ind w:firstLine="420"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18、</w:t>
      </w:r>
      <w:r>
        <w:rPr>
          <w:rFonts w:hint="eastAsia" w:ascii="宋体" w:hAnsi="宋体" w:eastAsia="宋体" w:cs="宋体"/>
          <w:b/>
          <w:color w:val="auto"/>
          <w:kern w:val="0"/>
          <w:sz w:val="21"/>
          <w:szCs w:val="21"/>
          <w:highlight w:val="none"/>
          <w:u w:val="single"/>
        </w:rPr>
        <w:t>以投标人名义在投标文件的编制上传等事项中，单位签章应采用与投标人名称全称相一致的电子签章，否则将被视为无效印章不予认可。</w:t>
      </w:r>
      <w:r>
        <w:rPr>
          <w:rFonts w:hint="eastAsia" w:ascii="宋体" w:hAnsi="宋体" w:eastAsia="宋体" w:cs="宋体"/>
          <w:b/>
          <w:color w:val="auto"/>
          <w:kern w:val="0"/>
          <w:sz w:val="21"/>
          <w:szCs w:val="21"/>
          <w:highlight w:val="none"/>
          <w:u w:val="single"/>
          <w:lang w:eastAsia="zh-CN"/>
        </w:rPr>
        <w:t>其他事项</w:t>
      </w:r>
      <w:r>
        <w:rPr>
          <w:rFonts w:hint="eastAsia" w:ascii="宋体" w:hAnsi="宋体" w:eastAsia="宋体" w:cs="宋体"/>
          <w:b/>
          <w:color w:val="auto"/>
          <w:kern w:val="0"/>
          <w:sz w:val="21"/>
          <w:szCs w:val="21"/>
          <w:highlight w:val="none"/>
          <w:u w:val="single"/>
        </w:rPr>
        <w:t>按相关规定要求执行。</w:t>
      </w:r>
    </w:p>
    <w:p w14:paraId="4A57F4A3">
      <w:pPr>
        <w:tabs>
          <w:tab w:val="left" w:pos="709"/>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19、投标人应按投标人须知前附表规定提交加密电子投标文件。</w:t>
      </w:r>
    </w:p>
    <w:p w14:paraId="028BD4E9">
      <w:pPr>
        <w:adjustRightInd w:val="0"/>
        <w:spacing w:line="44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有关资格证明文件和证书、检验报告等应依原样扫描为电子文档，且清晰易读。</w:t>
      </w:r>
    </w:p>
    <w:p w14:paraId="39A1F3E2">
      <w:pPr>
        <w:numPr>
          <w:ilvl w:val="0"/>
          <w:numId w:val="2"/>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电子投标文件应字迹清楚、内容齐全、不得涂改或增删。</w:t>
      </w:r>
    </w:p>
    <w:p w14:paraId="20C6BB00">
      <w:pPr>
        <w:tabs>
          <w:tab w:val="left" w:pos="180"/>
        </w:tabs>
        <w:adjustRightInd w:val="0"/>
        <w:spacing w:line="440" w:lineRule="exact"/>
        <w:ind w:firstLine="422" w:firstLineChars="200"/>
        <w:jc w:val="left"/>
        <w:textAlignment w:val="baseline"/>
        <w:outlineLvl w:val="1"/>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 xml:space="preserve">（四）投标文件的递交 </w:t>
      </w:r>
    </w:p>
    <w:p w14:paraId="688229B2">
      <w:pPr>
        <w:autoSpaceDE w:val="0"/>
        <w:autoSpaceDN w:val="0"/>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 网上上传的电子投标文件应使用数字证书认证并加密。未按要求加密和CA数字证书认证的投标文件，将被视为无效投标文件，其投标文件将被拒绝，采购人不予受理。</w:t>
      </w:r>
    </w:p>
    <w:p w14:paraId="7108C84E">
      <w:pPr>
        <w:autoSpaceDE w:val="0"/>
        <w:autoSpaceDN w:val="0"/>
        <w:adjustRightInd w:val="0"/>
        <w:spacing w:line="440" w:lineRule="exact"/>
        <w:ind w:firstLine="422" w:firstLineChars="200"/>
        <w:jc w:val="left"/>
        <w:textAlignment w:val="baseline"/>
        <w:rPr>
          <w:rFonts w:hint="eastAsia" w:ascii="宋体" w:hAnsi="宋体" w:eastAsia="宋体" w:cs="宋体"/>
          <w:b/>
          <w:bCs/>
          <w:color w:val="auto"/>
          <w:kern w:val="0"/>
          <w:sz w:val="21"/>
          <w:szCs w:val="21"/>
          <w:highlight w:val="none"/>
          <w:lang w:val="zh-CN"/>
        </w:rPr>
      </w:pPr>
      <w:r>
        <w:rPr>
          <w:rFonts w:hint="eastAsia" w:ascii="宋体" w:hAnsi="宋体" w:eastAsia="宋体" w:cs="宋体"/>
          <w:b/>
          <w:color w:val="auto"/>
          <w:kern w:val="0"/>
          <w:sz w:val="21"/>
          <w:szCs w:val="21"/>
          <w:highlight w:val="none"/>
        </w:rPr>
        <w:t>22、</w:t>
      </w:r>
      <w:r>
        <w:rPr>
          <w:rFonts w:hint="eastAsia" w:ascii="宋体" w:hAnsi="宋体" w:eastAsia="宋体" w:cs="宋体"/>
          <w:b/>
          <w:bCs/>
          <w:color w:val="auto"/>
          <w:kern w:val="0"/>
          <w:sz w:val="21"/>
          <w:szCs w:val="21"/>
          <w:highlight w:val="none"/>
          <w:lang w:val="zh-CN"/>
        </w:rPr>
        <w:t>投标人有下列情况之一的，采购人将拒绝接收投标人的投标文件（或由评委会做出判定）：</w:t>
      </w:r>
    </w:p>
    <w:p w14:paraId="028CAAFD">
      <w:pPr>
        <w:autoSpaceDE w:val="0"/>
        <w:autoSpaceDN w:val="0"/>
        <w:adjustRightInd w:val="0"/>
        <w:spacing w:line="440" w:lineRule="exact"/>
        <w:ind w:firstLine="422" w:firstLineChars="200"/>
        <w:jc w:val="left"/>
        <w:textAlignment w:val="baseline"/>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22.1 未按招标文件要求提交</w:t>
      </w:r>
      <w:r>
        <w:rPr>
          <w:rFonts w:hint="eastAsia" w:ascii="宋体" w:hAnsi="宋体" w:eastAsia="宋体" w:cs="宋体"/>
          <w:b/>
          <w:color w:val="auto"/>
          <w:kern w:val="0"/>
          <w:sz w:val="21"/>
          <w:szCs w:val="21"/>
          <w:highlight w:val="none"/>
        </w:rPr>
        <w:t>资料的</w:t>
      </w:r>
      <w:r>
        <w:rPr>
          <w:rFonts w:hint="eastAsia" w:ascii="宋体" w:hAnsi="宋体" w:eastAsia="宋体" w:cs="宋体"/>
          <w:b/>
          <w:color w:val="auto"/>
          <w:kern w:val="0"/>
          <w:sz w:val="21"/>
          <w:szCs w:val="21"/>
          <w:highlight w:val="none"/>
          <w:lang w:val="zh-CN"/>
        </w:rPr>
        <w:t>；</w:t>
      </w:r>
    </w:p>
    <w:p w14:paraId="0ACAEB87">
      <w:pPr>
        <w:autoSpaceDE w:val="0"/>
        <w:autoSpaceDN w:val="0"/>
        <w:adjustRightInd w:val="0"/>
        <w:spacing w:line="440" w:lineRule="exact"/>
        <w:ind w:firstLine="422" w:firstLineChars="200"/>
        <w:jc w:val="left"/>
        <w:textAlignment w:val="baseline"/>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22.2 在投标文件递交截止时间未能加密上传或未能按规定解密的。</w:t>
      </w:r>
    </w:p>
    <w:p w14:paraId="2D5EB7AD">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23、投标文件的补充、修改和撤回</w:t>
      </w:r>
    </w:p>
    <w:p w14:paraId="35BAF9F3">
      <w:pPr>
        <w:tabs>
          <w:tab w:val="left" w:pos="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23.1在投标人须知前附表规定的投标截止时间前，投标人可以修改或撤回已递交的投标文件，最终投标文件以投标截止时间前完成上传至新乡市公共资源交易中心电子交易系统最后一份加密投标文件为准。</w:t>
      </w:r>
    </w:p>
    <w:p w14:paraId="208D1ED8">
      <w:pPr>
        <w:tabs>
          <w:tab w:val="left" w:pos="-54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23.2投标截止时间之后，在投标有效期内，投标供应商不得撤回投标文件，否则后果自行承担。</w:t>
      </w:r>
    </w:p>
    <w:p w14:paraId="64181A0A">
      <w:pPr>
        <w:adjustRightInd w:val="0"/>
        <w:spacing w:line="440" w:lineRule="exact"/>
        <w:ind w:firstLine="422" w:firstLineChars="200"/>
        <w:jc w:val="left"/>
        <w:textAlignment w:val="baseline"/>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（五）开标     </w:t>
      </w:r>
    </w:p>
    <w:p w14:paraId="2A9210CD">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24、开标</w:t>
      </w:r>
    </w:p>
    <w:p w14:paraId="0A37E7AF">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24.1采购代理机构在投标人须知前附表中规定的日期、时间和地点组织公开开标。采购人代表、及有关工作人员参加。投标人应使用CA密钥，登陆交易系统远程开标，远程解密、远程答疑。</w:t>
      </w:r>
    </w:p>
    <w:p w14:paraId="1E8110A9">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开标前，采购代理机构将会同相关人员进行验标(检查网上招标系统正常与否)，确认无误后开标。开标时，各投标人应在规定时间内对本单位的加密投标文件远程解密，投标人在规定时间内没有解密成功的视为放弃投标。</w:t>
      </w:r>
    </w:p>
    <w:p w14:paraId="24C85D32">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24.3 开标时，采购代理机构将通过网上开标系统进行唱标，唱标内容包括投标供应商名称、投标价格，</w:t>
      </w:r>
      <w:r>
        <w:rPr>
          <w:rFonts w:hint="eastAsia" w:ascii="宋体" w:hAnsi="宋体" w:eastAsia="宋体" w:cs="宋体"/>
          <w:color w:val="auto"/>
          <w:kern w:val="0"/>
          <w:sz w:val="21"/>
          <w:szCs w:val="21"/>
          <w:highlight w:val="none"/>
          <w:lang w:eastAsia="zh-CN"/>
        </w:rPr>
        <w:t>以及其他</w:t>
      </w:r>
      <w:r>
        <w:rPr>
          <w:rFonts w:hint="eastAsia" w:ascii="宋体" w:hAnsi="宋体" w:eastAsia="宋体" w:cs="宋体"/>
          <w:color w:val="auto"/>
          <w:kern w:val="0"/>
          <w:sz w:val="21"/>
          <w:szCs w:val="21"/>
          <w:highlight w:val="none"/>
        </w:rPr>
        <w:t>详细内容。</w:t>
      </w:r>
    </w:p>
    <w:p w14:paraId="6FBD111A">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24.4开标时出现下列情况的，采购人将拒绝其投标文件。</w:t>
      </w:r>
    </w:p>
    <w:p w14:paraId="5205BD02">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（1）加密电子投标文件未能成功上传的；</w:t>
      </w:r>
    </w:p>
    <w:p w14:paraId="2E403857">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（2）投标人未按规定完成投标文件解密的；</w:t>
      </w:r>
    </w:p>
    <w:p w14:paraId="57E5B76C">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（3）投标人未能在线上按要求完成答疑澄清等评标委员会要求的有关事项的。</w:t>
      </w:r>
    </w:p>
    <w:p w14:paraId="0E7F63B3">
      <w:pPr>
        <w:keepNext/>
        <w:keepLines/>
        <w:adjustRightInd w:val="0"/>
        <w:spacing w:line="440" w:lineRule="exact"/>
        <w:ind w:firstLine="422" w:firstLineChars="200"/>
        <w:jc w:val="left"/>
        <w:textAlignment w:val="baseline"/>
        <w:outlineLvl w:val="1"/>
        <w:rPr>
          <w:rFonts w:hint="eastAsia" w:ascii="宋体" w:hAnsi="宋体" w:eastAsia="宋体" w:cs="宋体"/>
          <w:b/>
          <w:color w:val="auto"/>
          <w:kern w:val="0"/>
          <w:sz w:val="21"/>
          <w:szCs w:val="21"/>
          <w:highlight w:val="none"/>
        </w:rPr>
      </w:pPr>
      <w:bookmarkStart w:id="54" w:name="_Toc18843"/>
      <w:bookmarkStart w:id="55" w:name="_Toc2562"/>
      <w:bookmarkStart w:id="56" w:name="_Toc500596806"/>
      <w:bookmarkStart w:id="57" w:name="_Toc16782"/>
      <w:bookmarkStart w:id="58" w:name="_Toc500632311"/>
      <w:r>
        <w:rPr>
          <w:rFonts w:hint="eastAsia" w:ascii="宋体" w:hAnsi="宋体" w:eastAsia="宋体" w:cs="宋体"/>
          <w:b/>
          <w:color w:val="auto"/>
          <w:kern w:val="0"/>
          <w:sz w:val="21"/>
          <w:szCs w:val="21"/>
          <w:highlight w:val="none"/>
        </w:rPr>
        <w:t>（六）评标步骤和要求</w:t>
      </w:r>
      <w:bookmarkEnd w:id="54"/>
      <w:bookmarkEnd w:id="55"/>
      <w:bookmarkEnd w:id="56"/>
      <w:bookmarkEnd w:id="57"/>
      <w:bookmarkEnd w:id="58"/>
    </w:p>
    <w:p w14:paraId="1C0C6F47">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25、组建评标委员会</w:t>
      </w:r>
    </w:p>
    <w:p w14:paraId="7AB90869">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25.1评标委员会</w:t>
      </w:r>
      <w:r>
        <w:rPr>
          <w:rFonts w:hint="eastAsia" w:ascii="宋体" w:hAnsi="宋体" w:eastAsia="宋体" w:cs="宋体"/>
          <w:color w:val="auto"/>
          <w:kern w:val="0"/>
          <w:sz w:val="21"/>
          <w:szCs w:val="21"/>
          <w:highlight w:val="none"/>
          <w:lang w:val="en-US" w:eastAsia="zh-CN"/>
        </w:rPr>
        <w:t>组成详见投标人须知前附表规定</w:t>
      </w:r>
      <w:r>
        <w:rPr>
          <w:rFonts w:hint="eastAsia" w:ascii="宋体" w:hAnsi="宋体" w:eastAsia="宋体" w:cs="宋体"/>
          <w:color w:val="auto"/>
          <w:kern w:val="0"/>
          <w:sz w:val="21"/>
          <w:szCs w:val="21"/>
          <w:highlight w:val="none"/>
        </w:rPr>
        <w:t>。评标工作将在采购监督部门的共同监督下在依法产生的评标委员会内部独立进行，评标委员会负责审议所有投标文件并按招标文件的要求确定中标候选人。评标委员会成员对需要共同认定的事项存在争议的，按照少数服从多数的原则做出结论。持不同意见的评标委员会成员应当在评标报告上签署不同意见并说明理由，否则视为同意。</w:t>
      </w:r>
    </w:p>
    <w:p w14:paraId="7EE5EC2D">
      <w:pPr>
        <w:tabs>
          <w:tab w:val="left" w:pos="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25.2评标委员会负责具体的评标事务，并独立履行以下职责：</w:t>
      </w:r>
    </w:p>
    <w:p w14:paraId="683C10F7">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25.2.1审查投标文件是否符合招标文件的要求，并作出评价；</w:t>
      </w:r>
    </w:p>
    <w:p w14:paraId="14DB98D7">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25.2.2可以要求投标人对投标文件有关事项作出解释或澄清；</w:t>
      </w:r>
    </w:p>
    <w:p w14:paraId="58F6B68B">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25.2.3确定中标候选人名单，或者受采购人委托按照事先确定的办法直接确定中标人；</w:t>
      </w:r>
    </w:p>
    <w:p w14:paraId="57AF15B8">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25.2.4向政府采购监督部门报告非法干预评标工作的行为。</w:t>
      </w:r>
    </w:p>
    <w:p w14:paraId="3E5DF0ED">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25.3评标委员会成员应当履行下列义务：</w:t>
      </w:r>
    </w:p>
    <w:p w14:paraId="4A408164">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25.3.1遵纪守法，客观、公正、廉洁地履行职责；</w:t>
      </w:r>
    </w:p>
    <w:p w14:paraId="6813DBB9">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25.3.2按照招标文件规定的评标办法和评标标准进行评标，对评审意见承担个人责任；</w:t>
      </w:r>
    </w:p>
    <w:p w14:paraId="26342180">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25.3.3对评标过程和结果，以及投标人的商业秘密保密；</w:t>
      </w:r>
    </w:p>
    <w:p w14:paraId="181C4C51">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25.3.4参与评标报告的起草；</w:t>
      </w:r>
    </w:p>
    <w:p w14:paraId="0D2B1633">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25.3.5配合财政部门的投诉处理工作；</w:t>
      </w:r>
    </w:p>
    <w:p w14:paraId="67194FE8">
      <w:pPr>
        <w:overflowPunct w:val="0"/>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25.3.6配合采购人及采购代理机构答复投标投标人提出的质疑。</w:t>
      </w:r>
    </w:p>
    <w:p w14:paraId="0758ABDA">
      <w:pPr>
        <w:overflowPunct w:val="0"/>
        <w:adjustRightInd w:val="0"/>
        <w:spacing w:line="440" w:lineRule="exact"/>
        <w:ind w:firstLine="422" w:firstLineChars="200"/>
        <w:textAlignment w:val="baseline"/>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26、开标后，依据法律法规和招标文件的规定，由采购人对投标人进行资格审查，采购人对资格审查结果负责，并由审查人员签字，通过资格审查的投标文件将由评标委员会进行符合性审查及详细评审。</w:t>
      </w:r>
    </w:p>
    <w:p w14:paraId="72F7440B">
      <w:pPr>
        <w:adjustRightInd w:val="0"/>
        <w:spacing w:line="440" w:lineRule="exact"/>
        <w:ind w:firstLine="422" w:firstLineChars="200"/>
        <w:jc w:val="left"/>
        <w:textAlignment w:val="baseline"/>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26.1 资格性审查的内容包括：</w:t>
      </w:r>
    </w:p>
    <w:p w14:paraId="5D0ED1EF">
      <w:pPr>
        <w:adjustRightInd w:val="0"/>
        <w:spacing w:line="440" w:lineRule="exact"/>
        <w:ind w:firstLine="422" w:firstLineChars="200"/>
        <w:jc w:val="left"/>
        <w:textAlignment w:val="baseline"/>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投标人资格是否符合招标文件规定的条件；</w:t>
      </w:r>
    </w:p>
    <w:p w14:paraId="4828373C">
      <w:pPr>
        <w:adjustRightInd w:val="0"/>
        <w:spacing w:line="440" w:lineRule="exact"/>
        <w:ind w:firstLine="422" w:firstLineChars="200"/>
        <w:jc w:val="left"/>
        <w:textAlignment w:val="baseline"/>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26.2 由评标委员会进行符合性审查的内容包括：</w:t>
      </w:r>
    </w:p>
    <w:p w14:paraId="37BD73EE">
      <w:pPr>
        <w:adjustRightInd w:val="0"/>
        <w:spacing w:line="440" w:lineRule="exact"/>
        <w:ind w:firstLine="422" w:firstLineChars="200"/>
        <w:jc w:val="left"/>
        <w:textAlignment w:val="baseline"/>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（1）投标文件内容是否齐全；</w:t>
      </w:r>
    </w:p>
    <w:p w14:paraId="4D689323">
      <w:pPr>
        <w:adjustRightInd w:val="0"/>
        <w:spacing w:line="440" w:lineRule="exact"/>
        <w:ind w:firstLine="422" w:firstLineChars="200"/>
        <w:jc w:val="left"/>
        <w:textAlignment w:val="baseline"/>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（2）投标文件签署情况是否符合招标文件规定。</w:t>
      </w:r>
    </w:p>
    <w:p w14:paraId="6D31DF79">
      <w:pPr>
        <w:tabs>
          <w:tab w:val="left" w:pos="360"/>
        </w:tabs>
        <w:adjustRightInd w:val="0"/>
        <w:spacing w:line="44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 以上资格性审查和符合性审查中内容只要有一条不满足，则投标文件即为无效文件。</w:t>
      </w:r>
    </w:p>
    <w:p w14:paraId="4CBE0920">
      <w:pPr>
        <w:adjustRightInd w:val="0"/>
        <w:spacing w:line="440" w:lineRule="exact"/>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26.3</w:t>
      </w:r>
      <w:r>
        <w:rPr>
          <w:rFonts w:hint="eastAsia" w:ascii="宋体" w:hAnsi="宋体" w:eastAsia="宋体" w:cs="宋体"/>
          <w:b/>
          <w:color w:val="auto"/>
          <w:kern w:val="0"/>
          <w:sz w:val="21"/>
          <w:szCs w:val="21"/>
          <w:highlight w:val="none"/>
        </w:rPr>
        <w:t>实质上响应的投标是指与招标文件的全部条款、条件相符，没有重大偏离（负偏离）或保留。</w:t>
      </w:r>
    </w:p>
    <w:p w14:paraId="0D2725B9">
      <w:pPr>
        <w:adjustRightInd w:val="0"/>
        <w:spacing w:line="440" w:lineRule="exact"/>
        <w:ind w:firstLine="422" w:firstLineChars="200"/>
        <w:jc w:val="left"/>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26.4所谓重大负偏离是指投标人所投标的范围、数量、质量、合同履行期限等明显不能满足招标文件的要求，纠正这些偏离或保留将对其他实质上响应要求的投标人的竞争地位产生不公正的影响，重大负偏离的认定须经评标委员会成员一半以上认定。出现下述情况之一的评标委员会将视为重大负偏离或非实质上响应，包括但不限于：</w:t>
      </w:r>
    </w:p>
    <w:p w14:paraId="1C812697">
      <w:pPr>
        <w:tabs>
          <w:tab w:val="left" w:pos="1200"/>
        </w:tabs>
        <w:adjustRightInd w:val="0"/>
        <w:spacing w:line="44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26.4.1本招标文件要求的资料提供不全或不符合招标文件要求的；</w:t>
      </w:r>
    </w:p>
    <w:p w14:paraId="0CC18E64">
      <w:pPr>
        <w:tabs>
          <w:tab w:val="left" w:pos="1200"/>
        </w:tabs>
        <w:adjustRightInd w:val="0"/>
        <w:spacing w:line="44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26.4.2投标有效期不足的；</w:t>
      </w:r>
    </w:p>
    <w:p w14:paraId="3CAC645D">
      <w:pPr>
        <w:tabs>
          <w:tab w:val="left" w:pos="1200"/>
        </w:tabs>
        <w:adjustRightInd w:val="0"/>
        <w:spacing w:line="44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26.4.3合同履行期限不满足招标文件中要求的；</w:t>
      </w:r>
    </w:p>
    <w:p w14:paraId="235F72E1">
      <w:pPr>
        <w:tabs>
          <w:tab w:val="left" w:pos="1200"/>
        </w:tabs>
        <w:adjustRightInd w:val="0"/>
        <w:spacing w:line="44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26.4.4未按照招标文件规定报价的；</w:t>
      </w:r>
    </w:p>
    <w:p w14:paraId="1A909630">
      <w:pPr>
        <w:tabs>
          <w:tab w:val="left" w:pos="1200"/>
        </w:tabs>
        <w:adjustRightInd w:val="0"/>
        <w:spacing w:line="44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26.4.5投标人以他人名义投标\串通投标,以行贿手段牟取中标或以其他弄虚作假方式投标的；</w:t>
      </w:r>
    </w:p>
    <w:p w14:paraId="56428DD9">
      <w:pPr>
        <w:tabs>
          <w:tab w:val="left" w:pos="1200"/>
        </w:tabs>
        <w:adjustRightInd w:val="0"/>
        <w:spacing w:line="44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26.4.6投标人投标报价超出采购预算或最高控制限价的；</w:t>
      </w:r>
    </w:p>
    <w:p w14:paraId="1643D2F6">
      <w:pPr>
        <w:tabs>
          <w:tab w:val="left" w:pos="420"/>
          <w:tab w:val="left" w:pos="709"/>
        </w:tabs>
        <w:adjustRightInd w:val="0"/>
        <w:spacing w:line="440" w:lineRule="exact"/>
        <w:ind w:firstLine="422" w:firstLineChars="200"/>
        <w:textAlignment w:val="baseline"/>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26.4.7</w:t>
      </w:r>
      <w:r>
        <w:rPr>
          <w:rFonts w:hint="eastAsia" w:ascii="宋体" w:hAnsi="宋体" w:eastAsia="宋体" w:cs="宋体"/>
          <w:b/>
          <w:color w:val="auto"/>
          <w:kern w:val="0"/>
          <w:sz w:val="21"/>
          <w:szCs w:val="21"/>
          <w:highlight w:val="none"/>
        </w:rPr>
        <w:t>投标文件未按招标文件的规定电子签章的；</w:t>
      </w:r>
    </w:p>
    <w:p w14:paraId="2B7CBF44">
      <w:pPr>
        <w:tabs>
          <w:tab w:val="left" w:pos="420"/>
          <w:tab w:val="left" w:pos="709"/>
        </w:tabs>
        <w:adjustRightInd w:val="0"/>
        <w:spacing w:line="440" w:lineRule="exact"/>
        <w:ind w:firstLine="422" w:firstLineChars="200"/>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26.4.8不符合招标文件中规定的其他实质性要求的。</w:t>
      </w:r>
    </w:p>
    <w:p w14:paraId="02E22EF9">
      <w:pPr>
        <w:adjustRightInd w:val="0"/>
        <w:spacing w:line="440" w:lineRule="exact"/>
        <w:ind w:firstLine="420"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26.5</w:t>
      </w:r>
      <w:r>
        <w:rPr>
          <w:rFonts w:hint="eastAsia" w:ascii="宋体" w:hAnsi="宋体" w:eastAsia="宋体" w:cs="宋体"/>
          <w:b/>
          <w:color w:val="auto"/>
          <w:kern w:val="0"/>
          <w:sz w:val="21"/>
          <w:szCs w:val="21"/>
          <w:highlight w:val="none"/>
        </w:rPr>
        <w:t>如果投标文件实质上没有响应招标文件的要求，评标委员会将予以拒绝。</w:t>
      </w:r>
    </w:p>
    <w:p w14:paraId="71A96A86">
      <w:pPr>
        <w:adjustRightInd w:val="0"/>
        <w:spacing w:line="44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26.6审查中，对明显的文字和计算错误按下述原则处理： </w:t>
      </w:r>
    </w:p>
    <w:p w14:paraId="0374D647">
      <w:pPr>
        <w:adjustRightInd w:val="0"/>
        <w:spacing w:line="44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26.6.1开标一览表中总价与报价明细表中总价不一致的，以开标一览表中总价金额为准修正单价，修正的价格经投标人确认后具有约束力。投标人不接受修正价格的，评标委员会将对其投标予以拒绝。</w:t>
      </w:r>
    </w:p>
    <w:p w14:paraId="0C95E9C5">
      <w:pPr>
        <w:tabs>
          <w:tab w:val="left" w:pos="709"/>
        </w:tabs>
        <w:adjustRightInd w:val="0"/>
        <w:spacing w:line="440" w:lineRule="exact"/>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26.6.2如果以文字表示的数据与数字表示的有差别，以文字为准修正数字；如果大小写金额不一致的，以大写金额为准。</w:t>
      </w:r>
    </w:p>
    <w:p w14:paraId="4DC2A4E9">
      <w:pPr>
        <w:tabs>
          <w:tab w:val="left" w:pos="709"/>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26.7评标委员会对投标文件的判定,只依据投标文件内容本身,不依据任何外来证明。</w:t>
      </w:r>
    </w:p>
    <w:p w14:paraId="372B6A82">
      <w:pPr>
        <w:tabs>
          <w:tab w:val="left" w:pos="709"/>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27、投标的澄清</w:t>
      </w:r>
    </w:p>
    <w:p w14:paraId="7771A493">
      <w:pPr>
        <w:tabs>
          <w:tab w:val="left" w:pos="709"/>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27.1评标委员会有权要求投标人对投标文件中含义不明确、对同类问题表述不一致或者有明显文字和计算错误等内容作必要的澄清、说明或者补正。</w:t>
      </w:r>
    </w:p>
    <w:p w14:paraId="78F01637">
      <w:pPr>
        <w:tabs>
          <w:tab w:val="left" w:pos="-18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27.2投标人必须按照评标委员会通知的内容和时间在线上做出答复，该答复经法定代表人或投标人电子签章认可，将作为投标文件内容的一部分。澄清、说明或者补正不得超出投标文件的范围或者改变投标文件的实质性内容。投标人拒不按照要求对投标文件进行澄清、说明或者补正的，评标委员会可拒绝该投标。</w:t>
      </w:r>
    </w:p>
    <w:p w14:paraId="4D58AEA2">
      <w:pPr>
        <w:tabs>
          <w:tab w:val="left" w:pos="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27.3如评标委员会一致认为某个投标人的报价明显不合理，有降低质量、不能诚信履行的可能时，评标委员会有权决定是否通知投标人限期进行远程答疑和澄清或提供相关证明材料。若已要求，而该投标人在规定期限内未做出解释、作出的解释不合理或不能提供证明材料的，经评标委员会取得一致意见后，可拒绝该投标。</w:t>
      </w:r>
    </w:p>
    <w:p w14:paraId="2B5E19B4">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27.4并非每个投标人都将被要求做出澄清和答复。</w:t>
      </w:r>
    </w:p>
    <w:p w14:paraId="049479E1">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28、对投标文件的详细评审</w:t>
      </w:r>
    </w:p>
    <w:p w14:paraId="169E07BC">
      <w:pPr>
        <w:tabs>
          <w:tab w:val="left" w:pos="-90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28.1</w:t>
      </w:r>
      <w:r>
        <w:rPr>
          <w:rFonts w:hint="eastAsia" w:ascii="宋体" w:hAnsi="宋体" w:eastAsia="宋体" w:cs="宋体"/>
          <w:b/>
          <w:color w:val="auto"/>
          <w:kern w:val="0"/>
          <w:sz w:val="21"/>
          <w:szCs w:val="21"/>
          <w:highlight w:val="none"/>
        </w:rPr>
        <w:t>评标委员会只对实质上响应招标文件的投标进行评价和比较；评审应严格按照招标文件的要求和条件进行；具体评审原则、方法详见招标文件第三章“评标办法（综合评标法）”。</w:t>
      </w:r>
    </w:p>
    <w:p w14:paraId="04DE19F0">
      <w:pPr>
        <w:tabs>
          <w:tab w:val="left" w:pos="709"/>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28.2评标严格按照招标文件规定和评标原则、方法进行，投标人可对擅自改变本招标文件中所公布的规则、评标原则、方法的行为进行质疑或投诉。</w:t>
      </w:r>
    </w:p>
    <w:p w14:paraId="3667F9E2">
      <w:pPr>
        <w:adjustRightInd w:val="0"/>
        <w:spacing w:line="44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29、确定中标人</w:t>
      </w:r>
    </w:p>
    <w:p w14:paraId="290CD6AD">
      <w:pPr>
        <w:tabs>
          <w:tab w:val="left" w:pos="1200"/>
        </w:tabs>
        <w:adjustRightInd w:val="0"/>
        <w:spacing w:line="440" w:lineRule="exact"/>
        <w:ind w:firstLine="420"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29.1评标委员会将根据评标办法之要求确定 1-3 名中标候选人。采购代理机构应当在评标结束后2个工作日内将评标报告送采购人</w:t>
      </w:r>
      <w:r>
        <w:rPr>
          <w:rFonts w:hint="eastAsia" w:ascii="宋体" w:hAnsi="宋体" w:eastAsia="宋体" w:cs="宋体"/>
          <w:color w:val="auto"/>
          <w:kern w:val="0"/>
          <w:sz w:val="21"/>
          <w:szCs w:val="21"/>
          <w:highlight w:val="none"/>
          <w:lang w:eastAsia="zh-CN"/>
        </w:rPr>
        <w:t>，采购人应当自收到评标报告之日起５个工作日内</w:t>
      </w:r>
      <w:r>
        <w:rPr>
          <w:rFonts w:hint="eastAsia" w:ascii="宋体" w:hAnsi="宋体" w:eastAsia="宋体" w:cs="宋体"/>
          <w:color w:val="auto"/>
          <w:kern w:val="0"/>
          <w:sz w:val="21"/>
          <w:szCs w:val="21"/>
          <w:highlight w:val="none"/>
        </w:rPr>
        <w:t>，应在评标报告确定的中标候选人名单中按顺序确定排名第一的中标候选人为中标人。采购人在收到评标报告 5 个工作日内未确定中标人且不提出异议的，视为确定排名第一的中标候选人为中标人。采购人或者采购代理机构应当自中标人确定之日起2个工作日内，在发布招标公告的相关媒体上进行中标结果公告。</w:t>
      </w:r>
    </w:p>
    <w:p w14:paraId="0D4F6AFB">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29.2中标结果公告后，排名第一的中标候选人将成为中标人并向其授予合同。排名第一的中标候选人无正当理由不履行合同或约定，未按要求领取中标书或未按要求签订合同或不再符合中标条件的，采购人将把合同授予排名第二的中标候选人（依此类推）或重新招标，同时，采购人有权对该投标人追究其违约和赔偿责任。</w:t>
      </w:r>
    </w:p>
    <w:p w14:paraId="380CE135">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29.3</w:t>
      </w:r>
      <w:r>
        <w:rPr>
          <w:rFonts w:hint="eastAsia" w:ascii="宋体" w:hAnsi="宋体" w:eastAsia="宋体" w:cs="宋体"/>
          <w:color w:val="auto"/>
          <w:kern w:val="0"/>
          <w:sz w:val="21"/>
          <w:szCs w:val="21"/>
          <w:highlight w:val="none"/>
          <w:u w:val="single"/>
        </w:rPr>
        <w:t>评标结束后，采购人可以组织有关监督部门对评标委员会确定的中标候选人进行实地考察、核实，以确认是否具备履约能力。经查实，若投标人有提供虚假证明材料的行为，采购人将取消其中标资格，有关部门将依法给予经济处罚、列入不良记录、停止参加封丘县政府采购活动等处理。</w:t>
      </w:r>
    </w:p>
    <w:p w14:paraId="7595466E">
      <w:pPr>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30、评标过程保密</w:t>
      </w:r>
    </w:p>
    <w:p w14:paraId="67E5D4C3">
      <w:pPr>
        <w:tabs>
          <w:tab w:val="left" w:pos="-54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30.1开标之后直到授予投标人合同止，凡是属于审查、澄清、评价和比较投标的有关资料以及授标意向等，均不向投标人或其他与评标无关的人员透露。</w:t>
      </w:r>
    </w:p>
    <w:p w14:paraId="2F2A273E">
      <w:pPr>
        <w:tabs>
          <w:tab w:val="left" w:pos="-36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30.2在评标期间，投标人企图影响采购代理机构或评标委员会的任何活动，将导致投标被拒绝，并由其承担相应的法律责任。</w:t>
      </w:r>
    </w:p>
    <w:p w14:paraId="0A986E53">
      <w:pPr>
        <w:numPr>
          <w:ilvl w:val="0"/>
          <w:numId w:val="3"/>
        </w:numPr>
        <w:tabs>
          <w:tab w:val="left" w:pos="709"/>
        </w:tabs>
        <w:adjustRightInd w:val="0"/>
        <w:spacing w:line="440" w:lineRule="exact"/>
        <w:ind w:firstLine="422" w:firstLineChars="200"/>
        <w:jc w:val="left"/>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特殊情形的处理：</w:t>
      </w:r>
    </w:p>
    <w:p w14:paraId="0A1F4FE8">
      <w:pPr>
        <w:tabs>
          <w:tab w:val="left" w:pos="709"/>
        </w:tabs>
        <w:adjustRightInd w:val="0"/>
        <w:spacing w:line="44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31.1出现下列情况之一时，评标委员会可以宣布废标：</w:t>
      </w:r>
    </w:p>
    <w:p w14:paraId="695294A4">
      <w:pPr>
        <w:tabs>
          <w:tab w:val="left" w:pos="709"/>
        </w:tabs>
        <w:adjustRightInd w:val="0"/>
        <w:spacing w:line="44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31.1.1符合专业条件的供应商或者对招标文件作实质响应的供应商不足三家的；</w:t>
      </w:r>
    </w:p>
    <w:p w14:paraId="0FB2736B">
      <w:pPr>
        <w:tabs>
          <w:tab w:val="left" w:pos="420"/>
          <w:tab w:val="left" w:pos="709"/>
        </w:tabs>
        <w:adjustRightInd w:val="0"/>
        <w:spacing w:line="440" w:lineRule="exact"/>
        <w:ind w:firstLine="420" w:firstLineChars="20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31.1.2出现影响采购公正的违法、违规行为的；</w:t>
      </w:r>
    </w:p>
    <w:p w14:paraId="104AF03A">
      <w:pPr>
        <w:tabs>
          <w:tab w:val="left" w:pos="420"/>
          <w:tab w:val="left" w:pos="709"/>
        </w:tabs>
        <w:adjustRightInd w:val="0"/>
        <w:spacing w:line="440" w:lineRule="exact"/>
        <w:ind w:firstLine="420" w:firstLineChars="20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31.1.3</w:t>
      </w:r>
      <w:r>
        <w:rPr>
          <w:rFonts w:hint="eastAsia" w:ascii="宋体" w:hAnsi="宋体" w:eastAsia="宋体" w:cs="宋体"/>
          <w:bCs/>
          <w:color w:val="auto"/>
          <w:kern w:val="0"/>
          <w:sz w:val="21"/>
          <w:szCs w:val="21"/>
          <w:highlight w:val="none"/>
          <w:lang w:eastAsia="zh-CN"/>
        </w:rPr>
        <w:t>投标人的报价均超过了采购预算，采购人不能支付的</w:t>
      </w:r>
      <w:r>
        <w:rPr>
          <w:rFonts w:hint="eastAsia" w:ascii="宋体" w:hAnsi="宋体" w:eastAsia="宋体" w:cs="宋体"/>
          <w:bCs/>
          <w:color w:val="auto"/>
          <w:kern w:val="0"/>
          <w:sz w:val="21"/>
          <w:szCs w:val="21"/>
          <w:highlight w:val="none"/>
        </w:rPr>
        <w:t>；</w:t>
      </w:r>
    </w:p>
    <w:p w14:paraId="16AE1CED">
      <w:pPr>
        <w:tabs>
          <w:tab w:val="left" w:pos="420"/>
          <w:tab w:val="left" w:pos="709"/>
        </w:tabs>
        <w:adjustRightInd w:val="0"/>
        <w:spacing w:line="440" w:lineRule="exact"/>
        <w:ind w:firstLine="420" w:firstLineChars="20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31.1.4</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因重大变故，采购任务取消的；</w:t>
      </w:r>
    </w:p>
    <w:p w14:paraId="1C0C0153">
      <w:pPr>
        <w:tabs>
          <w:tab w:val="left" w:pos="420"/>
          <w:tab w:val="left" w:pos="709"/>
        </w:tabs>
        <w:adjustRightInd w:val="0"/>
        <w:spacing w:line="440" w:lineRule="exact"/>
        <w:ind w:firstLine="420" w:firstLineChars="200"/>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废标后，采购人应当将废标理由通知所有投标人。</w:t>
      </w:r>
    </w:p>
    <w:p w14:paraId="57A86B54">
      <w:pPr>
        <w:tabs>
          <w:tab w:val="left" w:pos="420"/>
          <w:tab w:val="left" w:pos="709"/>
        </w:tabs>
        <w:adjustRightInd w:val="0"/>
        <w:spacing w:line="440" w:lineRule="exact"/>
        <w:ind w:firstLine="422" w:firstLineChars="200"/>
        <w:textAlignment w:val="baseline"/>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（七）签订合同</w:t>
      </w:r>
    </w:p>
    <w:p w14:paraId="30C03179">
      <w:pPr>
        <w:adjustRightInd w:val="0"/>
        <w:spacing w:line="44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32、中标通知</w:t>
      </w:r>
    </w:p>
    <w:p w14:paraId="098275D3">
      <w:pPr>
        <w:adjustRightInd w:val="0"/>
        <w:spacing w:line="440" w:lineRule="exact"/>
        <w:ind w:firstLine="420" w:firstLineChars="200"/>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32.1 在公告中标结果的同时，采购代理机构将通过新乡市公共资源交易中心电子交易系统向中标人签发电子中标(成交)通知书，中标人领取电子中标(成交)通知书时需向采购代理机构缴纳代理服务费，并在领职中标通知书当日与采购人办理签订合同事宜。中标(成交)通知书对采购人和中标人具有同等法律效力。中标(成交)通知书发出以后，采购人改变中标结果或者中标人放弃中标，应当承担相应的法律责任。</w:t>
      </w:r>
    </w:p>
    <w:p w14:paraId="65E8C6C1">
      <w:pPr>
        <w:adjustRightInd w:val="0"/>
        <w:spacing w:line="440" w:lineRule="exact"/>
        <w:ind w:firstLine="420" w:firstLineChars="20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32.2</w:t>
      </w:r>
      <w:r>
        <w:rPr>
          <w:rFonts w:hint="eastAsia" w:ascii="宋体" w:hAnsi="宋体" w:eastAsia="宋体" w:cs="宋体"/>
          <w:b w:val="0"/>
          <w:bCs/>
          <w:color w:val="auto"/>
          <w:kern w:val="0"/>
          <w:sz w:val="21"/>
          <w:szCs w:val="21"/>
          <w:highlight w:val="none"/>
        </w:rPr>
        <w:t>中标（成交）通知书、招标文件、投标文件、质疑（澄清）均是合同的重要组成部分。</w:t>
      </w:r>
    </w:p>
    <w:p w14:paraId="208BBF12">
      <w:pPr>
        <w:adjustRightInd w:val="0"/>
        <w:spacing w:line="440" w:lineRule="exact"/>
        <w:ind w:firstLine="420" w:firstLineChars="200"/>
        <w:rPr>
          <w:rFonts w:hint="eastAsia" w:ascii="宋体" w:hAnsi="宋体" w:eastAsia="宋体" w:cs="宋体"/>
          <w:b w:val="0"/>
          <w:bCs/>
          <w:color w:val="auto"/>
          <w:kern w:val="0"/>
          <w:sz w:val="21"/>
          <w:szCs w:val="21"/>
          <w:highlight w:val="none"/>
        </w:rPr>
      </w:pPr>
      <w:bookmarkStart w:id="59" w:name="_Toc500632312"/>
      <w:bookmarkStart w:id="60" w:name="_Toc4471"/>
      <w:bookmarkStart w:id="61" w:name="_Toc7073"/>
      <w:bookmarkStart w:id="62" w:name="_Toc26558"/>
      <w:r>
        <w:rPr>
          <w:rFonts w:hint="eastAsia" w:ascii="宋体" w:hAnsi="宋体" w:eastAsia="宋体" w:cs="宋体"/>
          <w:b w:val="0"/>
          <w:bCs/>
          <w:color w:val="auto"/>
          <w:kern w:val="0"/>
          <w:sz w:val="21"/>
          <w:szCs w:val="21"/>
          <w:highlight w:val="none"/>
        </w:rPr>
        <w:t>33、履约保证金</w:t>
      </w:r>
      <w:bookmarkEnd w:id="59"/>
      <w:r>
        <w:rPr>
          <w:rFonts w:hint="eastAsia" w:ascii="宋体" w:hAnsi="宋体" w:eastAsia="宋体" w:cs="宋体"/>
          <w:b w:val="0"/>
          <w:bCs/>
          <w:color w:val="auto"/>
          <w:kern w:val="0"/>
          <w:sz w:val="21"/>
          <w:szCs w:val="21"/>
          <w:highlight w:val="none"/>
        </w:rPr>
        <w:t>：</w:t>
      </w:r>
      <w:bookmarkEnd w:id="60"/>
      <w:bookmarkEnd w:id="61"/>
      <w:bookmarkEnd w:id="62"/>
      <w:r>
        <w:rPr>
          <w:rFonts w:hint="eastAsia" w:ascii="宋体" w:hAnsi="宋体" w:eastAsia="宋体" w:cs="宋体"/>
          <w:b w:val="0"/>
          <w:bCs/>
          <w:color w:val="auto"/>
          <w:kern w:val="0"/>
          <w:sz w:val="21"/>
          <w:szCs w:val="21"/>
          <w:highlight w:val="none"/>
        </w:rPr>
        <w:t>免收。</w:t>
      </w:r>
    </w:p>
    <w:p w14:paraId="754312DD">
      <w:pPr>
        <w:adjustRightInd w:val="0"/>
        <w:spacing w:line="440" w:lineRule="exac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34、签订合同</w:t>
      </w:r>
    </w:p>
    <w:p w14:paraId="0C5D45A8">
      <w:pPr>
        <w:autoSpaceDE w:val="0"/>
        <w:autoSpaceDN w:val="0"/>
        <w:adjustRightInd w:val="0"/>
        <w:spacing w:line="44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34.1采购人应当自中标通知书发出当日，与中标人签订书面或电子合同，合同签订当日内在财政部门备案并进行合同公告。所签订的合同不得对招标文件确定的事项和中标人投标文件作实质性修改。 </w:t>
      </w:r>
    </w:p>
    <w:p w14:paraId="56A33211">
      <w:pPr>
        <w:autoSpaceDE w:val="0"/>
        <w:autoSpaceDN w:val="0"/>
        <w:adjustRightInd w:val="0"/>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34.2中标人未按照规定的时间、地点与采购人签订中标合同的，给采购人和采购代理机构造成损失的，投标供应商还应承担赔偿责任，并丧失中标人资格。</w:t>
      </w:r>
      <w:r>
        <w:rPr>
          <w:rFonts w:hint="eastAsia" w:ascii="宋体" w:hAnsi="宋体" w:eastAsia="宋体" w:cs="宋体"/>
          <w:color w:val="auto"/>
          <w:kern w:val="0"/>
          <w:sz w:val="21"/>
          <w:szCs w:val="21"/>
          <w:highlight w:val="none"/>
          <w:lang w:val="en-US" w:eastAsia="zh-CN"/>
        </w:rPr>
        <w:t xml:space="preserve"> </w:t>
      </w:r>
    </w:p>
    <w:p w14:paraId="27BDF0E5">
      <w:pPr>
        <w:tabs>
          <w:tab w:val="left" w:pos="-180"/>
        </w:tabs>
        <w:adjustRightIn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34.3中标人应按照招标文件、投标文件及评标过程中的有关澄清、说明或者补正文件的内容与采购人签订合同，中标人不得再与采购人签订背离合同实质性内容</w:t>
      </w:r>
      <w:r>
        <w:rPr>
          <w:rFonts w:hint="eastAsia" w:ascii="宋体" w:hAnsi="宋体" w:eastAsia="宋体" w:cs="宋体"/>
          <w:color w:val="auto"/>
          <w:kern w:val="0"/>
          <w:sz w:val="21"/>
          <w:szCs w:val="21"/>
          <w:highlight w:val="none"/>
          <w:lang w:eastAsia="zh-CN"/>
        </w:rPr>
        <w:t>的其他</w:t>
      </w:r>
      <w:r>
        <w:rPr>
          <w:rFonts w:hint="eastAsia" w:ascii="宋体" w:hAnsi="宋体" w:eastAsia="宋体" w:cs="宋体"/>
          <w:color w:val="auto"/>
          <w:kern w:val="0"/>
          <w:sz w:val="21"/>
          <w:szCs w:val="21"/>
          <w:highlight w:val="none"/>
        </w:rPr>
        <w:t>协议或声明。</w:t>
      </w:r>
    </w:p>
    <w:p w14:paraId="3CFE358E">
      <w:pPr>
        <w:autoSpaceDE w:val="0"/>
        <w:autoSpaceDN w:val="0"/>
        <w:adjustRightInd w:val="0"/>
        <w:spacing w:line="44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采购人如需追加与合同标的相同的货物，须经设区的市，自治州以上的人民政府采购监督部门的批准，在不改变合同其他条款的前提下，中标人可与采购人协商签订补充合同，但所有补充合同的采购金额不得超过原合同金额的百分之十。</w:t>
      </w:r>
    </w:p>
    <w:p w14:paraId="5ACD7A5B">
      <w:pPr>
        <w:widowControl/>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34.5投标供应商一旦中标及签订合同后不得对采购项目转标段、分标段，亦不得将合同全部及任何权利、义务向第三方转让，否则将被视为严重违约。</w:t>
      </w:r>
    </w:p>
    <w:p w14:paraId="4FA8E2CE">
      <w:pPr>
        <w:widowControl/>
        <w:adjustRightInd w:val="0"/>
        <w:spacing w:line="440" w:lineRule="exact"/>
        <w:ind w:firstLine="420" w:firstLineChars="200"/>
        <w:jc w:val="left"/>
        <w:textAlignment w:val="baseline"/>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34.6不按约定签定或履行合同，给对方造成损失的，责任方应承担赔偿责任。</w:t>
      </w:r>
      <w:bookmarkStart w:id="63" w:name="_Toc500596807"/>
      <w:bookmarkStart w:id="64" w:name="_Toc500632314"/>
    </w:p>
    <w:p w14:paraId="0A22DA85">
      <w:pPr>
        <w:adjustRightInd w:val="0"/>
        <w:spacing w:line="440" w:lineRule="exact"/>
        <w:ind w:firstLine="422" w:firstLineChars="200"/>
        <w:jc w:val="left"/>
        <w:textAlignment w:val="baseline"/>
        <w:outlineLvl w:val="1"/>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（八）招标代理服务费</w:t>
      </w:r>
      <w:bookmarkEnd w:id="63"/>
      <w:bookmarkEnd w:id="64"/>
      <w:r>
        <w:rPr>
          <w:rFonts w:hint="eastAsia" w:ascii="宋体" w:hAnsi="宋体" w:eastAsia="宋体" w:cs="宋体"/>
          <w:b/>
          <w:color w:val="auto"/>
          <w:kern w:val="0"/>
          <w:sz w:val="21"/>
          <w:szCs w:val="21"/>
          <w:highlight w:val="none"/>
        </w:rPr>
        <w:t>　</w:t>
      </w:r>
      <w:r>
        <w:rPr>
          <w:rFonts w:hint="eastAsia" w:ascii="宋体" w:hAnsi="宋体" w:eastAsia="宋体" w:cs="宋体"/>
          <w:color w:val="auto"/>
          <w:kern w:val="0"/>
          <w:sz w:val="21"/>
          <w:szCs w:val="21"/>
          <w:highlight w:val="none"/>
        </w:rPr>
        <w:t>　</w:t>
      </w:r>
    </w:p>
    <w:p w14:paraId="66099BA6">
      <w:pPr>
        <w:adjustRightInd w:val="0"/>
        <w:spacing w:line="440" w:lineRule="exact"/>
        <w:ind w:firstLine="420" w:firstLineChars="200"/>
        <w:jc w:val="left"/>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35</w:t>
      </w:r>
      <w:bookmarkStart w:id="65" w:name="_Toc500596808"/>
      <w:bookmarkStart w:id="66" w:name="_Toc500632315"/>
      <w:r>
        <w:rPr>
          <w:rFonts w:hint="eastAsia" w:ascii="宋体" w:hAnsi="宋体" w:eastAsia="宋体" w:cs="宋体"/>
          <w:bCs/>
          <w:color w:val="auto"/>
          <w:kern w:val="0"/>
          <w:sz w:val="21"/>
          <w:szCs w:val="21"/>
          <w:highlight w:val="none"/>
        </w:rPr>
        <w:t>、</w:t>
      </w:r>
      <w:r>
        <w:rPr>
          <w:rFonts w:hint="eastAsia" w:ascii="宋体" w:hAnsi="宋体" w:eastAsia="宋体" w:cs="宋体"/>
          <w:color w:val="auto"/>
          <w:sz w:val="21"/>
          <w:szCs w:val="21"/>
          <w:highlight w:val="none"/>
        </w:rPr>
        <w:t>详见投标人须知前附表</w:t>
      </w:r>
      <w:r>
        <w:rPr>
          <w:rFonts w:hint="eastAsia" w:ascii="宋体" w:hAnsi="宋体" w:eastAsia="宋体" w:cs="宋体"/>
          <w:bCs/>
          <w:color w:val="auto"/>
          <w:kern w:val="0"/>
          <w:sz w:val="21"/>
          <w:szCs w:val="21"/>
          <w:highlight w:val="none"/>
        </w:rPr>
        <w:t>。</w:t>
      </w:r>
    </w:p>
    <w:p w14:paraId="5BA1CC77">
      <w:pPr>
        <w:tabs>
          <w:tab w:val="left" w:pos="0"/>
        </w:tabs>
        <w:adjustRightInd w:val="0"/>
        <w:spacing w:line="440" w:lineRule="exact"/>
        <w:ind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（九）保密和披露</w:t>
      </w:r>
      <w:bookmarkEnd w:id="65"/>
      <w:bookmarkEnd w:id="66"/>
    </w:p>
    <w:p w14:paraId="20F85571">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36.1投标人自领取招标文件之日起，须承担本招标项目下保密义务，不得将因本次招标获得的信息向第三人外传。</w:t>
      </w:r>
    </w:p>
    <w:p w14:paraId="70E640D4">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36.2采购代理机构有权将投标人提供的所有资料向有关政府部门或评审标书的有关人员披露。</w:t>
      </w:r>
    </w:p>
    <w:p w14:paraId="5DA7CD4B">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36.3在下列情形下：当发布中标公告</w:t>
      </w:r>
      <w:r>
        <w:rPr>
          <w:rFonts w:hint="eastAsia" w:ascii="宋体" w:hAnsi="宋体" w:eastAsia="宋体" w:cs="宋体"/>
          <w:color w:val="auto"/>
          <w:kern w:val="0"/>
          <w:sz w:val="21"/>
          <w:szCs w:val="21"/>
          <w:highlight w:val="none"/>
          <w:lang w:eastAsia="zh-CN"/>
        </w:rPr>
        <w:t>和其他</w:t>
      </w:r>
      <w:r>
        <w:rPr>
          <w:rFonts w:hint="eastAsia" w:ascii="宋体" w:hAnsi="宋体" w:eastAsia="宋体" w:cs="宋体"/>
          <w:color w:val="auto"/>
          <w:kern w:val="0"/>
          <w:sz w:val="21"/>
          <w:szCs w:val="21"/>
          <w:highlight w:val="none"/>
        </w:rPr>
        <w:t>公告时，当国家机关调查、审查、审计时，以及其他符合法律规定的情形下，无须事先征求投标人/中标人同意而可以披露关于采购过程、合同文本、签署情况的资料、投标人/中标人的名称及地址、采购内容的有关信息以及补充条款等，但应当在合理的必要范围内。对任何已经公布过的内容或与之内容相同的资料，以及投标人/中标人已经泄露或公开的，无须再承担保密责任。</w:t>
      </w:r>
    </w:p>
    <w:p w14:paraId="5FBB4C97">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zh-CN"/>
        </w:rPr>
        <w:t>投标人之间不得相互串通投标报价，不得妨碍其他投标人的公平竞争，不得损害采购人或者其他投标人的合法权益。</w:t>
      </w:r>
    </w:p>
    <w:p w14:paraId="49463F44">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zh-CN"/>
        </w:rPr>
        <w:t>投标人不得向采购人、评标委员会成员、采购代理机构进行商业贿赂或者采取其他不正当手段谋取中标。即使在签订合同后，如果有证据表明投标人有此行为的将按照《政府采购法》有关规定处理。</w:t>
      </w:r>
    </w:p>
    <w:p w14:paraId="56201A90">
      <w:pPr>
        <w:pStyle w:val="67"/>
        <w:spacing w:line="44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bidi="ar"/>
        </w:rPr>
        <w:t>招标文件和有关法律法规要求不一致的，以有关法律法规为准。</w:t>
      </w:r>
    </w:p>
    <w:p w14:paraId="7679E7F3">
      <w:pPr>
        <w:tabs>
          <w:tab w:val="left" w:pos="0"/>
        </w:tabs>
        <w:adjustRightInd w:val="0"/>
        <w:spacing w:line="440" w:lineRule="exact"/>
        <w:ind w:firstLine="422" w:firstLineChars="200"/>
        <w:outlineLvl w:val="1"/>
        <w:rPr>
          <w:rFonts w:hint="eastAsia" w:ascii="宋体" w:hAnsi="宋体" w:eastAsia="宋体" w:cs="宋体"/>
          <w:b/>
          <w:color w:val="auto"/>
          <w:kern w:val="0"/>
          <w:sz w:val="21"/>
          <w:szCs w:val="21"/>
          <w:highlight w:val="none"/>
        </w:rPr>
      </w:pPr>
      <w:bookmarkStart w:id="67" w:name="_Toc500596809"/>
      <w:bookmarkStart w:id="68" w:name="_Toc500632316"/>
      <w:r>
        <w:rPr>
          <w:rFonts w:hint="eastAsia" w:ascii="宋体" w:hAnsi="宋体" w:eastAsia="宋体" w:cs="宋体"/>
          <w:b/>
          <w:color w:val="auto"/>
          <w:kern w:val="0"/>
          <w:sz w:val="21"/>
          <w:szCs w:val="21"/>
          <w:highlight w:val="none"/>
        </w:rPr>
        <w:t>（十）处罚</w:t>
      </w:r>
      <w:bookmarkEnd w:id="67"/>
      <w:bookmarkEnd w:id="68"/>
    </w:p>
    <w:p w14:paraId="2AA2BD20">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37、发生下列情况之一，投标人将受到处罚，并被列入不良记录名单，投标人今后参与同类政府采购项目的机会可能会受到影响：</w:t>
      </w:r>
    </w:p>
    <w:p w14:paraId="0E31306A">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（1）开标后在投标有效期内，投标人撤回其投标；</w:t>
      </w:r>
    </w:p>
    <w:p w14:paraId="16CFB08E">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（2）中标人未按本招标文件规定签约；</w:t>
      </w:r>
    </w:p>
    <w:p w14:paraId="1E7BC035">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（3）在投标文件中提供虚假材料的；</w:t>
      </w:r>
    </w:p>
    <w:p w14:paraId="3C4176B8">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（4）中标人拒绝在中标通知书规定的时间内签订合同的；</w:t>
      </w:r>
    </w:p>
    <w:p w14:paraId="7A454392">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（5）采取不正当手段诋毁、排挤其他投标人的；</w:t>
      </w:r>
    </w:p>
    <w:p w14:paraId="36787CF3">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（6）投标人</w:t>
      </w:r>
      <w:r>
        <w:rPr>
          <w:rFonts w:hint="eastAsia" w:ascii="宋体" w:hAnsi="宋体" w:eastAsia="宋体" w:cs="宋体"/>
          <w:color w:val="auto"/>
          <w:kern w:val="0"/>
          <w:sz w:val="21"/>
          <w:szCs w:val="21"/>
          <w:highlight w:val="none"/>
          <w:lang w:eastAsia="zh-CN"/>
        </w:rPr>
        <w:t>其他未</w:t>
      </w:r>
      <w:r>
        <w:rPr>
          <w:rFonts w:hint="eastAsia" w:ascii="宋体" w:hAnsi="宋体" w:eastAsia="宋体" w:cs="宋体"/>
          <w:color w:val="auto"/>
          <w:kern w:val="0"/>
          <w:sz w:val="21"/>
          <w:szCs w:val="21"/>
          <w:highlight w:val="none"/>
        </w:rPr>
        <w:t>按招标文件规定和合同约定履行义务的行为。</w:t>
      </w:r>
    </w:p>
    <w:p w14:paraId="15E77C9F">
      <w:pPr>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38、在投标、评标过程中，如有投标人联合故意抬高报价或其他不正当行</w:t>
      </w:r>
      <w:bookmarkStart w:id="69" w:name="_Hlt91995185"/>
      <w:bookmarkEnd w:id="69"/>
      <w:r>
        <w:rPr>
          <w:rFonts w:hint="eastAsia" w:ascii="宋体" w:hAnsi="宋体" w:eastAsia="宋体" w:cs="宋体"/>
          <w:color w:val="auto"/>
          <w:kern w:val="0"/>
          <w:sz w:val="21"/>
          <w:szCs w:val="21"/>
          <w:highlight w:val="none"/>
        </w:rPr>
        <w:t>为，采购人有权中止招标或评标。</w:t>
      </w:r>
    </w:p>
    <w:p w14:paraId="376EE55D">
      <w:pPr>
        <w:pStyle w:val="34"/>
        <w:shd w:val="clear" w:color="auto" w:fill="FFFFFF"/>
        <w:spacing w:before="0" w:beforeAutospacing="0" w:after="0" w:afterAutospacing="0"/>
        <w:outlineLvl w:val="1"/>
        <w:rPr>
          <w:rStyle w:val="42"/>
          <w:rFonts w:hint="eastAsia" w:ascii="宋体" w:hAnsi="宋体" w:eastAsia="宋体" w:cs="宋体"/>
          <w:color w:val="auto"/>
          <w:sz w:val="21"/>
          <w:szCs w:val="21"/>
          <w:highlight w:val="none"/>
          <w:shd w:val="clear" w:color="auto" w:fill="FFFFFF"/>
        </w:rPr>
      </w:pPr>
      <w:r>
        <w:rPr>
          <w:rFonts w:hint="eastAsia" w:ascii="宋体" w:hAnsi="宋体" w:eastAsia="宋体" w:cs="宋体"/>
          <w:b/>
          <w:color w:val="auto"/>
          <w:sz w:val="21"/>
          <w:szCs w:val="21"/>
          <w:highlight w:val="none"/>
        </w:rPr>
        <w:t>（十一）</w:t>
      </w:r>
      <w:r>
        <w:rPr>
          <w:rStyle w:val="42"/>
          <w:rFonts w:hint="eastAsia" w:ascii="宋体" w:hAnsi="宋体" w:eastAsia="宋体" w:cs="宋体"/>
          <w:color w:val="auto"/>
          <w:sz w:val="21"/>
          <w:szCs w:val="21"/>
          <w:highlight w:val="none"/>
          <w:shd w:val="clear" w:color="auto" w:fill="FFFFFF"/>
        </w:rPr>
        <w:t>政府采购质疑和投诉办法</w:t>
      </w:r>
    </w:p>
    <w:p w14:paraId="7B5F6201">
      <w:pPr>
        <w:pStyle w:val="34"/>
        <w:shd w:val="clear" w:color="auto" w:fill="FFFFFF"/>
        <w:autoSpaceDE w:val="0"/>
        <w:autoSpaceDN w:val="0"/>
        <w:adjustRightInd w:val="0"/>
        <w:spacing w:before="0" w:beforeAutospacing="0" w:after="0" w:afterAutospacing="0" w:line="440" w:lineRule="exact"/>
        <w:ind w:firstLine="422" w:firstLineChars="200"/>
        <w:jc w:val="center"/>
        <w:outlineLvl w:val="9"/>
        <w:rPr>
          <w:rFonts w:hint="eastAsia"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shd w:val="clear" w:color="auto" w:fill="FFFFFF"/>
        </w:rPr>
        <w:t>第一章 总则</w:t>
      </w:r>
    </w:p>
    <w:p w14:paraId="2F33964A">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第一条</w:t>
      </w:r>
      <w:r>
        <w:rPr>
          <w:rFonts w:hint="eastAsia" w:ascii="宋体" w:hAnsi="宋体" w:eastAsia="宋体" w:cs="宋体"/>
          <w:color w:val="auto"/>
          <w:sz w:val="21"/>
          <w:szCs w:val="21"/>
          <w:highlight w:val="none"/>
          <w:shd w:val="clear" w:color="auto" w:fill="FFFFFF"/>
        </w:rPr>
        <w:t xml:space="preserve"> 为了规范政府采购质疑和投诉行为，保护参加政府采购活动当事人的合法权益，根据《中华人民共和国政府采购法》《中华人民共和国政府采购法实施条例》和其他有关法律法规规定，制定本办法。</w:t>
      </w:r>
    </w:p>
    <w:p w14:paraId="1E587EDB">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第二条</w:t>
      </w:r>
      <w:r>
        <w:rPr>
          <w:rFonts w:hint="eastAsia" w:ascii="宋体" w:hAnsi="宋体" w:eastAsia="宋体" w:cs="宋体"/>
          <w:color w:val="auto"/>
          <w:sz w:val="21"/>
          <w:szCs w:val="21"/>
          <w:highlight w:val="none"/>
          <w:shd w:val="clear" w:color="auto" w:fill="FFFFFF"/>
        </w:rPr>
        <w:t xml:space="preserve"> 本办法适用于政府采购质疑的提出和答复、投诉的提起和处理。</w:t>
      </w:r>
    </w:p>
    <w:p w14:paraId="68EADDB6">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第三条</w:t>
      </w:r>
      <w:r>
        <w:rPr>
          <w:rFonts w:hint="eastAsia" w:ascii="宋体" w:hAnsi="宋体" w:eastAsia="宋体" w:cs="宋体"/>
          <w:color w:val="auto"/>
          <w:sz w:val="21"/>
          <w:szCs w:val="21"/>
          <w:highlight w:val="none"/>
          <w:shd w:val="clear" w:color="auto" w:fill="FFFFFF"/>
        </w:rPr>
        <w:t xml:space="preserve"> 政府采购供应商（以下简称供应商）提出质疑和投诉应当坚持依法依规、诚实信用原则。</w:t>
      </w:r>
    </w:p>
    <w:p w14:paraId="3E20C9EB">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第四条</w:t>
      </w:r>
      <w:r>
        <w:rPr>
          <w:rFonts w:hint="eastAsia" w:ascii="宋体" w:hAnsi="宋体" w:eastAsia="宋体" w:cs="宋体"/>
          <w:color w:val="auto"/>
          <w:sz w:val="21"/>
          <w:szCs w:val="21"/>
          <w:highlight w:val="none"/>
          <w:shd w:val="clear" w:color="auto" w:fill="FFFFFF"/>
        </w:rPr>
        <w:t xml:space="preserve"> 政府采购质疑答复和投诉处理应当坚持依法依规、权责对等、公平公正、简便高效原则。</w:t>
      </w:r>
    </w:p>
    <w:p w14:paraId="4182780D">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第五条</w:t>
      </w:r>
      <w:r>
        <w:rPr>
          <w:rFonts w:hint="eastAsia" w:ascii="宋体" w:hAnsi="宋体" w:eastAsia="宋体" w:cs="宋体"/>
          <w:color w:val="auto"/>
          <w:sz w:val="21"/>
          <w:szCs w:val="21"/>
          <w:highlight w:val="none"/>
          <w:shd w:val="clear" w:color="auto" w:fill="FFFFFF"/>
        </w:rPr>
        <w:t xml:space="preserve"> 采购人负责供应商质疑答复。采购人委托采购代理机构采购的，采购代理机构在委托授权范围内作出答复。县级以上各级人民政府财政部门（以下简称财政部门）负责依法处理供应商投诉。</w:t>
      </w:r>
    </w:p>
    <w:p w14:paraId="198FBF68">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第六条</w:t>
      </w:r>
      <w:r>
        <w:rPr>
          <w:rFonts w:hint="eastAsia" w:ascii="宋体" w:hAnsi="宋体" w:eastAsia="宋体" w:cs="宋体"/>
          <w:color w:val="auto"/>
          <w:sz w:val="21"/>
          <w:szCs w:val="21"/>
          <w:highlight w:val="none"/>
          <w:shd w:val="clear" w:color="auto" w:fill="FFFFFF"/>
        </w:rPr>
        <w:t xml:space="preserve"> 供应商投诉按照采购人所属预算级次，由本级财政部门处理。</w:t>
      </w:r>
    </w:p>
    <w:p w14:paraId="6FDC44C8">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p w14:paraId="4763EAFF">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第七条</w:t>
      </w:r>
      <w:r>
        <w:rPr>
          <w:rFonts w:hint="eastAsia" w:ascii="宋体" w:hAnsi="宋体" w:eastAsia="宋体" w:cs="宋体"/>
          <w:color w:val="auto"/>
          <w:sz w:val="21"/>
          <w:szCs w:val="21"/>
          <w:highlight w:val="none"/>
          <w:shd w:val="clear" w:color="auto" w:fill="FFFFFF"/>
        </w:rPr>
        <w:t xml:space="preserve"> 采购人、采购代理机构应当在采购文件中载明接收质疑函的方式、联系部门、联系电话和通讯地址等信息。</w:t>
      </w:r>
    </w:p>
    <w:p w14:paraId="07139411">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县级以上财政部门应当在省级以上财政部门指定的政府采购信息发布媒体公布受理投诉的方式、联系部门、联系电话和通讯地址等信息。</w:t>
      </w:r>
    </w:p>
    <w:p w14:paraId="689AA7E5">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第八条</w:t>
      </w:r>
      <w:r>
        <w:rPr>
          <w:rFonts w:hint="eastAsia" w:ascii="宋体" w:hAnsi="宋体" w:eastAsia="宋体" w:cs="宋体"/>
          <w:color w:val="auto"/>
          <w:sz w:val="21"/>
          <w:szCs w:val="21"/>
          <w:highlight w:val="none"/>
          <w:shd w:val="clear" w:color="auto" w:fill="FFFFFF"/>
        </w:rPr>
        <w:t xml:space="preserve">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04203D21">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第九条</w:t>
      </w:r>
      <w:r>
        <w:rPr>
          <w:rFonts w:hint="eastAsia" w:ascii="宋体" w:hAnsi="宋体" w:eastAsia="宋体" w:cs="宋体"/>
          <w:color w:val="auto"/>
          <w:sz w:val="21"/>
          <w:szCs w:val="21"/>
          <w:highlight w:val="none"/>
          <w:shd w:val="clear" w:color="auto" w:fill="FFFFFF"/>
        </w:rPr>
        <w:t xml:space="preserve"> 以联合体形式参加政府采购活动的，其投诉应当由组成联合体的所有供应商共同提出。</w:t>
      </w:r>
    </w:p>
    <w:p w14:paraId="1FC94073">
      <w:pPr>
        <w:pStyle w:val="34"/>
        <w:shd w:val="clear" w:color="auto" w:fill="FFFFFF"/>
        <w:autoSpaceDE w:val="0"/>
        <w:autoSpaceDN w:val="0"/>
        <w:adjustRightInd w:val="0"/>
        <w:spacing w:before="0" w:beforeAutospacing="0" w:after="0" w:afterAutospacing="0" w:line="440" w:lineRule="exact"/>
        <w:ind w:firstLine="422" w:firstLineChars="200"/>
        <w:jc w:val="center"/>
        <w:rPr>
          <w:rFonts w:hint="eastAsia"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shd w:val="clear" w:color="auto" w:fill="FFFFFF"/>
        </w:rPr>
        <w:t>第二章 质疑提出与答复</w:t>
      </w:r>
    </w:p>
    <w:p w14:paraId="67BF4F44">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 xml:space="preserve">第十条 </w:t>
      </w:r>
      <w:r>
        <w:rPr>
          <w:rFonts w:hint="eastAsia" w:ascii="宋体" w:hAnsi="宋体" w:eastAsia="宋体" w:cs="宋体"/>
          <w:color w:val="auto"/>
          <w:sz w:val="21"/>
          <w:szCs w:val="21"/>
          <w:highlight w:val="none"/>
          <w:shd w:val="clear" w:color="auto" w:fill="FFFFFF"/>
        </w:rPr>
        <w:t>供应商认为采购文件、采购过程、中标或者成交结果使自己的权益受到损害的，可以在知道或者应知其权益受到损害之日起7个工作日内，以书面形式向采购人、采购代理机构提出质疑。</w:t>
      </w:r>
    </w:p>
    <w:p w14:paraId="5DD4CC0C">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采购文件可以要求供应商在法定质疑期内一次性提出针对同一采购程序环节的质疑。</w:t>
      </w:r>
    </w:p>
    <w:p w14:paraId="26A1CFD0">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第十一条</w:t>
      </w:r>
      <w:r>
        <w:rPr>
          <w:rFonts w:hint="eastAsia" w:ascii="宋体" w:hAnsi="宋体" w:eastAsia="宋体" w:cs="宋体"/>
          <w:color w:val="auto"/>
          <w:sz w:val="21"/>
          <w:szCs w:val="21"/>
          <w:highlight w:val="none"/>
          <w:shd w:val="clear" w:color="auto" w:fill="FFFFFF"/>
        </w:rPr>
        <w:t xml:space="preserve"> 提出质疑的供应商（以下简称质疑供应商）应当是参与所质疑项目采购活动的供应商。</w:t>
      </w:r>
    </w:p>
    <w:p w14:paraId="6580489C">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潜在供应商已依法获取其可质疑的采购文件的，可以对该文件提出质疑。对采购文件提出质疑的，应当在获取采购文件或者采购文件公告期限届满之日起7个工作日内提出。</w:t>
      </w:r>
    </w:p>
    <w:p w14:paraId="21A89CB0">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第十二条</w:t>
      </w:r>
      <w:r>
        <w:rPr>
          <w:rFonts w:hint="eastAsia" w:ascii="宋体" w:hAnsi="宋体" w:eastAsia="宋体" w:cs="宋体"/>
          <w:color w:val="auto"/>
          <w:sz w:val="21"/>
          <w:szCs w:val="21"/>
          <w:highlight w:val="none"/>
          <w:shd w:val="clear" w:color="auto" w:fill="FFFFFF"/>
        </w:rPr>
        <w:t xml:space="preserve"> 供应商提出质疑应当提交质疑函和必要的证明材料。质疑函应当包括下列内容：</w:t>
      </w:r>
    </w:p>
    <w:p w14:paraId="5B18D69F">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（一）供应商的姓名或者名称、地址、邮编、联系人及联系电话；</w:t>
      </w:r>
    </w:p>
    <w:p w14:paraId="265DA869">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（二）质疑项目的名称、编号；</w:t>
      </w:r>
    </w:p>
    <w:p w14:paraId="114B1D4B">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（三）具体、明确的质疑事项和与质疑事项相关的请求；</w:t>
      </w:r>
    </w:p>
    <w:p w14:paraId="1CADC913">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（四）事实依据；</w:t>
      </w:r>
    </w:p>
    <w:p w14:paraId="7E47DEDB">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（五）必要的法律依据；</w:t>
      </w:r>
    </w:p>
    <w:p w14:paraId="3F82D809">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（六）提出质疑的日期。</w:t>
      </w:r>
    </w:p>
    <w:p w14:paraId="4A05B403">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供应商为自然人的，应当由本人签字；供应商为法人或者其他组织的，应当由法定代表人、主要负责人，或者其授权代表签字或者盖章，并加盖公章。</w:t>
      </w:r>
    </w:p>
    <w:p w14:paraId="25BDF70A">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第十三条</w:t>
      </w:r>
      <w:r>
        <w:rPr>
          <w:rFonts w:hint="eastAsia" w:ascii="宋体" w:hAnsi="宋体" w:eastAsia="宋体" w:cs="宋体"/>
          <w:color w:val="auto"/>
          <w:sz w:val="21"/>
          <w:szCs w:val="21"/>
          <w:highlight w:val="none"/>
          <w:shd w:val="clear" w:color="auto" w:fill="FFFFFF"/>
        </w:rPr>
        <w:t xml:space="preserve"> 采购人、采购代理机构不得拒收质疑供应商在法定质疑期内发出的质疑函，应当在收到质疑函后7个工作日内作出答复，并以书面形式通知质疑供应商和其他有关供应商。</w:t>
      </w:r>
    </w:p>
    <w:p w14:paraId="1C43FD78">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第十四条</w:t>
      </w:r>
      <w:r>
        <w:rPr>
          <w:rFonts w:hint="eastAsia" w:ascii="宋体" w:hAnsi="宋体" w:eastAsia="宋体" w:cs="宋体"/>
          <w:color w:val="auto"/>
          <w:sz w:val="21"/>
          <w:szCs w:val="21"/>
          <w:highlight w:val="none"/>
          <w:shd w:val="clear" w:color="auto" w:fill="FFFFFF"/>
        </w:rPr>
        <w:t xml:space="preserve"> 供应商对评审过程、中标或者成交结果提出质疑的，采购人、采购代理机构可以组织原评标委员会、竞争性谈判小组、询价小组或者竞争性磋商小组协助答复质疑。</w:t>
      </w:r>
    </w:p>
    <w:p w14:paraId="649CAD73">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第十五条</w:t>
      </w:r>
      <w:r>
        <w:rPr>
          <w:rFonts w:hint="eastAsia" w:ascii="宋体" w:hAnsi="宋体" w:eastAsia="宋体" w:cs="宋体"/>
          <w:color w:val="auto"/>
          <w:sz w:val="21"/>
          <w:szCs w:val="21"/>
          <w:highlight w:val="none"/>
          <w:shd w:val="clear" w:color="auto" w:fill="FFFFFF"/>
        </w:rPr>
        <w:t xml:space="preserve"> 质疑答复应当包括下列内容：</w:t>
      </w:r>
    </w:p>
    <w:p w14:paraId="06468B9F">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（一）质疑供应商的姓名或者名称；</w:t>
      </w:r>
    </w:p>
    <w:p w14:paraId="1FA81513">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（二）收到质疑函的日期、质疑项目名称及编号；</w:t>
      </w:r>
    </w:p>
    <w:p w14:paraId="7224778C">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（三）质疑事项、质疑答复的具体内容、事实依据和法律依据；</w:t>
      </w:r>
    </w:p>
    <w:p w14:paraId="1581D52F">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（四）告知质疑供应商依法投诉的权利；</w:t>
      </w:r>
    </w:p>
    <w:p w14:paraId="3D90E00D">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（五）质疑答复人名称；</w:t>
      </w:r>
    </w:p>
    <w:p w14:paraId="15361A11">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（六）答复质疑的日期。</w:t>
      </w:r>
    </w:p>
    <w:p w14:paraId="2C42519A">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质疑答复的内容不得涉及商业秘密。</w:t>
      </w:r>
    </w:p>
    <w:p w14:paraId="66B180EC">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第十六条</w:t>
      </w:r>
      <w:r>
        <w:rPr>
          <w:rFonts w:hint="eastAsia" w:ascii="宋体" w:hAnsi="宋体" w:eastAsia="宋体" w:cs="宋体"/>
          <w:color w:val="auto"/>
          <w:sz w:val="21"/>
          <w:szCs w:val="21"/>
          <w:highlight w:val="none"/>
          <w:shd w:val="clear" w:color="auto" w:fill="FFFFFF"/>
        </w:rPr>
        <w:t xml:space="preserve"> 采购人、采购代理机构认为供应商质疑不成立，或者成立但未对中标、成交结果构成影响的，继续开展采购活动；认为供应商质疑成立且影响或者可能影响中标、成交结果的，按照下列情况处理：</w:t>
      </w:r>
    </w:p>
    <w:p w14:paraId="45418549">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（一）对采购文件提出的质疑，依法通过澄清或者修改可以继续开展采购活动的，澄清或者修改采购文件后继续开展采购活动；否则应当修改采购文件后重新开展采购活动。</w:t>
      </w:r>
    </w:p>
    <w:p w14:paraId="65AF665F">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323C85FF">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质疑答复导致中标、成交结果改变的，采购人或者采购代理机构应当将有关情况书面报告本级财政部门。</w:t>
      </w:r>
    </w:p>
    <w:p w14:paraId="039E9EDC">
      <w:pPr>
        <w:pStyle w:val="34"/>
        <w:shd w:val="clear" w:color="auto" w:fill="FFFFFF"/>
        <w:autoSpaceDE w:val="0"/>
        <w:autoSpaceDN w:val="0"/>
        <w:adjustRightInd w:val="0"/>
        <w:spacing w:before="0" w:beforeAutospacing="0" w:after="0" w:afterAutospacing="0" w:line="440" w:lineRule="exact"/>
        <w:ind w:firstLine="422" w:firstLineChars="200"/>
        <w:jc w:val="center"/>
        <w:rPr>
          <w:rFonts w:hint="eastAsia"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shd w:val="clear" w:color="auto" w:fill="FFFFFF"/>
        </w:rPr>
        <w:t>第三章 投诉提起</w:t>
      </w:r>
    </w:p>
    <w:p w14:paraId="31E74D69">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第十七条</w:t>
      </w:r>
      <w:r>
        <w:rPr>
          <w:rFonts w:hint="eastAsia" w:ascii="宋体" w:hAnsi="宋体" w:eastAsia="宋体" w:cs="宋体"/>
          <w:color w:val="auto"/>
          <w:sz w:val="21"/>
          <w:szCs w:val="21"/>
          <w:highlight w:val="none"/>
          <w:shd w:val="clear" w:color="auto" w:fill="FFFFFF"/>
        </w:rPr>
        <w:t xml:space="preserve"> 质疑供应商对采购人、采购代理机构的答复不满意，或者采购人、采购代理机构未在规定时间内作出答复的，可以在答复期满后15个工作日内向本办法第六条规定的财政部门提起投诉。</w:t>
      </w:r>
    </w:p>
    <w:p w14:paraId="690D9FCF">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 xml:space="preserve">第十八条 </w:t>
      </w:r>
      <w:r>
        <w:rPr>
          <w:rFonts w:hint="eastAsia" w:ascii="宋体" w:hAnsi="宋体" w:eastAsia="宋体" w:cs="宋体"/>
          <w:color w:val="auto"/>
          <w:sz w:val="21"/>
          <w:szCs w:val="21"/>
          <w:highlight w:val="none"/>
          <w:shd w:val="clear" w:color="auto" w:fill="FFFFFF"/>
        </w:rPr>
        <w:t>投诉人投诉时,应当提交投诉书和必要的证明材料，并按照被投诉采购人、采购代理机构（以下简称被投诉人）和与投诉事项有关的供应商数量提供投诉书的副本。投诉书应当包括下列内容：</w:t>
      </w:r>
    </w:p>
    <w:p w14:paraId="5AC62A51">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（一）投诉人和被投诉人的姓名或者名称、通讯地址、邮编、联系人及联系电话；</w:t>
      </w:r>
    </w:p>
    <w:p w14:paraId="77179F65">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（二）质疑和质疑答复情况说明及相关证明材料；</w:t>
      </w:r>
    </w:p>
    <w:p w14:paraId="2CC4F716">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（三）具体、明确的投诉事项和与投诉事项相关的投诉请求；</w:t>
      </w:r>
    </w:p>
    <w:p w14:paraId="2485A402">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（四）事实依据；</w:t>
      </w:r>
    </w:p>
    <w:p w14:paraId="2BEF66AA">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（五）法律依据；</w:t>
      </w:r>
    </w:p>
    <w:p w14:paraId="1C710C1B">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（六）提起投诉的日期。</w:t>
      </w:r>
    </w:p>
    <w:p w14:paraId="2E9B5186">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投诉人为自然人的，应当由本人签字；投诉人为法人或者其他组织的，应当由法定代表人、主要负责人，或者其授权代表签字或者盖章，并加盖公章。</w:t>
      </w:r>
    </w:p>
    <w:p w14:paraId="5B2DCB08">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第十九条</w:t>
      </w:r>
      <w:r>
        <w:rPr>
          <w:rFonts w:hint="eastAsia" w:ascii="宋体" w:hAnsi="宋体" w:eastAsia="宋体" w:cs="宋体"/>
          <w:color w:val="auto"/>
          <w:sz w:val="21"/>
          <w:szCs w:val="21"/>
          <w:highlight w:val="none"/>
          <w:shd w:val="clear" w:color="auto" w:fill="FFFFFF"/>
        </w:rPr>
        <w:t xml:space="preserve"> 投诉人应当根据本办法第七条第二款规定的信息内容，并按照其规定的方式提起投诉。</w:t>
      </w:r>
    </w:p>
    <w:p w14:paraId="1E9C5858">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投诉人提起投诉应当符合下列条件：</w:t>
      </w:r>
    </w:p>
    <w:p w14:paraId="2A43443C">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（一）提起投诉前已依法进行质疑；</w:t>
      </w:r>
    </w:p>
    <w:p w14:paraId="2D8D1DCF">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（二）投诉书内容符合本办法的规定；</w:t>
      </w:r>
    </w:p>
    <w:p w14:paraId="3A895FC2">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（三）在投诉有效期限内提起投诉；</w:t>
      </w:r>
    </w:p>
    <w:p w14:paraId="3C835B5B">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（四）同一投诉事项未经财政部门投诉处理；</w:t>
      </w:r>
    </w:p>
    <w:p w14:paraId="4F5CF816">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（五）财政部规定的其他条件。</w:t>
      </w:r>
    </w:p>
    <w:p w14:paraId="6CF2E939">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第二十条</w:t>
      </w:r>
      <w:r>
        <w:rPr>
          <w:rFonts w:hint="eastAsia" w:ascii="宋体" w:hAnsi="宋体" w:eastAsia="宋体" w:cs="宋体"/>
          <w:color w:val="auto"/>
          <w:sz w:val="21"/>
          <w:szCs w:val="21"/>
          <w:highlight w:val="none"/>
          <w:shd w:val="clear" w:color="auto" w:fill="FFFFFF"/>
        </w:rPr>
        <w:t xml:space="preserve"> 供应商投诉的事项不得超出已质疑事项的范围，但基于质疑答复内容提出的投诉事项除外。</w:t>
      </w:r>
    </w:p>
    <w:p w14:paraId="2CA872DC">
      <w:pPr>
        <w:pStyle w:val="34"/>
        <w:shd w:val="clear" w:color="auto" w:fill="FFFFFF"/>
        <w:autoSpaceDE w:val="0"/>
        <w:autoSpaceDN w:val="0"/>
        <w:adjustRightInd w:val="0"/>
        <w:spacing w:before="0" w:beforeAutospacing="0" w:after="0" w:afterAutospacing="0" w:line="440" w:lineRule="exact"/>
        <w:ind w:firstLine="422" w:firstLineChars="200"/>
        <w:jc w:val="center"/>
        <w:rPr>
          <w:rFonts w:hint="eastAsia"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shd w:val="clear" w:color="auto" w:fill="FFFFFF"/>
        </w:rPr>
        <w:t>第四章 投诉处理</w:t>
      </w:r>
    </w:p>
    <w:p w14:paraId="04D46D4C">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第二十一条</w:t>
      </w:r>
      <w:r>
        <w:rPr>
          <w:rFonts w:hint="eastAsia" w:ascii="宋体" w:hAnsi="宋体" w:eastAsia="宋体" w:cs="宋体"/>
          <w:color w:val="auto"/>
          <w:sz w:val="21"/>
          <w:szCs w:val="21"/>
          <w:highlight w:val="none"/>
          <w:shd w:val="clear" w:color="auto" w:fill="FFFFFF"/>
        </w:rPr>
        <w:t xml:space="preserve"> 财政部门收到投诉书后，应当在5个工作日内进行审查，审查后按照下列情况处理：</w:t>
      </w:r>
    </w:p>
    <w:p w14:paraId="149487ED">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投诉书内容不符合本办法第十八条规定的，应当在收到投诉书5个工作日内一次性书面通知投诉人补正。补正通知应当载明需要补正的事项和合理的补正期限。未按照补正期限进行补正或者补正后仍不符合规定的，不予受理。</w:t>
      </w:r>
    </w:p>
    <w:p w14:paraId="2211A42F">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（二）投诉不符合本办法第十九条规定条件的，应当在3个工作日内书面告知投诉人不予受理，并说明理由。</w:t>
      </w:r>
    </w:p>
    <w:p w14:paraId="6DDC6DA9">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（三）投诉不属于本部门管辖的，应当在3个工作日内书面告知投诉人向有管辖权的部门提起投诉。</w:t>
      </w:r>
    </w:p>
    <w:p w14:paraId="62ED5144">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（四）投诉符合本办法第十八条、第十九条规定的，自收到投诉书之日起即为受理，并在收到投诉后8个工作日内向被投诉人和其他与投诉事项有关的当事人发出投诉答复通知书及投诉书副本。</w:t>
      </w:r>
    </w:p>
    <w:p w14:paraId="1846AE79">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第二十二条</w:t>
      </w:r>
      <w:r>
        <w:rPr>
          <w:rFonts w:hint="eastAsia" w:ascii="宋体" w:hAnsi="宋体" w:eastAsia="宋体" w:cs="宋体"/>
          <w:color w:val="auto"/>
          <w:sz w:val="21"/>
          <w:szCs w:val="21"/>
          <w:highlight w:val="none"/>
          <w:shd w:val="clear" w:color="auto" w:fill="FFFFFF"/>
        </w:rPr>
        <w:t xml:space="preserve"> 被投诉人和其他与投诉事项有关的当事人应当在收到投诉答复通知书及投诉书副本之日起5个工作日内，以书面形式向财政部门作出说明，并提交相关证据、依据和其他有关材料。</w:t>
      </w:r>
    </w:p>
    <w:p w14:paraId="2466084B">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第二十三条</w:t>
      </w:r>
      <w:r>
        <w:rPr>
          <w:rFonts w:hint="eastAsia" w:ascii="宋体" w:hAnsi="宋体" w:eastAsia="宋体" w:cs="宋体"/>
          <w:color w:val="auto"/>
          <w:sz w:val="21"/>
          <w:szCs w:val="21"/>
          <w:highlight w:val="none"/>
          <w:shd w:val="clear" w:color="auto" w:fill="FFFFFF"/>
        </w:rPr>
        <w:t xml:space="preserve"> 财政部门处理投诉事项原则上采用书面审查的方式。财政部门认为有必要时，可以进行调查取证或者组织质证。</w:t>
      </w:r>
    </w:p>
    <w:p w14:paraId="69A07530">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财政部门可以根据法律、法规规定或者职责权限，委托相关单位或者第三方开展调查取证、检验、检测、鉴定。</w:t>
      </w:r>
    </w:p>
    <w:p w14:paraId="6DCFCCD4">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质证应当通知相关当事人到场，并制作质证笔录。质证笔录应当由当事人签字确认。</w:t>
      </w:r>
    </w:p>
    <w:p w14:paraId="35233853">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第二十四条</w:t>
      </w:r>
      <w:r>
        <w:rPr>
          <w:rFonts w:hint="eastAsia" w:ascii="宋体" w:hAnsi="宋体" w:eastAsia="宋体" w:cs="宋体"/>
          <w:color w:val="auto"/>
          <w:sz w:val="21"/>
          <w:szCs w:val="21"/>
          <w:highlight w:val="none"/>
          <w:shd w:val="clear" w:color="auto" w:fill="FFFFFF"/>
        </w:rPr>
        <w:t xml:space="preserve"> 财政部门依法进行调查取证时，投诉人、被投诉人以及与投诉事项有关的单位及人员应当如实反映情况，并提供财政部门所需要的相关材料。</w:t>
      </w:r>
    </w:p>
    <w:p w14:paraId="2BA97E0C">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第二十五条</w:t>
      </w:r>
      <w:r>
        <w:rPr>
          <w:rFonts w:hint="eastAsia" w:ascii="宋体" w:hAnsi="宋体" w:eastAsia="宋体" w:cs="宋体"/>
          <w:color w:val="auto"/>
          <w:sz w:val="21"/>
          <w:szCs w:val="21"/>
          <w:highlight w:val="none"/>
          <w:shd w:val="clear" w:color="auto" w:fill="FFFFFF"/>
        </w:rPr>
        <w:t xml:space="preserve"> 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14:paraId="6F9884D9">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第二十六条</w:t>
      </w:r>
      <w:r>
        <w:rPr>
          <w:rFonts w:hint="eastAsia" w:ascii="宋体" w:hAnsi="宋体" w:eastAsia="宋体" w:cs="宋体"/>
          <w:color w:val="auto"/>
          <w:sz w:val="21"/>
          <w:szCs w:val="21"/>
          <w:highlight w:val="none"/>
          <w:shd w:val="clear" w:color="auto" w:fill="FFFFFF"/>
        </w:rPr>
        <w:t xml:space="preserve"> 财政部门应当自收到投诉之日起30个工作日内，对投诉事项作出处理决定。</w:t>
      </w:r>
    </w:p>
    <w:p w14:paraId="3DB9B3E9">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第二十七条</w:t>
      </w:r>
      <w:r>
        <w:rPr>
          <w:rFonts w:hint="eastAsia" w:ascii="宋体" w:hAnsi="宋体" w:eastAsia="宋体" w:cs="宋体"/>
          <w:color w:val="auto"/>
          <w:sz w:val="21"/>
          <w:szCs w:val="21"/>
          <w:highlight w:val="none"/>
          <w:shd w:val="clear" w:color="auto" w:fill="FFFFFF"/>
        </w:rPr>
        <w:t xml:space="preserve"> 财政部门处理投诉事项，需要检验、检测、鉴定、专家评审以及需要投诉人补正材料的，所需时间不计算在投诉处理期限内。</w:t>
      </w:r>
    </w:p>
    <w:p w14:paraId="417B135D">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前款所称所需时间，是指财政部门向相关单位、第三方、投诉人发出相关文书、补正通知之日至收到相关反馈文书或材料之日。</w:t>
      </w:r>
    </w:p>
    <w:p w14:paraId="5822DB0F">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财政部门向相关单位、第三方开展检验、检测、鉴定、专家评审的，应当将所需时间告知投诉人。</w:t>
      </w:r>
    </w:p>
    <w:p w14:paraId="43998704">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 xml:space="preserve">第二十八条 </w:t>
      </w:r>
      <w:r>
        <w:rPr>
          <w:rFonts w:hint="eastAsia" w:ascii="宋体" w:hAnsi="宋体" w:eastAsia="宋体" w:cs="宋体"/>
          <w:color w:val="auto"/>
          <w:sz w:val="21"/>
          <w:szCs w:val="21"/>
          <w:highlight w:val="none"/>
          <w:shd w:val="clear" w:color="auto" w:fill="FFFFFF"/>
        </w:rPr>
        <w:t>财政部门在处理投诉事项期间，可以视具体情况书面通知采购人和采购代理机构暂停采购活动，暂停采购活动时间最长不得超过30日。</w:t>
      </w:r>
    </w:p>
    <w:p w14:paraId="084DE1B8">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采购人和采购代理机构收到暂停采购活动通知后应当立即中止采购活动，在法定的暂停期限结束前或者财政部门发出恢复采购活动通知前，不得进行该项采购活动。</w:t>
      </w:r>
    </w:p>
    <w:p w14:paraId="1D251512">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 xml:space="preserve">第二十九条 </w:t>
      </w:r>
      <w:r>
        <w:rPr>
          <w:rFonts w:hint="eastAsia" w:ascii="宋体" w:hAnsi="宋体" w:eastAsia="宋体" w:cs="宋体"/>
          <w:color w:val="auto"/>
          <w:sz w:val="21"/>
          <w:szCs w:val="21"/>
          <w:highlight w:val="none"/>
          <w:shd w:val="clear" w:color="auto" w:fill="FFFFFF"/>
        </w:rPr>
        <w:t>投诉处理过程中，有下列情形之一的，财政部门应当驳回投诉：</w:t>
      </w:r>
    </w:p>
    <w:p w14:paraId="0D81059C">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（一）受理后发现投诉不符合法定受理条件；</w:t>
      </w:r>
    </w:p>
    <w:p w14:paraId="19A72A64">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（二）投诉事项缺乏事实依据，投诉事项不成立；</w:t>
      </w:r>
    </w:p>
    <w:p w14:paraId="416445CA">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（三）投诉人捏造事实或者提供虚假材料；</w:t>
      </w:r>
    </w:p>
    <w:p w14:paraId="39F9E36E">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（四）投诉人以非法手段取得证明材料。证据来源的合法性存在明显疑问，投诉人无法证明其取得方式合法的，视为以非法手段取得证明材料。</w:t>
      </w:r>
    </w:p>
    <w:p w14:paraId="5AB86371">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第三十条</w:t>
      </w:r>
      <w:r>
        <w:rPr>
          <w:rFonts w:hint="eastAsia" w:ascii="宋体" w:hAnsi="宋体" w:eastAsia="宋体" w:cs="宋体"/>
          <w:color w:val="auto"/>
          <w:sz w:val="21"/>
          <w:szCs w:val="21"/>
          <w:highlight w:val="none"/>
          <w:shd w:val="clear" w:color="auto" w:fill="FFFFFF"/>
        </w:rPr>
        <w:t xml:space="preserve"> 财政部门受理投诉后,投诉人书面申请撤回投诉的，财政部门应当终止投诉处理程序，并书面告知相关当事人。</w:t>
      </w:r>
    </w:p>
    <w:p w14:paraId="315D3678">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第三十一条</w:t>
      </w:r>
      <w:r>
        <w:rPr>
          <w:rFonts w:hint="eastAsia" w:ascii="宋体" w:hAnsi="宋体" w:eastAsia="宋体" w:cs="宋体"/>
          <w:color w:val="auto"/>
          <w:sz w:val="21"/>
          <w:szCs w:val="21"/>
          <w:highlight w:val="none"/>
          <w:shd w:val="clear" w:color="auto" w:fill="FFFFFF"/>
        </w:rPr>
        <w:t xml:space="preserve"> 投诉人对采购文件提起的投诉事项，财政部门经查证属实的，应当认定投诉事项成立。经认定成立的投诉事项不影响采购结果的，继续开展采购活动；影响或者可能影响采购结果的，财政部门按照下列情况处理：</w:t>
      </w:r>
    </w:p>
    <w:p w14:paraId="51A2BA59">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（一）未确定中标或者成交供应商的，责令重新开展采购活动。</w:t>
      </w:r>
    </w:p>
    <w:p w14:paraId="1986A42E">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（二）已确定中标或者成交供应商但尚未签订政府采购合同的，认定中标或者成交结果无效，责令重新开展采购活动。</w:t>
      </w:r>
    </w:p>
    <w:p w14:paraId="29331499">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（三）政府采购合同已经签订但尚未履行的，撤销合同，责令重新开展采购活动。</w:t>
      </w:r>
    </w:p>
    <w:p w14:paraId="227B1525">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（四）政府采购合同已经履行，给他人造成损失的，相关当事人可依法提起诉讼，由责任人承担赔偿责任。</w:t>
      </w:r>
    </w:p>
    <w:p w14:paraId="08EE0078">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 xml:space="preserve">第三十二条 </w:t>
      </w:r>
      <w:r>
        <w:rPr>
          <w:rFonts w:hint="eastAsia" w:ascii="宋体" w:hAnsi="宋体" w:eastAsia="宋体" w:cs="宋体"/>
          <w:color w:val="auto"/>
          <w:sz w:val="21"/>
          <w:szCs w:val="21"/>
          <w:highlight w:val="none"/>
          <w:shd w:val="clear" w:color="auto" w:fill="FFFFFF"/>
        </w:rPr>
        <w:t>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14:paraId="69EE924E">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（一）未确定中标或者成交供应商的，责令重新开展采购活动。</w:t>
      </w:r>
    </w:p>
    <w:p w14:paraId="5DC9E973">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14:paraId="3A3A35EB">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14:paraId="7F650641">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（四）政府采购合同已经履行，给他人造成损失的，相关当事人可依法提起诉讼,由责任人承担赔偿责任。</w:t>
      </w:r>
    </w:p>
    <w:p w14:paraId="749456C1">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投诉人对废标行为提起的投诉事项成立的，财政部门应当认定废标行为无效。</w:t>
      </w:r>
    </w:p>
    <w:p w14:paraId="18937CA9">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第三十三条</w:t>
      </w:r>
      <w:r>
        <w:rPr>
          <w:rFonts w:hint="eastAsia" w:ascii="宋体" w:hAnsi="宋体" w:eastAsia="宋体" w:cs="宋体"/>
          <w:color w:val="auto"/>
          <w:sz w:val="21"/>
          <w:szCs w:val="21"/>
          <w:highlight w:val="none"/>
          <w:shd w:val="clear" w:color="auto" w:fill="FFFFFF"/>
        </w:rPr>
        <w:t xml:space="preserve"> 财政部门作出处理决定，应当制作投诉处理决定书，并加盖公章。投诉处理决定书应当包括下列内容：</w:t>
      </w:r>
    </w:p>
    <w:p w14:paraId="7705D74A">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（一）投诉人和被投诉人的姓名或者名称、通讯地址等；</w:t>
      </w:r>
    </w:p>
    <w:p w14:paraId="1E7B90CA">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（二）处理决定查明的事实和相关依据，具体处理决定和法律依据；</w:t>
      </w:r>
    </w:p>
    <w:p w14:paraId="56CA7FA6">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（三）告知相关当事人申请行政复议的权利、行政复议机关和行政复议申请期限，以及提起行政诉讼的权利和起诉期限；</w:t>
      </w:r>
    </w:p>
    <w:p w14:paraId="67D8848C">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（四）作出处理决定的日期。</w:t>
      </w:r>
    </w:p>
    <w:p w14:paraId="671B5D03">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第三十四条</w:t>
      </w:r>
      <w:r>
        <w:rPr>
          <w:rFonts w:hint="eastAsia" w:ascii="宋体" w:hAnsi="宋体" w:eastAsia="宋体" w:cs="宋体"/>
          <w:color w:val="auto"/>
          <w:sz w:val="21"/>
          <w:szCs w:val="21"/>
          <w:highlight w:val="none"/>
          <w:shd w:val="clear" w:color="auto" w:fill="FFFFFF"/>
        </w:rPr>
        <w:t xml:space="preserve"> 财政部门应当将投诉处理决定书送达投诉人和与投诉事项有关的当事人，并及时将投诉处理结果在省级以上财政部门指定的政府采购信息发布媒体上公告。</w:t>
      </w:r>
    </w:p>
    <w:p w14:paraId="31B5B51A">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投诉处理决定书的送达，参照《中华人民共和国民事诉讼法》关于送达的规定执行。</w:t>
      </w:r>
    </w:p>
    <w:p w14:paraId="27990A11">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第三十五条</w:t>
      </w:r>
      <w:r>
        <w:rPr>
          <w:rFonts w:hint="eastAsia" w:ascii="宋体" w:hAnsi="宋体" w:eastAsia="宋体" w:cs="宋体"/>
          <w:color w:val="auto"/>
          <w:sz w:val="21"/>
          <w:szCs w:val="21"/>
          <w:highlight w:val="none"/>
          <w:shd w:val="clear" w:color="auto" w:fill="FFFFFF"/>
        </w:rPr>
        <w:t xml:space="preserve"> 财政部门应当建立投诉处理档案管理制度，并配合有关部门依法进行的监督检查。</w:t>
      </w:r>
    </w:p>
    <w:p w14:paraId="7ADEB2B6">
      <w:pPr>
        <w:pStyle w:val="34"/>
        <w:shd w:val="clear" w:color="auto" w:fill="FFFFFF"/>
        <w:autoSpaceDE w:val="0"/>
        <w:autoSpaceDN w:val="0"/>
        <w:adjustRightInd w:val="0"/>
        <w:spacing w:before="0" w:beforeAutospacing="0" w:after="0" w:afterAutospacing="0" w:line="440" w:lineRule="exact"/>
        <w:ind w:firstLine="422" w:firstLineChars="200"/>
        <w:jc w:val="center"/>
        <w:rPr>
          <w:rFonts w:hint="eastAsia"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shd w:val="clear" w:color="auto" w:fill="FFFFFF"/>
        </w:rPr>
        <w:t>第五章 法律责任</w:t>
      </w:r>
    </w:p>
    <w:p w14:paraId="1CD266C0">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第三十六条</w:t>
      </w:r>
      <w:r>
        <w:rPr>
          <w:rFonts w:hint="eastAsia" w:ascii="宋体" w:hAnsi="宋体" w:eastAsia="宋体" w:cs="宋体"/>
          <w:color w:val="auto"/>
          <w:sz w:val="21"/>
          <w:szCs w:val="21"/>
          <w:highlight w:val="none"/>
          <w:shd w:val="clear" w:color="auto" w:fill="FFFFFF"/>
        </w:rPr>
        <w:t xml:space="preserve"> 采购人、采购代理机构有下列情形之一的，由财政部门责令限期改正；情节严重的，给予警告，对直接负责的主管人员和其他直接责任人员，由其行政主管部门或者有关机关给予处分，并予通报：</w:t>
      </w:r>
    </w:p>
    <w:p w14:paraId="64D144B8">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（一）拒收质疑供应商在法定质疑期内发出的质疑函；</w:t>
      </w:r>
    </w:p>
    <w:p w14:paraId="02AC0E38">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（二）对质疑不予答复或者答复与事实明显不符，并不能作出合理说明；</w:t>
      </w:r>
    </w:p>
    <w:p w14:paraId="4EEDB3FD">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（三）拒绝配合财政部门处理投诉事宜。</w:t>
      </w:r>
    </w:p>
    <w:p w14:paraId="77EDDABC">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第三十七条</w:t>
      </w:r>
      <w:r>
        <w:rPr>
          <w:rFonts w:hint="eastAsia" w:ascii="宋体" w:hAnsi="宋体" w:eastAsia="宋体" w:cs="宋体"/>
          <w:color w:val="auto"/>
          <w:sz w:val="21"/>
          <w:szCs w:val="21"/>
          <w:highlight w:val="none"/>
          <w:shd w:val="clear" w:color="auto" w:fill="FFFFFF"/>
        </w:rPr>
        <w:t xml:space="preserve"> 投诉人在全国范围12个月内三次以上投诉查无实据的，由财政部门列入不良行为记录名单。</w:t>
      </w:r>
    </w:p>
    <w:p w14:paraId="275D5502">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投诉人有下列行为之一的，属于虚假、恶意投诉，由财政部门列入不良行为记录名单，禁止其1至3年内参加政府采购活动：</w:t>
      </w:r>
    </w:p>
    <w:p w14:paraId="6435672A">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（一）捏造事实;</w:t>
      </w:r>
    </w:p>
    <w:p w14:paraId="390411F8">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（二）提供虚假材料;</w:t>
      </w:r>
    </w:p>
    <w:p w14:paraId="41647F08">
      <w:pPr>
        <w:pStyle w:val="34"/>
        <w:shd w:val="clear" w:color="auto" w:fill="FFFFFF"/>
        <w:autoSpaceDE w:val="0"/>
        <w:autoSpaceDN w:val="0"/>
        <w:adjustRightInd w:val="0"/>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（三）以非法手段取得证明材料。证据来源的合法性存在明显疑问，投诉人无法证明其取得方式合法的，视为以非法手段取得证明材料。</w:t>
      </w:r>
    </w:p>
    <w:p w14:paraId="672B9CE3">
      <w:pPr>
        <w:pStyle w:val="34"/>
        <w:shd w:val="clear" w:color="auto" w:fill="FFFFFF"/>
        <w:autoSpaceDE w:val="0"/>
        <w:autoSpaceDN w:val="0"/>
        <w:adjustRightInd w:val="0"/>
        <w:spacing w:before="0" w:beforeAutospacing="0" w:after="0" w:afterAutospacing="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 xml:space="preserve">第三十八条 </w:t>
      </w:r>
      <w:r>
        <w:rPr>
          <w:rFonts w:hint="eastAsia" w:ascii="宋体" w:hAnsi="宋体" w:eastAsia="宋体" w:cs="宋体"/>
          <w:color w:val="auto"/>
          <w:sz w:val="21"/>
          <w:szCs w:val="21"/>
          <w:highlight w:val="none"/>
          <w:shd w:val="clear" w:color="auto" w:fill="FFFFFF"/>
        </w:rPr>
        <w:t>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14:paraId="0B45BB8A">
      <w:pPr>
        <w:tabs>
          <w:tab w:val="left" w:pos="0"/>
        </w:tabs>
        <w:adjustRightInd w:val="0"/>
        <w:spacing w:line="440" w:lineRule="exact"/>
        <w:ind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（十二）河南省政府采购合同融资政策告知函 </w:t>
      </w:r>
    </w:p>
    <w:p w14:paraId="125512B8">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各供应商： </w:t>
      </w:r>
    </w:p>
    <w:p w14:paraId="59408185">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欢迎贵公司参与河南省政府采购活动！ </w:t>
      </w:r>
    </w:p>
    <w:p w14:paraId="77BDD683">
      <w:pPr>
        <w:spacing w:line="44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政府采购合同融资是河南省财政厅支持中小微企业发展，针对参与政府采购活动的供应商融资难、融资贵问题推出的一项融资政策。贵公司若成为本次政府采购项目的中标中标人，可持政府采购合同向金融机构申请贷款，无需抵押、担保，融资机构将根据《河南省政府采购合同融资工作实施方案》（豫财购 〔2017〕10 号），按照双方自愿的原则提供便捷、优惠的贷款服务。贷款渠道和提供贷款的金融机构，可在河南省政府采购网“河南省政府采购合同融资平台”查询联系。</w:t>
      </w:r>
    </w:p>
    <w:p w14:paraId="4E94EE8A">
      <w:pPr>
        <w:jc w:val="center"/>
        <w:outlineLvl w:val="0"/>
        <w:rPr>
          <w:rFonts w:hint="eastAsia" w:ascii="宋体" w:hAnsi="宋体" w:eastAsia="宋体" w:cs="宋体"/>
          <w:b/>
          <w:bCs/>
          <w:color w:val="auto"/>
          <w:sz w:val="32"/>
          <w:szCs w:val="28"/>
          <w:highlight w:val="none"/>
        </w:rPr>
      </w:pPr>
      <w:r>
        <w:rPr>
          <w:rFonts w:hint="eastAsia" w:ascii="宋体" w:hAnsi="宋体" w:eastAsia="宋体" w:cs="宋体"/>
          <w:color w:val="auto"/>
          <w:highlight w:val="none"/>
        </w:rPr>
        <w:br w:type="page"/>
      </w:r>
      <w:bookmarkStart w:id="70" w:name="_Toc7329"/>
      <w:bookmarkStart w:id="71" w:name="_Toc11022"/>
      <w:r>
        <w:rPr>
          <w:rStyle w:val="160"/>
          <w:rFonts w:hint="eastAsia" w:ascii="宋体" w:hAnsi="宋体" w:eastAsia="宋体" w:cs="宋体"/>
          <w:color w:val="auto"/>
          <w:highlight w:val="none"/>
        </w:rPr>
        <w:t>第三章  评标办法（综合评标法）</w:t>
      </w:r>
      <w:bookmarkEnd w:id="34"/>
      <w:bookmarkEnd w:id="70"/>
      <w:bookmarkEnd w:id="71"/>
    </w:p>
    <w:p w14:paraId="3ED98FF1">
      <w:pPr>
        <w:tabs>
          <w:tab w:val="left" w:pos="792"/>
          <w:tab w:val="left" w:pos="972"/>
          <w:tab w:val="left" w:pos="1152"/>
          <w:tab w:val="left" w:pos="1440"/>
        </w:tabs>
        <w:adjustRightInd w:val="0"/>
        <w:spacing w:line="440" w:lineRule="exact"/>
        <w:ind w:firstLine="422" w:firstLineChars="200"/>
        <w:jc w:val="left"/>
        <w:textAlignment w:val="baseline"/>
        <w:rPr>
          <w:rFonts w:hint="eastAsia" w:ascii="宋体" w:hAnsi="宋体" w:eastAsia="宋体" w:cs="宋体"/>
          <w:b/>
          <w:bCs/>
          <w:color w:val="auto"/>
          <w:kern w:val="0"/>
          <w:sz w:val="21"/>
          <w:szCs w:val="21"/>
          <w:highlight w:val="none"/>
        </w:rPr>
      </w:pPr>
      <w:bookmarkStart w:id="72" w:name="_Toc27862"/>
      <w:bookmarkStart w:id="73" w:name="_Toc25176"/>
      <w:r>
        <w:rPr>
          <w:rFonts w:hint="eastAsia" w:ascii="宋体" w:hAnsi="宋体" w:eastAsia="宋体" w:cs="宋体"/>
          <w:b/>
          <w:bCs/>
          <w:color w:val="auto"/>
          <w:kern w:val="0"/>
          <w:sz w:val="21"/>
          <w:szCs w:val="21"/>
          <w:highlight w:val="none"/>
          <w:lang w:val="en-US" w:eastAsia="zh-CN"/>
        </w:rPr>
        <w:t>评标委员会将按照本项目招标文件及相关法律法规的规定进行评标工作，采购人负责评标的组织工作</w:t>
      </w:r>
    </w:p>
    <w:p w14:paraId="6D066573">
      <w:pPr>
        <w:tabs>
          <w:tab w:val="left" w:pos="792"/>
          <w:tab w:val="left" w:pos="972"/>
          <w:tab w:val="left" w:pos="1152"/>
          <w:tab w:val="left" w:pos="1440"/>
        </w:tabs>
        <w:adjustRightInd w:val="0"/>
        <w:spacing w:line="440" w:lineRule="exact"/>
        <w:ind w:firstLine="422" w:firstLineChars="200"/>
        <w:jc w:val="left"/>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（一）评标</w:t>
      </w:r>
      <w:r>
        <w:rPr>
          <w:rFonts w:hint="eastAsia" w:ascii="宋体" w:hAnsi="宋体" w:eastAsia="宋体" w:cs="宋体"/>
          <w:b/>
          <w:bCs/>
          <w:color w:val="auto"/>
          <w:kern w:val="0"/>
          <w:sz w:val="21"/>
          <w:szCs w:val="21"/>
          <w:highlight w:val="none"/>
          <w:lang w:val="en-US" w:eastAsia="zh-CN"/>
        </w:rPr>
        <w:t>依据</w:t>
      </w:r>
    </w:p>
    <w:p w14:paraId="7F37DAEC">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1.《中华人民共和国政府采购法》； </w:t>
      </w:r>
    </w:p>
    <w:p w14:paraId="6420C3B0">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2.《中华人民共和国政府采购法实施条例》； </w:t>
      </w:r>
    </w:p>
    <w:p w14:paraId="460038EC">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3.《政府采购货物和服务招标投标管理办法》（财政部第 87 号令）； </w:t>
      </w:r>
    </w:p>
    <w:p w14:paraId="724534F0">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4.《财政部关于加强政府采购货物和服务项目价格评审管理的通知》； </w:t>
      </w:r>
    </w:p>
    <w:p w14:paraId="5D9F7484">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5.《中华人民共和国政府采购法实施条例释义》；</w:t>
      </w:r>
    </w:p>
    <w:p w14:paraId="4C1A573E">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6.法律法规的相关规定； </w:t>
      </w:r>
    </w:p>
    <w:p w14:paraId="08DC4E21">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7.本项目招标文件。</w:t>
      </w:r>
    </w:p>
    <w:p w14:paraId="4E482A93">
      <w:pPr>
        <w:tabs>
          <w:tab w:val="left" w:pos="792"/>
          <w:tab w:val="left" w:pos="972"/>
          <w:tab w:val="left" w:pos="1152"/>
          <w:tab w:val="left" w:pos="1440"/>
        </w:tabs>
        <w:adjustRightInd w:val="0"/>
        <w:spacing w:line="440" w:lineRule="exact"/>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w:t>
      </w:r>
      <w:r>
        <w:rPr>
          <w:rFonts w:hint="eastAsia" w:ascii="宋体" w:hAnsi="宋体" w:eastAsia="宋体" w:cs="宋体"/>
          <w:b/>
          <w:bCs/>
          <w:color w:val="auto"/>
          <w:kern w:val="0"/>
          <w:sz w:val="21"/>
          <w:szCs w:val="21"/>
          <w:highlight w:val="none"/>
          <w:lang w:val="en-US" w:eastAsia="zh-CN"/>
        </w:rPr>
        <w:t xml:space="preserve">评标原则 </w:t>
      </w:r>
    </w:p>
    <w:p w14:paraId="77F9F7C0">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1.评标委员会应当按照客观、公正、审慎的原则，根据采购文件规定的评审程序、评审方法和评审标准独立进行评审； </w:t>
      </w:r>
    </w:p>
    <w:p w14:paraId="292B39EC">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2.评标委员会由采购人代表和评审专家组成，成员人数为五人以上单数。其中，评审专家不得少于成员总数的三分之二。评审专家在《河南省财政厅政府采购专家库》中随机抽取后并依法 组建评标委员会，有关人员对所聘任的评标委员会成员名单必须严格保密，与投标有利害关系的人员不得进入评标委员会； </w:t>
      </w:r>
    </w:p>
    <w:p w14:paraId="5FC383B7">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3.参加评标的人员应严格遵守国家有关保密的法律、法规和规定，并接受有关部门的监督； </w:t>
      </w:r>
    </w:p>
    <w:p w14:paraId="3C8B35B8">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4.根据法律法规规定，参加评标的有关人员应对整个评标、定标过程保密，不得泄露； </w:t>
      </w:r>
    </w:p>
    <w:p w14:paraId="6912FDBE">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5.评标委员会成员（以下简称评委）应按规定的程序评标； </w:t>
      </w:r>
    </w:p>
    <w:p w14:paraId="4E314C7B">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6.评标委员会将对确定为实质上响应招标文件要求的投标文件进行比较评审。 </w:t>
      </w:r>
    </w:p>
    <w:p w14:paraId="77FCE639">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7.供应商（投标人）对评委施加影响的任何行为，都将被取消中标资格。 </w:t>
      </w:r>
    </w:p>
    <w:p w14:paraId="4BA9BD76">
      <w:pPr>
        <w:tabs>
          <w:tab w:val="left" w:pos="792"/>
          <w:tab w:val="left" w:pos="972"/>
          <w:tab w:val="left" w:pos="1152"/>
          <w:tab w:val="left" w:pos="1440"/>
        </w:tabs>
        <w:adjustRightInd w:val="0"/>
        <w:spacing w:line="440" w:lineRule="exact"/>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三</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资格审查</w:t>
      </w:r>
    </w:p>
    <w:p w14:paraId="15B37946">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1、开标结束后，首先按照《政府采购货物和服务招标投标管理办法》（财政部第87号令）第四十四条的规定对供应商（投标人）的资格进行审查。</w:t>
      </w:r>
    </w:p>
    <w:p w14:paraId="7B0E790A">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2、投标文件资格性审查由采购人负责。 </w:t>
      </w:r>
    </w:p>
    <w:p w14:paraId="10CE462D">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3、依据法律法规和采购（招标）文件的规定，对投标文件中提供的资格证明文件进行审查，以确定投标供应商提供资格证明的合法性、真实性，是否具备投标资格</w:t>
      </w:r>
    </w:p>
    <w:p w14:paraId="38B479FF">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4、未通过资格审查的供应商（投标人）不得进入评标。通过资格审查的供应商（投标人）不足三家的，不得评标。采购人将通过资格审查的投标文件交评标委员会进行下一步的评审。</w:t>
      </w:r>
    </w:p>
    <w:p w14:paraId="19208D68">
      <w:pPr>
        <w:tabs>
          <w:tab w:val="left" w:pos="792"/>
          <w:tab w:val="left" w:pos="972"/>
          <w:tab w:val="left" w:pos="1152"/>
          <w:tab w:val="left" w:pos="1440"/>
        </w:tabs>
        <w:adjustRightInd w:val="0"/>
        <w:spacing w:line="440" w:lineRule="exact"/>
        <w:ind w:firstLine="420" w:firstLineChars="200"/>
        <w:jc w:val="left"/>
        <w:textAlignment w:val="baseline"/>
        <w:rPr>
          <w:rFonts w:hint="eastAsia" w:ascii="宋体" w:hAnsi="宋体" w:eastAsia="宋体" w:cs="宋体"/>
          <w:color w:val="auto"/>
          <w:kern w:val="0"/>
          <w:sz w:val="21"/>
          <w:szCs w:val="21"/>
          <w:highlight w:val="none"/>
        </w:rPr>
      </w:pPr>
    </w:p>
    <w:tbl>
      <w:tblPr>
        <w:tblStyle w:val="39"/>
        <w:tblW w:w="9660"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8"/>
        <w:gridCol w:w="4619"/>
        <w:gridCol w:w="4263"/>
      </w:tblGrid>
      <w:tr w14:paraId="35456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9660" w:type="dxa"/>
            <w:gridSpan w:val="3"/>
            <w:tcBorders>
              <w:top w:val="single" w:color="auto" w:sz="4" w:space="0"/>
              <w:left w:val="single" w:color="auto" w:sz="4" w:space="0"/>
              <w:bottom w:val="single" w:color="auto" w:sz="4" w:space="0"/>
              <w:right w:val="single" w:color="auto" w:sz="4" w:space="0"/>
            </w:tcBorders>
            <w:vAlign w:val="center"/>
          </w:tcPr>
          <w:p w14:paraId="39CADEDD">
            <w:pPr>
              <w:spacing w:line="440" w:lineRule="exact"/>
              <w:jc w:val="center"/>
              <w:rPr>
                <w:rStyle w:val="92"/>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资格审查</w:t>
            </w:r>
          </w:p>
        </w:tc>
      </w:tr>
      <w:tr w14:paraId="5021F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778" w:type="dxa"/>
            <w:tcBorders>
              <w:top w:val="single" w:color="auto" w:sz="4" w:space="0"/>
              <w:left w:val="single" w:color="auto" w:sz="4" w:space="0"/>
              <w:bottom w:val="single" w:color="auto" w:sz="4" w:space="0"/>
              <w:right w:val="single" w:color="auto" w:sz="4" w:space="0"/>
            </w:tcBorders>
            <w:vAlign w:val="center"/>
          </w:tcPr>
          <w:p w14:paraId="240B82C8">
            <w:pPr>
              <w:spacing w:line="440" w:lineRule="exact"/>
              <w:rPr>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 xml:space="preserve">序号 </w:t>
            </w:r>
          </w:p>
        </w:tc>
        <w:tc>
          <w:tcPr>
            <w:tcW w:w="4619" w:type="dxa"/>
            <w:tcBorders>
              <w:top w:val="single" w:color="auto" w:sz="4" w:space="0"/>
              <w:left w:val="single" w:color="auto" w:sz="4" w:space="0"/>
              <w:bottom w:val="single" w:color="auto" w:sz="4" w:space="0"/>
              <w:right w:val="single" w:color="auto" w:sz="4" w:space="0"/>
            </w:tcBorders>
            <w:vAlign w:val="center"/>
          </w:tcPr>
          <w:p w14:paraId="2A09A335">
            <w:pPr>
              <w:spacing w:line="440" w:lineRule="exact"/>
              <w:rPr>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 xml:space="preserve">评审内容 </w:t>
            </w:r>
          </w:p>
        </w:tc>
        <w:tc>
          <w:tcPr>
            <w:tcW w:w="4263" w:type="dxa"/>
            <w:tcBorders>
              <w:top w:val="single" w:color="auto" w:sz="4" w:space="0"/>
              <w:left w:val="single" w:color="auto" w:sz="4" w:space="0"/>
              <w:bottom w:val="single" w:color="auto" w:sz="4" w:space="0"/>
              <w:right w:val="single" w:color="auto" w:sz="4" w:space="0"/>
            </w:tcBorders>
            <w:vAlign w:val="center"/>
          </w:tcPr>
          <w:p w14:paraId="6EC0E37D">
            <w:pPr>
              <w:spacing w:line="440" w:lineRule="exact"/>
              <w:rPr>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评审标准</w:t>
            </w:r>
          </w:p>
        </w:tc>
      </w:tr>
      <w:tr w14:paraId="46842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4" w:hRule="atLeast"/>
        </w:trPr>
        <w:tc>
          <w:tcPr>
            <w:tcW w:w="778" w:type="dxa"/>
            <w:tcBorders>
              <w:top w:val="single" w:color="auto" w:sz="4" w:space="0"/>
              <w:left w:val="single" w:color="auto" w:sz="4" w:space="0"/>
              <w:bottom w:val="single" w:color="auto" w:sz="4" w:space="0"/>
              <w:right w:val="single" w:color="auto" w:sz="4" w:space="0"/>
            </w:tcBorders>
            <w:vAlign w:val="center"/>
          </w:tcPr>
          <w:p w14:paraId="72B69846">
            <w:pPr>
              <w:spacing w:line="440" w:lineRule="exact"/>
              <w:jc w:val="center"/>
              <w:rPr>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1</w:t>
            </w:r>
          </w:p>
        </w:tc>
        <w:tc>
          <w:tcPr>
            <w:tcW w:w="4619" w:type="dxa"/>
            <w:tcBorders>
              <w:top w:val="single" w:color="auto" w:sz="4" w:space="0"/>
              <w:left w:val="single" w:color="auto" w:sz="4" w:space="0"/>
              <w:bottom w:val="single" w:color="auto" w:sz="4" w:space="0"/>
              <w:right w:val="single" w:color="auto" w:sz="4" w:space="0"/>
            </w:tcBorders>
            <w:vAlign w:val="center"/>
          </w:tcPr>
          <w:p w14:paraId="775FCE7D">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法定代表人身份证明或法人授权委托书</w:t>
            </w:r>
            <w:r>
              <w:rPr>
                <w:rFonts w:hint="eastAsia" w:ascii="宋体" w:hAnsi="宋体" w:eastAsia="宋体" w:cs="宋体"/>
                <w:b/>
                <w:bCs/>
                <w:color w:val="auto"/>
                <w:kern w:val="0"/>
                <w:sz w:val="21"/>
                <w:szCs w:val="21"/>
                <w:highlight w:val="none"/>
                <w:lang w:bidi="ar"/>
              </w:rPr>
              <w:t xml:space="preserve"> </w:t>
            </w:r>
          </w:p>
        </w:tc>
        <w:tc>
          <w:tcPr>
            <w:tcW w:w="4263" w:type="dxa"/>
            <w:tcBorders>
              <w:top w:val="single" w:color="auto" w:sz="4" w:space="0"/>
              <w:left w:val="single" w:color="auto" w:sz="4" w:space="0"/>
              <w:bottom w:val="single" w:color="auto" w:sz="4" w:space="0"/>
              <w:right w:val="single" w:color="auto" w:sz="4" w:space="0"/>
            </w:tcBorders>
            <w:vAlign w:val="center"/>
          </w:tcPr>
          <w:p w14:paraId="3BA9B85E">
            <w:pPr>
              <w:widowControl/>
              <w:spacing w:line="440" w:lineRule="exact"/>
              <w:jc w:val="left"/>
              <w:rPr>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符合“第六章 投标文件格式”内容要求</w:t>
            </w:r>
          </w:p>
        </w:tc>
      </w:tr>
      <w:tr w14:paraId="05D79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778" w:type="dxa"/>
            <w:tcBorders>
              <w:top w:val="single" w:color="auto" w:sz="4" w:space="0"/>
              <w:left w:val="single" w:color="auto" w:sz="4" w:space="0"/>
              <w:bottom w:val="single" w:color="auto" w:sz="4" w:space="0"/>
              <w:right w:val="single" w:color="auto" w:sz="4" w:space="0"/>
            </w:tcBorders>
            <w:vAlign w:val="center"/>
          </w:tcPr>
          <w:p w14:paraId="191EC8AF">
            <w:pPr>
              <w:spacing w:line="440" w:lineRule="exact"/>
              <w:jc w:val="center"/>
              <w:rPr>
                <w:rStyle w:val="92"/>
                <w:rFonts w:hint="eastAsia" w:ascii="宋体" w:hAnsi="宋体" w:eastAsia="宋体" w:cs="宋体"/>
                <w:color w:val="auto"/>
                <w:sz w:val="21"/>
                <w:szCs w:val="21"/>
                <w:highlight w:val="none"/>
                <w:lang w:eastAsia="zh-CN"/>
              </w:rPr>
            </w:pPr>
            <w:r>
              <w:rPr>
                <w:rStyle w:val="92"/>
                <w:rFonts w:hint="eastAsia" w:ascii="宋体" w:hAnsi="宋体" w:eastAsia="宋体" w:cs="宋体"/>
                <w:color w:val="auto"/>
                <w:sz w:val="21"/>
                <w:szCs w:val="21"/>
                <w:highlight w:val="none"/>
                <w:lang w:val="en-US" w:eastAsia="zh-CN"/>
              </w:rPr>
              <w:t>2</w:t>
            </w:r>
          </w:p>
        </w:tc>
        <w:tc>
          <w:tcPr>
            <w:tcW w:w="4619" w:type="dxa"/>
            <w:tcBorders>
              <w:top w:val="single" w:color="auto" w:sz="4" w:space="0"/>
              <w:left w:val="single" w:color="auto" w:sz="4" w:space="0"/>
              <w:bottom w:val="single" w:color="auto" w:sz="4" w:space="0"/>
              <w:right w:val="single" w:color="auto" w:sz="4" w:space="0"/>
            </w:tcBorders>
            <w:vAlign w:val="center"/>
          </w:tcPr>
          <w:p w14:paraId="29ACCD61">
            <w:pPr>
              <w:widowControl/>
              <w:spacing w:line="44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本项目的特定资格条件资料</w:t>
            </w:r>
          </w:p>
        </w:tc>
        <w:tc>
          <w:tcPr>
            <w:tcW w:w="4263" w:type="dxa"/>
            <w:tcBorders>
              <w:top w:val="single" w:color="auto" w:sz="4" w:space="0"/>
              <w:left w:val="single" w:color="auto" w:sz="4" w:space="0"/>
              <w:bottom w:val="single" w:color="auto" w:sz="4" w:space="0"/>
              <w:right w:val="single" w:color="auto" w:sz="4" w:space="0"/>
            </w:tcBorders>
            <w:vAlign w:val="center"/>
          </w:tcPr>
          <w:p w14:paraId="1DBF3DE2">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符合招标公告要求</w:t>
            </w:r>
          </w:p>
        </w:tc>
      </w:tr>
      <w:tr w14:paraId="180EA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778" w:type="dxa"/>
            <w:tcBorders>
              <w:top w:val="single" w:color="auto" w:sz="4" w:space="0"/>
              <w:left w:val="single" w:color="auto" w:sz="4" w:space="0"/>
              <w:bottom w:val="single" w:color="auto" w:sz="4" w:space="0"/>
              <w:right w:val="single" w:color="auto" w:sz="4" w:space="0"/>
            </w:tcBorders>
            <w:vAlign w:val="center"/>
          </w:tcPr>
          <w:p w14:paraId="01A3B253">
            <w:pPr>
              <w:spacing w:line="440" w:lineRule="exact"/>
              <w:jc w:val="center"/>
              <w:rPr>
                <w:rStyle w:val="92"/>
                <w:rFonts w:hint="eastAsia" w:ascii="宋体" w:hAnsi="宋体" w:eastAsia="宋体" w:cs="宋体"/>
                <w:color w:val="auto"/>
                <w:sz w:val="21"/>
                <w:szCs w:val="21"/>
                <w:highlight w:val="none"/>
                <w:lang w:eastAsia="zh-CN"/>
              </w:rPr>
            </w:pPr>
            <w:r>
              <w:rPr>
                <w:rStyle w:val="92"/>
                <w:rFonts w:hint="eastAsia" w:ascii="宋体" w:hAnsi="宋体" w:eastAsia="宋体" w:cs="宋体"/>
                <w:color w:val="auto"/>
                <w:sz w:val="21"/>
                <w:szCs w:val="21"/>
                <w:highlight w:val="none"/>
                <w:lang w:val="en-US" w:eastAsia="zh-CN"/>
              </w:rPr>
              <w:t>3</w:t>
            </w:r>
          </w:p>
        </w:tc>
        <w:tc>
          <w:tcPr>
            <w:tcW w:w="4619" w:type="dxa"/>
            <w:tcBorders>
              <w:top w:val="single" w:color="auto" w:sz="4" w:space="0"/>
              <w:left w:val="single" w:color="auto" w:sz="4" w:space="0"/>
              <w:bottom w:val="single" w:color="auto" w:sz="4" w:space="0"/>
              <w:right w:val="single" w:color="auto" w:sz="4" w:space="0"/>
            </w:tcBorders>
            <w:vAlign w:val="center"/>
          </w:tcPr>
          <w:p w14:paraId="4ACA8E9B">
            <w:pPr>
              <w:widowControl/>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满足《中华人民共和国政府采购法》第二十二条规定</w:t>
            </w:r>
          </w:p>
        </w:tc>
        <w:tc>
          <w:tcPr>
            <w:tcW w:w="4263" w:type="dxa"/>
            <w:tcBorders>
              <w:top w:val="single" w:color="auto" w:sz="4" w:space="0"/>
              <w:left w:val="single" w:color="auto" w:sz="4" w:space="0"/>
              <w:bottom w:val="single" w:color="auto" w:sz="4" w:space="0"/>
              <w:right w:val="single" w:color="auto" w:sz="4" w:space="0"/>
            </w:tcBorders>
            <w:vAlign w:val="center"/>
          </w:tcPr>
          <w:p w14:paraId="6B7EB23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按招标文件“第六章”内容要求提供“新乡市政府采购供应商信用承诺函”</w:t>
            </w:r>
          </w:p>
          <w:p w14:paraId="59CC7CC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注：供应商在投标时，按照规定提供信用承诺函，无需再提交证明材料</w:t>
            </w:r>
          </w:p>
        </w:tc>
      </w:tr>
      <w:tr w14:paraId="4E7B1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9660" w:type="dxa"/>
            <w:gridSpan w:val="3"/>
            <w:tcBorders>
              <w:top w:val="single" w:color="auto" w:sz="4" w:space="0"/>
              <w:left w:val="single" w:color="auto" w:sz="4" w:space="0"/>
              <w:bottom w:val="single" w:color="auto" w:sz="4" w:space="0"/>
              <w:right w:val="single" w:color="auto" w:sz="4" w:space="0"/>
            </w:tcBorders>
            <w:vAlign w:val="center"/>
          </w:tcPr>
          <w:p w14:paraId="393F0DE6">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以上资料应在投标文件“资格标文件部分”中按要求提交，否则将认定为不合格。只有通过资格审查的合格投标人才能进入下一步评标程序。</w:t>
            </w:r>
          </w:p>
        </w:tc>
      </w:tr>
      <w:tr w14:paraId="22D79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40" w:hRule="atLeast"/>
        </w:trPr>
        <w:tc>
          <w:tcPr>
            <w:tcW w:w="9660" w:type="dxa"/>
            <w:gridSpan w:val="3"/>
            <w:tcBorders>
              <w:top w:val="single" w:color="auto" w:sz="4" w:space="0"/>
              <w:left w:val="single" w:color="auto" w:sz="4" w:space="0"/>
              <w:bottom w:val="single" w:color="auto" w:sz="4" w:space="0"/>
              <w:right w:val="single" w:color="auto" w:sz="4" w:space="0"/>
            </w:tcBorders>
            <w:vAlign w:val="center"/>
          </w:tcPr>
          <w:p w14:paraId="3B48A15A">
            <w:pPr>
              <w:tabs>
                <w:tab w:val="left" w:pos="1620"/>
              </w:tabs>
              <w:adjustRightInd w:val="0"/>
              <w:spacing w:line="440" w:lineRule="exact"/>
              <w:ind w:firstLine="422" w:firstLineChars="200"/>
              <w:jc w:val="left"/>
              <w:textAlignment w:val="baseline"/>
              <w:rPr>
                <w:rFonts w:hint="eastAsia" w:ascii="宋体" w:hAnsi="宋体" w:eastAsia="宋体" w:cs="宋体"/>
                <w:b/>
                <w:bCs/>
                <w:color w:val="auto"/>
                <w:sz w:val="21"/>
                <w:szCs w:val="21"/>
                <w:highlight w:val="none"/>
              </w:rPr>
            </w:pPr>
            <w:r>
              <w:rPr>
                <w:rStyle w:val="92"/>
                <w:rFonts w:hint="eastAsia" w:ascii="宋体" w:hAnsi="宋体" w:eastAsia="宋体" w:cs="宋体"/>
                <w:b/>
                <w:bCs/>
                <w:color w:val="auto"/>
                <w:sz w:val="21"/>
                <w:szCs w:val="21"/>
                <w:highlight w:val="none"/>
              </w:rPr>
              <w:t>特别注意：按照新乡市财政局《关于市本级推行政府采购信用承诺制的通知(试行)》新财购〔2021〕13号的要求，供应商在投标 (响应)时，按照规定提供新乡市政府采购供应商信用承诺函，无需再提交其他证明材料。采购人有权在签订合同前要求中标供应商提供以</w:t>
            </w:r>
            <w:r>
              <w:rPr>
                <w:rStyle w:val="92"/>
                <w:rFonts w:hint="eastAsia" w:ascii="宋体" w:hAnsi="宋体" w:eastAsia="宋体" w:cs="宋体"/>
                <w:b/>
                <w:bCs/>
                <w:color w:val="auto"/>
                <w:sz w:val="21"/>
                <w:szCs w:val="21"/>
                <w:highlight w:val="none"/>
                <w:lang w:val="en-US" w:eastAsia="zh-CN"/>
              </w:rPr>
              <w:t>下</w:t>
            </w:r>
            <w:r>
              <w:rPr>
                <w:rStyle w:val="92"/>
                <w:rFonts w:hint="eastAsia" w:ascii="宋体" w:hAnsi="宋体" w:eastAsia="宋体" w:cs="宋体"/>
                <w:b/>
                <w:bCs/>
                <w:color w:val="auto"/>
                <w:sz w:val="21"/>
                <w:szCs w:val="21"/>
                <w:highlight w:val="none"/>
              </w:rPr>
              <w:t xml:space="preserve">相关证明材料以核实中标 (成交)供应商承诺事项的真实性。 </w:t>
            </w:r>
          </w:p>
        </w:tc>
      </w:tr>
      <w:tr w14:paraId="0158C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778" w:type="dxa"/>
            <w:tcBorders>
              <w:top w:val="single" w:color="auto" w:sz="4" w:space="0"/>
              <w:left w:val="single" w:color="auto" w:sz="4" w:space="0"/>
              <w:bottom w:val="single" w:color="auto" w:sz="4" w:space="0"/>
              <w:right w:val="single" w:color="auto" w:sz="4" w:space="0"/>
            </w:tcBorders>
            <w:vAlign w:val="top"/>
          </w:tcPr>
          <w:p w14:paraId="3ADC4922">
            <w:pPr>
              <w:pStyle w:val="135"/>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8882" w:type="dxa"/>
            <w:gridSpan w:val="2"/>
            <w:tcBorders>
              <w:top w:val="single" w:color="auto" w:sz="4" w:space="0"/>
              <w:left w:val="single" w:color="auto" w:sz="4" w:space="0"/>
              <w:bottom w:val="single" w:color="auto" w:sz="4" w:space="0"/>
              <w:right w:val="single" w:color="auto" w:sz="4" w:space="0"/>
            </w:tcBorders>
            <w:vAlign w:val="top"/>
          </w:tcPr>
          <w:p w14:paraId="444EEAF7">
            <w:pPr>
              <w:pStyle w:val="135"/>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具有独立承担民事责任的能力 (投标时无需提供)</w:t>
            </w:r>
          </w:p>
        </w:tc>
      </w:tr>
      <w:tr w14:paraId="6D471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778" w:type="dxa"/>
            <w:tcBorders>
              <w:top w:val="single" w:color="auto" w:sz="4" w:space="0"/>
              <w:left w:val="single" w:color="auto" w:sz="4" w:space="0"/>
              <w:bottom w:val="single" w:color="auto" w:sz="4" w:space="0"/>
              <w:right w:val="single" w:color="auto" w:sz="4" w:space="0"/>
            </w:tcBorders>
            <w:vAlign w:val="top"/>
          </w:tcPr>
          <w:p w14:paraId="79E6F561">
            <w:pPr>
              <w:pStyle w:val="135"/>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8882" w:type="dxa"/>
            <w:gridSpan w:val="2"/>
            <w:tcBorders>
              <w:top w:val="single" w:color="auto" w:sz="4" w:space="0"/>
              <w:left w:val="single" w:color="auto" w:sz="4" w:space="0"/>
              <w:bottom w:val="single" w:color="auto" w:sz="4" w:space="0"/>
              <w:right w:val="single" w:color="auto" w:sz="4" w:space="0"/>
            </w:tcBorders>
            <w:vAlign w:val="top"/>
          </w:tcPr>
          <w:p w14:paraId="29D794CE">
            <w:pPr>
              <w:pStyle w:val="135"/>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具有良好的商业信誉和健全的财务会计制度  (投标时无需提供)</w:t>
            </w:r>
          </w:p>
        </w:tc>
      </w:tr>
      <w:tr w14:paraId="7BE11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778" w:type="dxa"/>
            <w:tcBorders>
              <w:top w:val="single" w:color="auto" w:sz="4" w:space="0"/>
              <w:left w:val="single" w:color="auto" w:sz="4" w:space="0"/>
              <w:bottom w:val="single" w:color="auto" w:sz="4" w:space="0"/>
              <w:right w:val="single" w:color="auto" w:sz="4" w:space="0"/>
            </w:tcBorders>
            <w:vAlign w:val="top"/>
          </w:tcPr>
          <w:p w14:paraId="20298D6D">
            <w:pPr>
              <w:pStyle w:val="135"/>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8882" w:type="dxa"/>
            <w:gridSpan w:val="2"/>
            <w:tcBorders>
              <w:top w:val="single" w:color="auto" w:sz="4" w:space="0"/>
              <w:left w:val="single" w:color="auto" w:sz="4" w:space="0"/>
              <w:bottom w:val="single" w:color="auto" w:sz="4" w:space="0"/>
              <w:right w:val="single" w:color="auto" w:sz="4" w:space="0"/>
            </w:tcBorders>
            <w:vAlign w:val="top"/>
          </w:tcPr>
          <w:p w14:paraId="0CDC7976">
            <w:pPr>
              <w:pStyle w:val="135"/>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具有履行合同所必需的设备和专业技术能力 (投标时无需提供)</w:t>
            </w:r>
          </w:p>
        </w:tc>
      </w:tr>
      <w:tr w14:paraId="03C92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778" w:type="dxa"/>
            <w:tcBorders>
              <w:top w:val="single" w:color="auto" w:sz="4" w:space="0"/>
              <w:left w:val="single" w:color="auto" w:sz="4" w:space="0"/>
              <w:bottom w:val="single" w:color="auto" w:sz="4" w:space="0"/>
              <w:right w:val="single" w:color="auto" w:sz="4" w:space="0"/>
            </w:tcBorders>
            <w:vAlign w:val="top"/>
          </w:tcPr>
          <w:p w14:paraId="7071ADF6">
            <w:pPr>
              <w:pStyle w:val="135"/>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8882" w:type="dxa"/>
            <w:gridSpan w:val="2"/>
            <w:tcBorders>
              <w:top w:val="single" w:color="auto" w:sz="4" w:space="0"/>
              <w:left w:val="single" w:color="auto" w:sz="4" w:space="0"/>
              <w:bottom w:val="single" w:color="auto" w:sz="4" w:space="0"/>
              <w:right w:val="single" w:color="auto" w:sz="4" w:space="0"/>
            </w:tcBorders>
            <w:vAlign w:val="top"/>
          </w:tcPr>
          <w:p w14:paraId="797D5B5A">
            <w:pPr>
              <w:pStyle w:val="135"/>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有依法缴纳税收和社会保障资金的良好记录  (投标时无需提供)</w:t>
            </w:r>
          </w:p>
        </w:tc>
      </w:tr>
      <w:tr w14:paraId="1EFF3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778" w:type="dxa"/>
            <w:tcBorders>
              <w:top w:val="single" w:color="auto" w:sz="4" w:space="0"/>
              <w:left w:val="single" w:color="auto" w:sz="4" w:space="0"/>
              <w:bottom w:val="single" w:color="auto" w:sz="4" w:space="0"/>
              <w:right w:val="single" w:color="auto" w:sz="4" w:space="0"/>
            </w:tcBorders>
            <w:vAlign w:val="top"/>
          </w:tcPr>
          <w:p w14:paraId="704B9910">
            <w:pPr>
              <w:pStyle w:val="135"/>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8882" w:type="dxa"/>
            <w:gridSpan w:val="2"/>
            <w:tcBorders>
              <w:top w:val="single" w:color="auto" w:sz="4" w:space="0"/>
              <w:left w:val="single" w:color="auto" w:sz="4" w:space="0"/>
              <w:bottom w:val="single" w:color="auto" w:sz="4" w:space="0"/>
              <w:right w:val="single" w:color="auto" w:sz="4" w:space="0"/>
            </w:tcBorders>
            <w:vAlign w:val="top"/>
          </w:tcPr>
          <w:p w14:paraId="07B7A5C0">
            <w:pPr>
              <w:pStyle w:val="135"/>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参加政府采购活动前三年内，在经营活动中没有重大违法记录 (投标时无需提供)</w:t>
            </w:r>
          </w:p>
        </w:tc>
      </w:tr>
    </w:tbl>
    <w:p w14:paraId="253F4049">
      <w:pPr>
        <w:tabs>
          <w:tab w:val="left" w:pos="1620"/>
        </w:tabs>
        <w:adjustRightInd w:val="0"/>
        <w:spacing w:line="400" w:lineRule="exact"/>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rPr>
        <w:t>）评标程序</w:t>
      </w:r>
    </w:p>
    <w:p w14:paraId="4CC3A4EB">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1、符合性审查</w:t>
      </w:r>
    </w:p>
    <w:p w14:paraId="6A5A8A37">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符合性审查是指评标委员会依据招标文件的规定，从商务和技术角度对投标文件的有效性和完整性进行审查，以确定是否对招标文件的实质性要求做出响应，填写“符合性审查表”。</w:t>
      </w:r>
    </w:p>
    <w:p w14:paraId="522756C3">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2.要求供应商（投标人）对投标文件有关事项作出澄清或者说明（如有）。 </w:t>
      </w:r>
    </w:p>
    <w:p w14:paraId="1C185D63">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评标委员会认为供应商（投标人）的报价明显低于其他通过符合性审查供应商（投标人）的报</w:t>
      </w:r>
    </w:p>
    <w:p w14:paraId="43257CDF">
      <w:pPr>
        <w:tabs>
          <w:tab w:val="left" w:pos="1620"/>
        </w:tabs>
        <w:adjustRightInd w:val="0"/>
        <w:spacing w:line="400" w:lineRule="exac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价，有可能影响产品质量或者不能诚信履约的，应当发出澄清，要求其通过新乡市公共资源交易中心交易系统提供书面说明，必要时提交相关证明材料；供应商（投标人）不能证明其报价合理性的，评标委员会在新乡市交易中心交易系统发出澄清要求后，供应商（投标人）30分钟内提交完成答复。</w:t>
      </w:r>
    </w:p>
    <w:p w14:paraId="27572073">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供应商（投标人）的书面说明材料包含货物及伴随的工程（装饰装修）和服务本身成本、人工费用、运输、 税费、安装、验收、检验检测等，以及最后报价不会影响产品质量或诚信履约能力的说明等。 </w:t>
      </w:r>
    </w:p>
    <w:p w14:paraId="0D6033E0">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供应商（投标人）的书面说明材料应当加盖供应商（投标人）单位公章及法定代表人（或负责人）的签章，否则无效。 </w:t>
      </w:r>
    </w:p>
    <w:p w14:paraId="70D9D13D">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供应商（投标人）不按评标委员会的要求进行回复的，或者不能在规定时间内作出书面回复的，或者回复内容不被评标委员会认可的，其投标文件将被作为无效投标文件处理。 </w:t>
      </w:r>
    </w:p>
    <w:p w14:paraId="4EDBB7DC">
      <w:pPr>
        <w:tabs>
          <w:tab w:val="left" w:pos="1620"/>
        </w:tabs>
        <w:adjustRightInd w:val="0"/>
        <w:spacing w:line="400" w:lineRule="exact"/>
        <w:ind w:firstLine="422" w:firstLineChars="200"/>
        <w:jc w:val="left"/>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（五）评审标准中应考虑下列因素</w:t>
      </w:r>
    </w:p>
    <w:p w14:paraId="7AC714E4">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1.根据关于印发《政府采购促进中小企业发展管理办法》的通知 {财库〔2020〕46 号}、《财 </w:t>
      </w:r>
    </w:p>
    <w:p w14:paraId="2FDF8221">
      <w:pPr>
        <w:tabs>
          <w:tab w:val="left" w:pos="1620"/>
        </w:tabs>
        <w:adjustRightInd w:val="0"/>
        <w:spacing w:line="400" w:lineRule="exac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政部司法部关于政府采购支持监狱企业发展有关问题的通知》（财库〔2014〕68 号）和《三部门联合发布关于促进残疾人就业政府采购政策的通知》（财库〔2017〕141 号）的规定，对满足价格扣除条件并在投标文件中递交了《中小企业声明函》（声明内容需符合价格扣除条件）、《残疾人福利性单位声明函》或省级以上监狱管理局、戒毒管理局（含新疆生产建设兵团）出具的属于监狱企业的证明文件的供应商（投标人），其投标报价扣除 20%后参与评审。对于同时属于小微企业、监狱企业或残疾人福利性单位的，不重复进行投标报价扣除。</w:t>
      </w:r>
    </w:p>
    <w:p w14:paraId="01E008AC">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2.国家相关部委针对节能产品、环境标志产品出台了相关调整优化政府采购执行机制，并于近 </w:t>
      </w:r>
    </w:p>
    <w:p w14:paraId="73FB70B7">
      <w:pPr>
        <w:tabs>
          <w:tab w:val="left" w:pos="1620"/>
        </w:tabs>
        <w:adjustRightInd w:val="0"/>
        <w:spacing w:line="400" w:lineRule="exac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期相继颁布《财政部发展改革委 生态环境部 市场监管总局 关于调整优化节能产品、环境标志产品政府采购执行机制的通知》（财库〔2019〕9 号）、《市场监管总局关于发布参与实施政府采购节能产品、环境标志产品认证机构名录的公告》（市场监管总局 2019 年 4 月 3 日下发）（以下简称“机 构名录”）、《关于印发节能产品政府采购品目清单的通知》（财库〔2019〕19 号）（以下简称“节能 清单”）、 《关于印发环境标志产品政府采购品目清单的通知》（财库〔2019〕18 号）（以下简称“环 保清单”）。 </w:t>
      </w:r>
    </w:p>
    <w:p w14:paraId="105A664F">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根据要求，投标产品中如有属于“节能清单”中标记“★”产品的，必须提供经过“机构名录” </w:t>
      </w:r>
    </w:p>
    <w:p w14:paraId="6AD74637">
      <w:pPr>
        <w:tabs>
          <w:tab w:val="left" w:pos="1620"/>
        </w:tabs>
        <w:adjustRightInd w:val="0"/>
        <w:spacing w:line="400" w:lineRule="exac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中的认证机构出具的“节能产品认证证书及相关附件”，未提供的按无效投标处理。 </w:t>
      </w:r>
    </w:p>
    <w:p w14:paraId="4146E9FE">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对于投标产品属于“节能清单”中非标记“★”产品的以及属于 “环保清单”产品并经“机构 </w:t>
      </w:r>
    </w:p>
    <w:p w14:paraId="2D2EF22A">
      <w:pPr>
        <w:tabs>
          <w:tab w:val="left" w:pos="1620"/>
        </w:tabs>
        <w:adjustRightInd w:val="0"/>
        <w:spacing w:line="400" w:lineRule="exac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名录”中的认证机构出具相应的产品认证证书的给于优先采购体现（详见采购需求及评标标准）。 </w:t>
      </w:r>
    </w:p>
    <w:p w14:paraId="4132FB2A">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采购人采购产品属于节能产品或环境标志产品品目清单范围内，且供应商（投标人）所投产品 </w:t>
      </w:r>
    </w:p>
    <w:p w14:paraId="12FB760D">
      <w:pPr>
        <w:tabs>
          <w:tab w:val="left" w:pos="1620"/>
        </w:tabs>
        <w:adjustRightInd w:val="0"/>
        <w:spacing w:line="400" w:lineRule="exac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具有有效期内的产品认证证书，在评标时予以优先采购，具体优惠措施详见采购需求及评标标准。 </w:t>
      </w:r>
    </w:p>
    <w:p w14:paraId="2A1DE70B">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3.其他政府采购政策要求：详见招标文件。 </w:t>
      </w:r>
    </w:p>
    <w:tbl>
      <w:tblPr>
        <w:tblStyle w:val="39"/>
        <w:tblW w:w="9500" w:type="dxa"/>
        <w:tblInd w:w="11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2"/>
        <w:gridCol w:w="3179"/>
        <w:gridCol w:w="5669"/>
      </w:tblGrid>
      <w:tr w14:paraId="0FF8E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 w:hRule="atLeast"/>
        </w:trPr>
        <w:tc>
          <w:tcPr>
            <w:tcW w:w="9500" w:type="dxa"/>
            <w:gridSpan w:val="3"/>
            <w:tcBorders>
              <w:top w:val="single" w:color="auto" w:sz="4" w:space="0"/>
              <w:left w:val="single" w:color="auto" w:sz="4" w:space="0"/>
              <w:bottom w:val="single" w:color="auto" w:sz="4" w:space="0"/>
              <w:right w:val="single" w:color="auto" w:sz="4" w:space="0"/>
            </w:tcBorders>
            <w:vAlign w:val="center"/>
          </w:tcPr>
          <w:p w14:paraId="70F6172C">
            <w:pPr>
              <w:spacing w:line="400" w:lineRule="exact"/>
              <w:rPr>
                <w:rStyle w:val="92"/>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符合性审查</w:t>
            </w:r>
          </w:p>
        </w:tc>
      </w:tr>
      <w:tr w14:paraId="3993F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trPr>
        <w:tc>
          <w:tcPr>
            <w:tcW w:w="652" w:type="dxa"/>
            <w:tcBorders>
              <w:top w:val="single" w:color="auto" w:sz="4" w:space="0"/>
              <w:left w:val="single" w:color="auto" w:sz="4" w:space="0"/>
              <w:bottom w:val="single" w:color="auto" w:sz="4" w:space="0"/>
              <w:right w:val="single" w:color="auto" w:sz="4" w:space="0"/>
            </w:tcBorders>
            <w:vAlign w:val="center"/>
          </w:tcPr>
          <w:p w14:paraId="1E33CF09">
            <w:pPr>
              <w:spacing w:line="400" w:lineRule="exact"/>
              <w:rPr>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 xml:space="preserve">序号 </w:t>
            </w:r>
          </w:p>
        </w:tc>
        <w:tc>
          <w:tcPr>
            <w:tcW w:w="3179" w:type="dxa"/>
            <w:tcBorders>
              <w:top w:val="single" w:color="auto" w:sz="4" w:space="0"/>
              <w:left w:val="single" w:color="auto" w:sz="4" w:space="0"/>
              <w:bottom w:val="single" w:color="auto" w:sz="4" w:space="0"/>
              <w:right w:val="single" w:color="auto" w:sz="4" w:space="0"/>
            </w:tcBorders>
            <w:vAlign w:val="center"/>
          </w:tcPr>
          <w:p w14:paraId="1F4F705E">
            <w:pPr>
              <w:spacing w:line="400" w:lineRule="exact"/>
              <w:rPr>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 xml:space="preserve">评审内容 </w:t>
            </w:r>
          </w:p>
        </w:tc>
        <w:tc>
          <w:tcPr>
            <w:tcW w:w="5669" w:type="dxa"/>
            <w:tcBorders>
              <w:top w:val="single" w:color="auto" w:sz="4" w:space="0"/>
              <w:left w:val="single" w:color="auto" w:sz="4" w:space="0"/>
              <w:bottom w:val="single" w:color="auto" w:sz="4" w:space="0"/>
              <w:right w:val="single" w:color="auto" w:sz="4" w:space="0"/>
            </w:tcBorders>
            <w:vAlign w:val="center"/>
          </w:tcPr>
          <w:p w14:paraId="4CEA66EF">
            <w:pPr>
              <w:spacing w:line="400" w:lineRule="exact"/>
              <w:rPr>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评审标准</w:t>
            </w:r>
          </w:p>
        </w:tc>
      </w:tr>
      <w:tr w14:paraId="211F2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trPr>
        <w:tc>
          <w:tcPr>
            <w:tcW w:w="652" w:type="dxa"/>
            <w:tcBorders>
              <w:top w:val="single" w:color="auto" w:sz="4" w:space="0"/>
              <w:left w:val="single" w:color="auto" w:sz="4" w:space="0"/>
              <w:bottom w:val="single" w:color="auto" w:sz="4" w:space="0"/>
              <w:right w:val="single" w:color="auto" w:sz="4" w:space="0"/>
            </w:tcBorders>
            <w:vAlign w:val="center"/>
          </w:tcPr>
          <w:p w14:paraId="70F971D4">
            <w:pPr>
              <w:spacing w:line="400" w:lineRule="exact"/>
              <w:rPr>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 xml:space="preserve">1 </w:t>
            </w:r>
          </w:p>
        </w:tc>
        <w:tc>
          <w:tcPr>
            <w:tcW w:w="3179" w:type="dxa"/>
            <w:tcBorders>
              <w:top w:val="single" w:color="auto" w:sz="4" w:space="0"/>
              <w:left w:val="single" w:color="auto" w:sz="4" w:space="0"/>
              <w:bottom w:val="single" w:color="auto" w:sz="4" w:space="0"/>
              <w:right w:val="single" w:color="auto" w:sz="4" w:space="0"/>
            </w:tcBorders>
            <w:vAlign w:val="center"/>
          </w:tcPr>
          <w:p w14:paraId="3C019D97">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投标函 </w:t>
            </w:r>
          </w:p>
        </w:tc>
        <w:tc>
          <w:tcPr>
            <w:tcW w:w="5669" w:type="dxa"/>
            <w:tcBorders>
              <w:top w:val="single" w:color="auto" w:sz="4" w:space="0"/>
              <w:left w:val="single" w:color="auto" w:sz="4" w:space="0"/>
              <w:bottom w:val="single" w:color="auto" w:sz="4" w:space="0"/>
              <w:right w:val="single" w:color="auto" w:sz="4" w:space="0"/>
            </w:tcBorders>
            <w:vAlign w:val="center"/>
          </w:tcPr>
          <w:p w14:paraId="03E6FF34">
            <w:pPr>
              <w:spacing w:line="400" w:lineRule="exact"/>
              <w:rPr>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符合“第六章 投标文件格式”内容要求</w:t>
            </w:r>
          </w:p>
        </w:tc>
      </w:tr>
      <w:tr w14:paraId="1DBDB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trPr>
        <w:tc>
          <w:tcPr>
            <w:tcW w:w="652" w:type="dxa"/>
            <w:tcBorders>
              <w:top w:val="single" w:color="auto" w:sz="4" w:space="0"/>
              <w:left w:val="single" w:color="auto" w:sz="4" w:space="0"/>
              <w:bottom w:val="single" w:color="auto" w:sz="4" w:space="0"/>
              <w:right w:val="single" w:color="auto" w:sz="4" w:space="0"/>
            </w:tcBorders>
            <w:vAlign w:val="center"/>
          </w:tcPr>
          <w:p w14:paraId="49FB5811">
            <w:pPr>
              <w:spacing w:line="400" w:lineRule="exact"/>
              <w:rPr>
                <w:rStyle w:val="92"/>
                <w:rFonts w:hint="eastAsia" w:ascii="宋体" w:hAnsi="宋体" w:eastAsia="宋体" w:cs="宋体"/>
                <w:color w:val="auto"/>
                <w:sz w:val="21"/>
                <w:szCs w:val="21"/>
                <w:highlight w:val="none"/>
                <w:lang w:val="en-US" w:eastAsia="zh-CN"/>
              </w:rPr>
            </w:pPr>
            <w:r>
              <w:rPr>
                <w:rStyle w:val="92"/>
                <w:rFonts w:hint="eastAsia" w:ascii="宋体" w:hAnsi="宋体" w:eastAsia="宋体" w:cs="宋体"/>
                <w:color w:val="auto"/>
                <w:sz w:val="21"/>
                <w:szCs w:val="21"/>
                <w:highlight w:val="none"/>
                <w:lang w:val="en-US" w:eastAsia="zh-CN"/>
              </w:rPr>
              <w:t>2</w:t>
            </w:r>
          </w:p>
        </w:tc>
        <w:tc>
          <w:tcPr>
            <w:tcW w:w="3179" w:type="dxa"/>
            <w:tcBorders>
              <w:top w:val="single" w:color="auto" w:sz="4" w:space="0"/>
              <w:left w:val="single" w:color="auto" w:sz="4" w:space="0"/>
              <w:bottom w:val="single" w:color="auto" w:sz="4" w:space="0"/>
              <w:right w:val="single" w:color="auto" w:sz="4" w:space="0"/>
            </w:tcBorders>
            <w:vAlign w:val="top"/>
          </w:tcPr>
          <w:p w14:paraId="1C31281E">
            <w:pPr>
              <w:pStyle w:val="135"/>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采购项目承诺书</w:t>
            </w:r>
          </w:p>
        </w:tc>
        <w:tc>
          <w:tcPr>
            <w:tcW w:w="5669" w:type="dxa"/>
            <w:tcBorders>
              <w:top w:val="single" w:color="auto" w:sz="4" w:space="0"/>
              <w:left w:val="single" w:color="auto" w:sz="4" w:space="0"/>
              <w:bottom w:val="single" w:color="auto" w:sz="4" w:space="0"/>
              <w:right w:val="single" w:color="auto" w:sz="4" w:space="0"/>
            </w:tcBorders>
            <w:vAlign w:val="center"/>
          </w:tcPr>
          <w:p w14:paraId="0E298F97">
            <w:pPr>
              <w:spacing w:line="400" w:lineRule="exact"/>
              <w:rPr>
                <w:rStyle w:val="92"/>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符合“第六章 投标文件格式”内容要求</w:t>
            </w:r>
          </w:p>
        </w:tc>
      </w:tr>
      <w:tr w14:paraId="0972E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trPr>
        <w:tc>
          <w:tcPr>
            <w:tcW w:w="652" w:type="dxa"/>
            <w:tcBorders>
              <w:top w:val="single" w:color="auto" w:sz="4" w:space="0"/>
              <w:left w:val="single" w:color="auto" w:sz="4" w:space="0"/>
              <w:bottom w:val="single" w:color="auto" w:sz="4" w:space="0"/>
              <w:right w:val="single" w:color="auto" w:sz="4" w:space="0"/>
            </w:tcBorders>
            <w:vAlign w:val="center"/>
          </w:tcPr>
          <w:p w14:paraId="58262AD6">
            <w:pPr>
              <w:spacing w:line="400" w:lineRule="exact"/>
              <w:rPr>
                <w:rStyle w:val="92"/>
                <w:rFonts w:hint="eastAsia" w:ascii="宋体" w:hAnsi="宋体" w:eastAsia="宋体" w:cs="宋体"/>
                <w:color w:val="auto"/>
                <w:sz w:val="21"/>
                <w:szCs w:val="21"/>
                <w:highlight w:val="none"/>
                <w:lang w:val="en-US" w:eastAsia="zh-CN"/>
              </w:rPr>
            </w:pPr>
            <w:r>
              <w:rPr>
                <w:rStyle w:val="92"/>
                <w:rFonts w:hint="eastAsia" w:ascii="宋体" w:hAnsi="宋体" w:eastAsia="宋体" w:cs="宋体"/>
                <w:color w:val="auto"/>
                <w:sz w:val="21"/>
                <w:szCs w:val="21"/>
                <w:highlight w:val="none"/>
                <w:lang w:val="en-US" w:eastAsia="zh-CN"/>
              </w:rPr>
              <w:t>3</w:t>
            </w:r>
          </w:p>
        </w:tc>
        <w:tc>
          <w:tcPr>
            <w:tcW w:w="3179" w:type="dxa"/>
            <w:tcBorders>
              <w:top w:val="single" w:color="auto" w:sz="4" w:space="0"/>
              <w:left w:val="single" w:color="auto" w:sz="4" w:space="0"/>
              <w:bottom w:val="single" w:color="auto" w:sz="4" w:space="0"/>
              <w:right w:val="single" w:color="auto" w:sz="4" w:space="0"/>
            </w:tcBorders>
            <w:vAlign w:val="top"/>
          </w:tcPr>
          <w:p w14:paraId="7AE7D2AD">
            <w:pPr>
              <w:pStyle w:val="135"/>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反商业贿赂承诺书</w:t>
            </w:r>
          </w:p>
        </w:tc>
        <w:tc>
          <w:tcPr>
            <w:tcW w:w="5669" w:type="dxa"/>
            <w:tcBorders>
              <w:top w:val="single" w:color="auto" w:sz="4" w:space="0"/>
              <w:left w:val="single" w:color="auto" w:sz="4" w:space="0"/>
              <w:bottom w:val="single" w:color="auto" w:sz="4" w:space="0"/>
              <w:right w:val="single" w:color="auto" w:sz="4" w:space="0"/>
            </w:tcBorders>
            <w:vAlign w:val="center"/>
          </w:tcPr>
          <w:p w14:paraId="30FFF290">
            <w:pPr>
              <w:spacing w:line="400" w:lineRule="exact"/>
              <w:rPr>
                <w:rStyle w:val="92"/>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符合“第六章 投标文件格式”内容要求</w:t>
            </w:r>
          </w:p>
        </w:tc>
      </w:tr>
      <w:tr w14:paraId="03986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trPr>
        <w:tc>
          <w:tcPr>
            <w:tcW w:w="652" w:type="dxa"/>
            <w:tcBorders>
              <w:top w:val="single" w:color="auto" w:sz="4" w:space="0"/>
              <w:left w:val="single" w:color="auto" w:sz="4" w:space="0"/>
              <w:bottom w:val="single" w:color="auto" w:sz="4" w:space="0"/>
              <w:right w:val="single" w:color="auto" w:sz="4" w:space="0"/>
            </w:tcBorders>
            <w:vAlign w:val="center"/>
          </w:tcPr>
          <w:p w14:paraId="06CD7CEA">
            <w:pPr>
              <w:spacing w:line="400" w:lineRule="exact"/>
              <w:rPr>
                <w:rStyle w:val="92"/>
                <w:rFonts w:hint="eastAsia" w:ascii="宋体" w:hAnsi="宋体" w:eastAsia="宋体" w:cs="宋体"/>
                <w:color w:val="auto"/>
                <w:sz w:val="21"/>
                <w:szCs w:val="21"/>
                <w:highlight w:val="none"/>
                <w:lang w:val="en-US" w:eastAsia="zh-CN"/>
              </w:rPr>
            </w:pPr>
            <w:r>
              <w:rPr>
                <w:rStyle w:val="92"/>
                <w:rFonts w:hint="eastAsia" w:ascii="宋体" w:hAnsi="宋体" w:eastAsia="宋体" w:cs="宋体"/>
                <w:color w:val="auto"/>
                <w:sz w:val="21"/>
                <w:szCs w:val="21"/>
                <w:highlight w:val="none"/>
                <w:lang w:val="en-US" w:eastAsia="zh-CN"/>
              </w:rPr>
              <w:t>4</w:t>
            </w:r>
          </w:p>
        </w:tc>
        <w:tc>
          <w:tcPr>
            <w:tcW w:w="3179" w:type="dxa"/>
            <w:tcBorders>
              <w:top w:val="single" w:color="auto" w:sz="4" w:space="0"/>
              <w:left w:val="single" w:color="auto" w:sz="4" w:space="0"/>
              <w:bottom w:val="single" w:color="auto" w:sz="4" w:space="0"/>
              <w:right w:val="single" w:color="auto" w:sz="4" w:space="0"/>
            </w:tcBorders>
            <w:vAlign w:val="top"/>
          </w:tcPr>
          <w:p w14:paraId="6E76FE3E">
            <w:pPr>
              <w:pStyle w:val="135"/>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使用绿色包装承诺书</w:t>
            </w:r>
          </w:p>
        </w:tc>
        <w:tc>
          <w:tcPr>
            <w:tcW w:w="5669" w:type="dxa"/>
            <w:tcBorders>
              <w:top w:val="single" w:color="auto" w:sz="4" w:space="0"/>
              <w:left w:val="single" w:color="auto" w:sz="4" w:space="0"/>
              <w:bottom w:val="single" w:color="auto" w:sz="4" w:space="0"/>
              <w:right w:val="single" w:color="auto" w:sz="4" w:space="0"/>
            </w:tcBorders>
            <w:vAlign w:val="center"/>
          </w:tcPr>
          <w:p w14:paraId="2E72410B">
            <w:pPr>
              <w:spacing w:line="400" w:lineRule="exact"/>
              <w:rPr>
                <w:rStyle w:val="92"/>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符合“第六章 投标文件格式”内容要求</w:t>
            </w:r>
          </w:p>
        </w:tc>
      </w:tr>
      <w:tr w14:paraId="06BBE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trPr>
        <w:tc>
          <w:tcPr>
            <w:tcW w:w="652" w:type="dxa"/>
            <w:tcBorders>
              <w:top w:val="single" w:color="auto" w:sz="4" w:space="0"/>
              <w:left w:val="single" w:color="auto" w:sz="4" w:space="0"/>
              <w:bottom w:val="single" w:color="auto" w:sz="4" w:space="0"/>
              <w:right w:val="single" w:color="auto" w:sz="4" w:space="0"/>
            </w:tcBorders>
            <w:vAlign w:val="center"/>
          </w:tcPr>
          <w:p w14:paraId="711D4D95">
            <w:pPr>
              <w:spacing w:line="400" w:lineRule="exact"/>
              <w:rPr>
                <w:rStyle w:val="92"/>
                <w:rFonts w:hint="eastAsia" w:ascii="宋体" w:hAnsi="宋体" w:eastAsia="宋体" w:cs="宋体"/>
                <w:color w:val="auto"/>
                <w:sz w:val="21"/>
                <w:szCs w:val="21"/>
                <w:highlight w:val="none"/>
                <w:lang w:val="en-US" w:eastAsia="zh-CN"/>
              </w:rPr>
            </w:pPr>
            <w:r>
              <w:rPr>
                <w:rStyle w:val="92"/>
                <w:rFonts w:hint="eastAsia" w:ascii="宋体" w:hAnsi="宋体" w:eastAsia="宋体" w:cs="宋体"/>
                <w:color w:val="auto"/>
                <w:sz w:val="21"/>
                <w:szCs w:val="21"/>
                <w:highlight w:val="none"/>
                <w:lang w:val="en-US" w:eastAsia="zh-CN"/>
              </w:rPr>
              <w:t>5</w:t>
            </w:r>
          </w:p>
        </w:tc>
        <w:tc>
          <w:tcPr>
            <w:tcW w:w="3179" w:type="dxa"/>
            <w:tcBorders>
              <w:top w:val="single" w:color="auto" w:sz="4" w:space="0"/>
              <w:left w:val="single" w:color="auto" w:sz="4" w:space="0"/>
              <w:bottom w:val="single" w:color="auto" w:sz="4" w:space="0"/>
              <w:right w:val="single" w:color="auto" w:sz="4" w:space="0"/>
            </w:tcBorders>
            <w:vAlign w:val="top"/>
          </w:tcPr>
          <w:p w14:paraId="4FCB0028">
            <w:pPr>
              <w:pStyle w:val="135"/>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服务承诺</w:t>
            </w:r>
          </w:p>
        </w:tc>
        <w:tc>
          <w:tcPr>
            <w:tcW w:w="5669" w:type="dxa"/>
            <w:tcBorders>
              <w:top w:val="single" w:color="auto" w:sz="4" w:space="0"/>
              <w:left w:val="single" w:color="auto" w:sz="4" w:space="0"/>
              <w:bottom w:val="single" w:color="auto" w:sz="4" w:space="0"/>
              <w:right w:val="single" w:color="auto" w:sz="4" w:space="0"/>
            </w:tcBorders>
            <w:vAlign w:val="center"/>
          </w:tcPr>
          <w:p w14:paraId="56B7C37D">
            <w:pPr>
              <w:spacing w:line="400" w:lineRule="exact"/>
              <w:rPr>
                <w:rStyle w:val="92"/>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格式自拟</w:t>
            </w:r>
          </w:p>
        </w:tc>
      </w:tr>
      <w:tr w14:paraId="09FA3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652" w:type="dxa"/>
            <w:tcBorders>
              <w:top w:val="single" w:color="auto" w:sz="4" w:space="0"/>
              <w:left w:val="single" w:color="auto" w:sz="4" w:space="0"/>
              <w:bottom w:val="single" w:color="auto" w:sz="4" w:space="0"/>
              <w:right w:val="single" w:color="auto" w:sz="4" w:space="0"/>
            </w:tcBorders>
            <w:vAlign w:val="center"/>
          </w:tcPr>
          <w:p w14:paraId="69C4A367">
            <w:pPr>
              <w:spacing w:line="400" w:lineRule="exact"/>
              <w:rPr>
                <w:rStyle w:val="92"/>
                <w:rFonts w:hint="eastAsia" w:ascii="宋体" w:hAnsi="宋体" w:eastAsia="宋体" w:cs="宋体"/>
                <w:color w:val="auto"/>
                <w:sz w:val="21"/>
                <w:szCs w:val="21"/>
                <w:highlight w:val="none"/>
                <w:lang w:eastAsia="zh-CN"/>
              </w:rPr>
            </w:pPr>
            <w:r>
              <w:rPr>
                <w:rStyle w:val="92"/>
                <w:rFonts w:hint="eastAsia" w:ascii="宋体" w:hAnsi="宋体" w:eastAsia="宋体" w:cs="宋体"/>
                <w:color w:val="auto"/>
                <w:sz w:val="21"/>
                <w:szCs w:val="21"/>
                <w:highlight w:val="none"/>
                <w:lang w:val="en-US" w:eastAsia="zh-CN"/>
              </w:rPr>
              <w:t>6</w:t>
            </w:r>
          </w:p>
        </w:tc>
        <w:tc>
          <w:tcPr>
            <w:tcW w:w="3179" w:type="dxa"/>
            <w:tcBorders>
              <w:top w:val="single" w:color="auto" w:sz="4" w:space="0"/>
              <w:left w:val="single" w:color="auto" w:sz="4" w:space="0"/>
              <w:bottom w:val="single" w:color="auto" w:sz="4" w:space="0"/>
              <w:right w:val="single" w:color="auto" w:sz="4" w:space="0"/>
            </w:tcBorders>
            <w:vAlign w:val="center"/>
          </w:tcPr>
          <w:p w14:paraId="6E98FCD9">
            <w:pPr>
              <w:widowControl/>
              <w:spacing w:line="400" w:lineRule="exact"/>
              <w:jc w:val="left"/>
              <w:rPr>
                <w:rStyle w:val="92"/>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开标一览表 </w:t>
            </w:r>
          </w:p>
        </w:tc>
        <w:tc>
          <w:tcPr>
            <w:tcW w:w="5669" w:type="dxa"/>
            <w:tcBorders>
              <w:top w:val="single" w:color="auto" w:sz="4" w:space="0"/>
              <w:left w:val="single" w:color="auto" w:sz="4" w:space="0"/>
              <w:bottom w:val="single" w:color="auto" w:sz="4" w:space="0"/>
              <w:right w:val="single" w:color="auto" w:sz="4" w:space="0"/>
            </w:tcBorders>
            <w:vAlign w:val="center"/>
          </w:tcPr>
          <w:p w14:paraId="798438FB">
            <w:pPr>
              <w:spacing w:line="400" w:lineRule="exact"/>
              <w:rPr>
                <w:rStyle w:val="92"/>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符合“第六章 投标文件格式”内容要求</w:t>
            </w:r>
          </w:p>
        </w:tc>
      </w:tr>
      <w:tr w14:paraId="65975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652" w:type="dxa"/>
            <w:tcBorders>
              <w:top w:val="single" w:color="auto" w:sz="4" w:space="0"/>
              <w:left w:val="single" w:color="auto" w:sz="4" w:space="0"/>
              <w:bottom w:val="single" w:color="auto" w:sz="4" w:space="0"/>
              <w:right w:val="single" w:color="auto" w:sz="4" w:space="0"/>
            </w:tcBorders>
            <w:vAlign w:val="center"/>
          </w:tcPr>
          <w:p w14:paraId="119EB4DF">
            <w:pPr>
              <w:spacing w:line="400" w:lineRule="exact"/>
              <w:rPr>
                <w:rStyle w:val="92"/>
                <w:rFonts w:hint="eastAsia" w:ascii="宋体" w:hAnsi="宋体" w:eastAsia="宋体" w:cs="宋体"/>
                <w:color w:val="auto"/>
                <w:sz w:val="21"/>
                <w:szCs w:val="21"/>
                <w:highlight w:val="none"/>
                <w:lang w:eastAsia="zh-CN"/>
              </w:rPr>
            </w:pPr>
            <w:r>
              <w:rPr>
                <w:rStyle w:val="92"/>
                <w:rFonts w:hint="eastAsia" w:ascii="宋体" w:hAnsi="宋体" w:eastAsia="宋体" w:cs="宋体"/>
                <w:color w:val="auto"/>
                <w:sz w:val="21"/>
                <w:szCs w:val="21"/>
                <w:highlight w:val="none"/>
                <w:lang w:val="en-US" w:eastAsia="zh-CN"/>
              </w:rPr>
              <w:t>7</w:t>
            </w:r>
          </w:p>
        </w:tc>
        <w:tc>
          <w:tcPr>
            <w:tcW w:w="3179" w:type="dxa"/>
            <w:tcBorders>
              <w:top w:val="single" w:color="auto" w:sz="4" w:space="0"/>
              <w:left w:val="single" w:color="auto" w:sz="4" w:space="0"/>
              <w:bottom w:val="single" w:color="auto" w:sz="4" w:space="0"/>
              <w:right w:val="single" w:color="auto" w:sz="4" w:space="0"/>
            </w:tcBorders>
            <w:vAlign w:val="center"/>
          </w:tcPr>
          <w:p w14:paraId="2A62D999">
            <w:pPr>
              <w:widowControl/>
              <w:spacing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报价明细表</w:t>
            </w:r>
          </w:p>
        </w:tc>
        <w:tc>
          <w:tcPr>
            <w:tcW w:w="5669" w:type="dxa"/>
            <w:tcBorders>
              <w:top w:val="single" w:color="auto" w:sz="4" w:space="0"/>
              <w:left w:val="single" w:color="auto" w:sz="4" w:space="0"/>
              <w:bottom w:val="single" w:color="auto" w:sz="4" w:space="0"/>
              <w:right w:val="single" w:color="auto" w:sz="4" w:space="0"/>
            </w:tcBorders>
            <w:vAlign w:val="center"/>
          </w:tcPr>
          <w:p w14:paraId="5A324028">
            <w:pPr>
              <w:spacing w:line="400" w:lineRule="exact"/>
              <w:rPr>
                <w:rStyle w:val="92"/>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符合“第六章 投标文件格式”内容要求</w:t>
            </w:r>
          </w:p>
        </w:tc>
      </w:tr>
      <w:tr w14:paraId="36541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trPr>
        <w:tc>
          <w:tcPr>
            <w:tcW w:w="652" w:type="dxa"/>
            <w:tcBorders>
              <w:top w:val="single" w:color="auto" w:sz="4" w:space="0"/>
              <w:left w:val="single" w:color="auto" w:sz="4" w:space="0"/>
              <w:bottom w:val="single" w:color="auto" w:sz="4" w:space="0"/>
              <w:right w:val="single" w:color="auto" w:sz="4" w:space="0"/>
            </w:tcBorders>
            <w:vAlign w:val="center"/>
          </w:tcPr>
          <w:p w14:paraId="41099A02">
            <w:pPr>
              <w:spacing w:line="400" w:lineRule="exact"/>
              <w:rPr>
                <w:rStyle w:val="92"/>
                <w:rFonts w:hint="eastAsia" w:ascii="宋体" w:hAnsi="宋体" w:eastAsia="宋体" w:cs="宋体"/>
                <w:color w:val="auto"/>
                <w:sz w:val="21"/>
                <w:szCs w:val="21"/>
                <w:highlight w:val="none"/>
                <w:lang w:eastAsia="zh-CN"/>
              </w:rPr>
            </w:pPr>
            <w:r>
              <w:rPr>
                <w:rStyle w:val="92"/>
                <w:rFonts w:hint="eastAsia" w:ascii="宋体" w:hAnsi="宋体" w:eastAsia="宋体" w:cs="宋体"/>
                <w:color w:val="auto"/>
                <w:sz w:val="21"/>
                <w:szCs w:val="21"/>
                <w:highlight w:val="none"/>
                <w:lang w:val="en-US" w:eastAsia="zh-CN"/>
              </w:rPr>
              <w:t>8</w:t>
            </w:r>
          </w:p>
        </w:tc>
        <w:tc>
          <w:tcPr>
            <w:tcW w:w="3179" w:type="dxa"/>
            <w:tcBorders>
              <w:top w:val="single" w:color="auto" w:sz="4" w:space="0"/>
              <w:left w:val="single" w:color="auto" w:sz="4" w:space="0"/>
              <w:bottom w:val="single" w:color="auto" w:sz="4" w:space="0"/>
              <w:right w:val="single" w:color="auto" w:sz="4" w:space="0"/>
            </w:tcBorders>
            <w:vAlign w:val="center"/>
          </w:tcPr>
          <w:p w14:paraId="02070313">
            <w:pPr>
              <w:widowControl/>
              <w:spacing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技术偏离表 </w:t>
            </w:r>
          </w:p>
        </w:tc>
        <w:tc>
          <w:tcPr>
            <w:tcW w:w="5669" w:type="dxa"/>
            <w:tcBorders>
              <w:top w:val="single" w:color="auto" w:sz="4" w:space="0"/>
              <w:left w:val="single" w:color="auto" w:sz="4" w:space="0"/>
              <w:bottom w:val="single" w:color="auto" w:sz="4" w:space="0"/>
              <w:right w:val="single" w:color="auto" w:sz="4" w:space="0"/>
            </w:tcBorders>
            <w:vAlign w:val="center"/>
          </w:tcPr>
          <w:p w14:paraId="1AA3B562">
            <w:pPr>
              <w:spacing w:line="400" w:lineRule="exact"/>
              <w:rPr>
                <w:rStyle w:val="92"/>
                <w:rFonts w:hint="eastAsia" w:ascii="宋体" w:hAnsi="宋体" w:eastAsia="宋体" w:cs="宋体"/>
                <w:color w:val="auto"/>
                <w:sz w:val="21"/>
                <w:szCs w:val="21"/>
                <w:highlight w:val="none"/>
              </w:rPr>
            </w:pPr>
            <w:r>
              <w:rPr>
                <w:rStyle w:val="92"/>
                <w:rFonts w:hint="eastAsia" w:ascii="宋体" w:hAnsi="宋体" w:eastAsia="宋体" w:cs="宋体"/>
                <w:color w:val="auto"/>
                <w:sz w:val="21"/>
                <w:szCs w:val="21"/>
                <w:highlight w:val="none"/>
              </w:rPr>
              <w:t>符合“第六章 投标文件格式”内容要求</w:t>
            </w:r>
          </w:p>
        </w:tc>
      </w:tr>
      <w:tr w14:paraId="701F4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652" w:type="dxa"/>
            <w:tcBorders>
              <w:top w:val="single" w:color="auto" w:sz="4" w:space="0"/>
              <w:left w:val="single" w:color="auto" w:sz="4" w:space="0"/>
              <w:bottom w:val="single" w:color="auto" w:sz="4" w:space="0"/>
              <w:right w:val="single" w:color="auto" w:sz="4" w:space="0"/>
            </w:tcBorders>
            <w:vAlign w:val="center"/>
          </w:tcPr>
          <w:p w14:paraId="6CD23C2E">
            <w:pPr>
              <w:spacing w:line="400" w:lineRule="exact"/>
              <w:rPr>
                <w:rStyle w:val="92"/>
                <w:rFonts w:hint="eastAsia" w:ascii="宋体" w:hAnsi="宋体" w:eastAsia="宋体" w:cs="宋体"/>
                <w:color w:val="auto"/>
                <w:sz w:val="21"/>
                <w:szCs w:val="21"/>
                <w:highlight w:val="none"/>
                <w:lang w:val="en-US" w:eastAsia="zh-CN"/>
              </w:rPr>
            </w:pPr>
            <w:r>
              <w:rPr>
                <w:rStyle w:val="92"/>
                <w:rFonts w:hint="eastAsia" w:ascii="宋体" w:hAnsi="宋体" w:eastAsia="宋体" w:cs="宋体"/>
                <w:color w:val="auto"/>
                <w:sz w:val="21"/>
                <w:szCs w:val="21"/>
                <w:highlight w:val="none"/>
                <w:lang w:val="en-US" w:eastAsia="zh-CN"/>
              </w:rPr>
              <w:t>9</w:t>
            </w:r>
          </w:p>
        </w:tc>
        <w:tc>
          <w:tcPr>
            <w:tcW w:w="3179" w:type="dxa"/>
            <w:tcBorders>
              <w:top w:val="single" w:color="auto" w:sz="4" w:space="0"/>
              <w:left w:val="single" w:color="auto" w:sz="4" w:space="0"/>
              <w:bottom w:val="single" w:color="auto" w:sz="4" w:space="0"/>
              <w:right w:val="single" w:color="auto" w:sz="4" w:space="0"/>
            </w:tcBorders>
            <w:vAlign w:val="center"/>
          </w:tcPr>
          <w:p w14:paraId="6FB4F325">
            <w:pPr>
              <w:widowControl/>
              <w:spacing w:line="400" w:lineRule="exact"/>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政府采购节能、环保产品汇总表</w:t>
            </w:r>
          </w:p>
        </w:tc>
        <w:tc>
          <w:tcPr>
            <w:tcW w:w="5669" w:type="dxa"/>
            <w:tcBorders>
              <w:top w:val="single" w:color="auto" w:sz="4" w:space="0"/>
              <w:left w:val="single" w:color="auto" w:sz="4" w:space="0"/>
              <w:bottom w:val="single" w:color="auto" w:sz="4" w:space="0"/>
              <w:right w:val="single" w:color="auto" w:sz="4" w:space="0"/>
            </w:tcBorders>
            <w:vAlign w:val="center"/>
          </w:tcPr>
          <w:p w14:paraId="1572A23A">
            <w:pPr>
              <w:spacing w:line="400" w:lineRule="exact"/>
              <w:rPr>
                <w:rStyle w:val="92"/>
                <w:rFonts w:hint="eastAsia" w:ascii="宋体" w:hAnsi="宋体" w:eastAsia="宋体" w:cs="宋体"/>
                <w:color w:val="auto"/>
                <w:sz w:val="21"/>
                <w:szCs w:val="21"/>
                <w:highlight w:val="none"/>
                <w:lang w:eastAsia="zh-CN"/>
              </w:rPr>
            </w:pPr>
            <w:r>
              <w:rPr>
                <w:rStyle w:val="92"/>
                <w:rFonts w:hint="eastAsia" w:ascii="宋体" w:hAnsi="宋体" w:eastAsia="宋体" w:cs="宋体"/>
                <w:color w:val="auto"/>
                <w:sz w:val="21"/>
                <w:szCs w:val="21"/>
                <w:highlight w:val="none"/>
                <w:lang w:eastAsia="zh-CN"/>
              </w:rPr>
              <w:t>投标产品属于政府采购国家强制节能或环保产品的</w:t>
            </w:r>
            <w:r>
              <w:rPr>
                <w:rStyle w:val="92"/>
                <w:rFonts w:hint="eastAsia" w:ascii="宋体" w:hAnsi="宋体" w:eastAsia="宋体" w:cs="宋体"/>
                <w:color w:val="auto"/>
                <w:sz w:val="21"/>
                <w:szCs w:val="21"/>
                <w:highlight w:val="none"/>
                <w:lang w:val="en-US" w:eastAsia="zh-CN"/>
              </w:rPr>
              <w:t>需填写本表</w:t>
            </w:r>
            <w:r>
              <w:rPr>
                <w:rFonts w:hint="eastAsia" w:ascii="宋体" w:hAnsi="宋体" w:eastAsia="宋体" w:cs="宋体"/>
                <w:color w:val="auto"/>
                <w:sz w:val="21"/>
                <w:szCs w:val="21"/>
                <w:highlight w:val="none"/>
                <w:lang w:eastAsia="zh-CN"/>
              </w:rPr>
              <w:t>。</w:t>
            </w:r>
          </w:p>
        </w:tc>
      </w:tr>
      <w:tr w14:paraId="49319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52" w:type="dxa"/>
            <w:tcBorders>
              <w:top w:val="single" w:color="auto" w:sz="4" w:space="0"/>
              <w:left w:val="single" w:color="auto" w:sz="4" w:space="0"/>
              <w:bottom w:val="single" w:color="auto" w:sz="4" w:space="0"/>
              <w:right w:val="single" w:color="auto" w:sz="4" w:space="0"/>
            </w:tcBorders>
            <w:vAlign w:val="top"/>
          </w:tcPr>
          <w:p w14:paraId="6230901C">
            <w:pPr>
              <w:widowControl/>
              <w:spacing w:line="40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3179" w:type="dxa"/>
            <w:tcBorders>
              <w:top w:val="single" w:color="auto" w:sz="4" w:space="0"/>
              <w:left w:val="single" w:color="auto" w:sz="4" w:space="0"/>
              <w:bottom w:val="single" w:color="auto" w:sz="4" w:space="0"/>
              <w:right w:val="single" w:color="auto" w:sz="4" w:space="0"/>
            </w:tcBorders>
            <w:vAlign w:val="top"/>
          </w:tcPr>
          <w:p w14:paraId="01454C97">
            <w:pPr>
              <w:widowControl/>
              <w:spacing w:line="40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其它材料</w:t>
            </w:r>
          </w:p>
        </w:tc>
        <w:tc>
          <w:tcPr>
            <w:tcW w:w="5669" w:type="dxa"/>
            <w:tcBorders>
              <w:top w:val="single" w:color="auto" w:sz="4" w:space="0"/>
              <w:left w:val="single" w:color="auto" w:sz="4" w:space="0"/>
              <w:bottom w:val="single" w:color="auto" w:sz="4" w:space="0"/>
              <w:right w:val="single" w:color="auto" w:sz="4" w:space="0"/>
            </w:tcBorders>
            <w:vAlign w:val="top"/>
          </w:tcPr>
          <w:p w14:paraId="1542D266">
            <w:pPr>
              <w:widowControl/>
              <w:spacing w:line="400" w:lineRule="exact"/>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符合招标文件的其它要求</w:t>
            </w:r>
          </w:p>
        </w:tc>
      </w:tr>
    </w:tbl>
    <w:p w14:paraId="2EE00B0E">
      <w:pPr>
        <w:widowControl/>
        <w:spacing w:line="40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对通过符合性审查的投标文件才能进行详细评审。</w:t>
      </w:r>
    </w:p>
    <w:p w14:paraId="227598DB">
      <w:pPr>
        <w:numPr>
          <w:ilvl w:val="0"/>
          <w:numId w:val="4"/>
        </w:num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详细评审：</w:t>
      </w:r>
    </w:p>
    <w:p w14:paraId="52843EA3">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项目采用综合评分法，总分为100分。综合评分法，是指投标文件满足招标文件全部实质性要求，且按照评审因素的量化指标评审得分最高的投标供应商为排名第一的中标候选人，并依此顺序确定1-3名中标候选人；</w:t>
      </w:r>
    </w:p>
    <w:p w14:paraId="253FC49B">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（2）评标委员会应当按照招标文件中规定的评标方法和标准，对符合性审查合格的投标文件进行商务和技术评估，综合比较与评价。</w:t>
      </w:r>
    </w:p>
    <w:p w14:paraId="61FA0E9C">
      <w:pPr>
        <w:tabs>
          <w:tab w:val="left" w:pos="1620"/>
        </w:tabs>
        <w:adjustRightInd w:val="0"/>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（3）使用综合评分法的采购项目，提供相同品牌产品且通过资格审查、符合性审查的不同投标人参加同一合同项下投标的，</w:t>
      </w:r>
      <w:r>
        <w:rPr>
          <w:rFonts w:hint="eastAsia" w:ascii="宋体" w:hAnsi="宋体" w:eastAsia="宋体" w:cs="宋体"/>
          <w:b/>
          <w:bCs/>
          <w:color w:val="auto"/>
          <w:kern w:val="0"/>
          <w:sz w:val="21"/>
          <w:szCs w:val="21"/>
          <w:highlight w:val="none"/>
        </w:rPr>
        <w:t>按一家投标人计算</w:t>
      </w:r>
      <w:r>
        <w:rPr>
          <w:rFonts w:hint="eastAsia" w:ascii="宋体" w:hAnsi="宋体" w:eastAsia="宋体" w:cs="宋体"/>
          <w:color w:val="auto"/>
          <w:kern w:val="0"/>
          <w:sz w:val="21"/>
          <w:szCs w:val="21"/>
          <w:highlight w:val="none"/>
        </w:rPr>
        <w:t>，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4033A8E">
      <w:pPr>
        <w:tabs>
          <w:tab w:val="left" w:pos="1620"/>
        </w:tabs>
        <w:adjustRightInd w:val="0"/>
        <w:spacing w:line="400" w:lineRule="exact"/>
        <w:ind w:firstLine="420" w:firstLineChars="200"/>
        <w:jc w:val="left"/>
        <w:textAlignment w:val="baseline"/>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非单一产品采购项目，采购人应当根据采购项目技术构成、产品价格比重等合理确定核心产品，并在招标文件中载明。多家投标人提供的核心产品品牌相同的，按以上规定处理。</w:t>
      </w:r>
    </w:p>
    <w:p w14:paraId="593C1DA1">
      <w:pPr>
        <w:tabs>
          <w:tab w:val="left" w:pos="1620"/>
        </w:tabs>
        <w:adjustRightInd w:val="0"/>
        <w:spacing w:line="400" w:lineRule="exact"/>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SA"/>
        </w:rPr>
        <w:t>符合专业条件的供应商或者对招标文件作实质响应的供应商不足三家的应予废标。</w:t>
      </w:r>
    </w:p>
    <w:p w14:paraId="5A4E175C">
      <w:pPr>
        <w:tabs>
          <w:tab w:val="left" w:pos="1620"/>
        </w:tabs>
        <w:adjustRightInd w:val="0"/>
        <w:spacing w:line="400" w:lineRule="exact"/>
        <w:ind w:firstLine="420" w:firstLineChars="20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kern w:val="0"/>
          <w:sz w:val="21"/>
          <w:szCs w:val="21"/>
          <w:highlight w:val="none"/>
        </w:rPr>
        <w:t>（4）评标结果按评审后得分由高到低顺序排列，得分相同的，按投标报价由低到高顺序排列。得分且投标报价相同的，按技术部分得分顺序排列。</w:t>
      </w:r>
    </w:p>
    <w:p w14:paraId="6AD4610F">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21FA9DFD">
      <w:pPr>
        <w:tabs>
          <w:tab w:val="left" w:pos="1620"/>
        </w:tabs>
        <w:adjustRightInd w:val="0"/>
        <w:spacing w:line="400" w:lineRule="exact"/>
        <w:ind w:firstLine="442" w:firstLineChars="200"/>
        <w:jc w:val="left"/>
        <w:textAlignment w:val="baseline"/>
        <w:outlineLvl w:val="1"/>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kern w:val="0"/>
          <w:sz w:val="22"/>
          <w:szCs w:val="22"/>
          <w:highlight w:val="none"/>
          <w:lang w:val="en-US" w:eastAsia="zh-CN"/>
        </w:rPr>
        <w:t>六</w:t>
      </w:r>
      <w:r>
        <w:rPr>
          <w:rFonts w:hint="eastAsia" w:ascii="宋体" w:hAnsi="宋体" w:eastAsia="宋体" w:cs="宋体"/>
          <w:b/>
          <w:bCs/>
          <w:color w:val="auto"/>
          <w:kern w:val="0"/>
          <w:sz w:val="22"/>
          <w:szCs w:val="22"/>
          <w:highlight w:val="none"/>
        </w:rPr>
        <w:t>）</w:t>
      </w:r>
      <w:bookmarkStart w:id="74" w:name="_Toc3398"/>
      <w:r>
        <w:rPr>
          <w:rFonts w:hint="eastAsia" w:ascii="宋体" w:hAnsi="宋体" w:eastAsia="宋体" w:cs="宋体"/>
          <w:b/>
          <w:bCs/>
          <w:color w:val="auto"/>
          <w:kern w:val="0"/>
          <w:sz w:val="22"/>
          <w:szCs w:val="22"/>
          <w:highlight w:val="none"/>
        </w:rPr>
        <w:t>评分办法表</w:t>
      </w:r>
      <w:bookmarkEnd w:id="74"/>
    </w:p>
    <w:tbl>
      <w:tblPr>
        <w:tblStyle w:val="40"/>
        <w:tblpPr w:leftFromText="180" w:rightFromText="180" w:vertAnchor="text" w:horzAnchor="page" w:tblpX="1230" w:tblpY="608"/>
        <w:tblOverlap w:val="never"/>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45"/>
        <w:gridCol w:w="1530"/>
        <w:gridCol w:w="5520"/>
      </w:tblGrid>
      <w:tr w14:paraId="1F53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9" w:type="dxa"/>
            <w:vAlign w:val="center"/>
          </w:tcPr>
          <w:p w14:paraId="0ED762E7">
            <w:pPr>
              <w:pageBreakBefore w:val="0"/>
              <w:kinsoku/>
              <w:wordWrap/>
              <w:overflowPunct/>
              <w:topLinePunct w:val="0"/>
              <w:autoSpaceDE/>
              <w:autoSpaceDN/>
              <w:bidi w:val="0"/>
              <w:snapToGrid/>
              <w:spacing w:line="400" w:lineRule="exact"/>
              <w:jc w:val="left"/>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kern w:val="0"/>
                <w:sz w:val="21"/>
                <w:szCs w:val="21"/>
                <w:highlight w:val="none"/>
              </w:rPr>
              <w:t>序号</w:t>
            </w:r>
          </w:p>
        </w:tc>
        <w:tc>
          <w:tcPr>
            <w:tcW w:w="1545" w:type="dxa"/>
            <w:vAlign w:val="center"/>
          </w:tcPr>
          <w:p w14:paraId="68AE8DC3">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评分因素</w:t>
            </w:r>
          </w:p>
        </w:tc>
        <w:tc>
          <w:tcPr>
            <w:tcW w:w="1530" w:type="dxa"/>
            <w:vAlign w:val="center"/>
          </w:tcPr>
          <w:p w14:paraId="226F7E93">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分值</w:t>
            </w:r>
          </w:p>
        </w:tc>
        <w:tc>
          <w:tcPr>
            <w:tcW w:w="5520" w:type="dxa"/>
            <w:vAlign w:val="center"/>
          </w:tcPr>
          <w:p w14:paraId="1EB9BFFF">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  分  标  准</w:t>
            </w:r>
          </w:p>
        </w:tc>
      </w:tr>
      <w:tr w14:paraId="1199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9" w:type="dxa"/>
            <w:vAlign w:val="center"/>
          </w:tcPr>
          <w:p w14:paraId="5B8BA3F3">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1545" w:type="dxa"/>
            <w:vAlign w:val="center"/>
          </w:tcPr>
          <w:p w14:paraId="23077BD1">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报价部分</w:t>
            </w:r>
          </w:p>
          <w:p w14:paraId="0CF52F4E">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1530" w:type="dxa"/>
            <w:vAlign w:val="center"/>
          </w:tcPr>
          <w:p w14:paraId="0F468216">
            <w:pPr>
              <w:keepNext/>
              <w:keepLines/>
              <w:pageBreakBefore w:val="0"/>
              <w:widowControl/>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w:t>
            </w:r>
          </w:p>
          <w:p w14:paraId="324243E7">
            <w:pPr>
              <w:keepNext/>
              <w:keepLines/>
              <w:pageBreakBefore w:val="0"/>
              <w:widowControl/>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5520" w:type="dxa"/>
            <w:vAlign w:val="center"/>
          </w:tcPr>
          <w:p w14:paraId="1C6A688E">
            <w:pPr>
              <w:keepNext/>
              <w:keepLines/>
              <w:pageBreakBefore w:val="0"/>
              <w:widowControl/>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1、价格分采用低价优先法，即通过资格和符合性审查且报价最低的报价为评标基准价，其价格得分为满分</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p w14:paraId="3A25AB99">
            <w:pPr>
              <w:keepNext/>
              <w:keepLines/>
              <w:pageBreakBefore w:val="0"/>
              <w:widowControl/>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2、其他投标人的价格分统一按照下列公式计算:</w:t>
            </w:r>
          </w:p>
          <w:p w14:paraId="26881C7C">
            <w:pPr>
              <w:keepNext/>
              <w:keepLines/>
              <w:pageBreakBefore w:val="0"/>
              <w:widowControl/>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投标报价得分= (评标基准价/投标报价)x</w:t>
            </w:r>
            <w:r>
              <w:rPr>
                <w:rFonts w:hint="eastAsia" w:ascii="宋体" w:hAnsi="宋体" w:eastAsia="宋体" w:cs="宋体"/>
                <w:color w:val="auto"/>
                <w:kern w:val="0"/>
                <w:sz w:val="21"/>
                <w:szCs w:val="21"/>
                <w:highlight w:val="none"/>
                <w:lang w:val="en-US" w:eastAsia="zh-CN"/>
              </w:rPr>
              <w:t>30</w:t>
            </w:r>
          </w:p>
          <w:p w14:paraId="0F1C3DF4">
            <w:pPr>
              <w:keepNext/>
              <w:keepLines/>
              <w:pageBreakBefore w:val="0"/>
              <w:widowControl/>
              <w:shd w:val="clear"/>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注：(1)价格分计算保留小数点后两位。（2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标委员会认为投标人的报价明显低于其他通过符合性审查投标人的报价，有可能影响产品质量或者不能诚信履约的，应当要求其在评标现场合理的时间内提供书面说明，并提交相关证明材料；投标人不能证明其报价合理的，评标委员会将认定该投标人以低于成本价投标，报价严重不平衡、不合理，是恶意不正当竞争行为，其投标将作无效投标处理。</w:t>
            </w:r>
            <w:r>
              <w:rPr>
                <w:rFonts w:hint="eastAsia" w:ascii="宋体" w:hAnsi="宋体" w:eastAsia="宋体" w:cs="宋体"/>
                <w:color w:val="auto"/>
                <w:kern w:val="0"/>
                <w:sz w:val="21"/>
                <w:szCs w:val="21"/>
                <w:highlight w:val="none"/>
              </w:rPr>
              <w:t>（3）本项目</w:t>
            </w:r>
            <w:r>
              <w:rPr>
                <w:rFonts w:hint="eastAsia" w:ascii="宋体" w:hAnsi="宋体" w:eastAsia="宋体" w:cs="宋体"/>
                <w:color w:val="auto"/>
                <w:kern w:val="0"/>
                <w:sz w:val="21"/>
                <w:szCs w:val="21"/>
                <w:highlight w:val="none"/>
                <w:lang w:val="en-US" w:eastAsia="zh-CN"/>
              </w:rPr>
              <w:t>为非专门面向中小企业采购项目</w:t>
            </w:r>
          </w:p>
          <w:p w14:paraId="16596381">
            <w:pPr>
              <w:keepNext/>
              <w:keepLines/>
              <w:pageBreakBefore w:val="0"/>
              <w:widowControl/>
              <w:shd w:val="clear"/>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评审时给予小型或微型企业20%的价格扣除，用扣除后的价格参与评审，大型或中型企业用评审报价参与评分</w:t>
            </w:r>
            <w:r>
              <w:rPr>
                <w:rFonts w:hint="eastAsia" w:ascii="宋体" w:hAnsi="宋体" w:eastAsia="宋体" w:cs="宋体"/>
                <w:color w:val="auto"/>
                <w:kern w:val="0"/>
                <w:sz w:val="21"/>
                <w:szCs w:val="21"/>
                <w:highlight w:val="none"/>
              </w:rPr>
              <w:t>。</w:t>
            </w:r>
          </w:p>
        </w:tc>
      </w:tr>
      <w:tr w14:paraId="7259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9" w:type="dxa"/>
            <w:vMerge w:val="restart"/>
            <w:vAlign w:val="center"/>
          </w:tcPr>
          <w:p w14:paraId="772CA306">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545" w:type="dxa"/>
            <w:vMerge w:val="restart"/>
            <w:vAlign w:val="center"/>
          </w:tcPr>
          <w:p w14:paraId="1ED35586">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部分</w:t>
            </w:r>
          </w:p>
          <w:p w14:paraId="066DF07C">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39</w:t>
            </w:r>
            <w:r>
              <w:rPr>
                <w:rFonts w:hint="eastAsia" w:ascii="宋体" w:hAnsi="宋体" w:eastAsia="宋体" w:cs="宋体"/>
                <w:color w:val="auto"/>
                <w:kern w:val="0"/>
                <w:sz w:val="21"/>
                <w:szCs w:val="21"/>
                <w:highlight w:val="none"/>
              </w:rPr>
              <w:t>分）</w:t>
            </w:r>
          </w:p>
        </w:tc>
        <w:tc>
          <w:tcPr>
            <w:tcW w:w="1530" w:type="dxa"/>
            <w:vAlign w:val="top"/>
          </w:tcPr>
          <w:p w14:paraId="54A243B6">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产品技术指标（</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lang w:eastAsia="zh-CN"/>
              </w:rPr>
              <w:t>）</w:t>
            </w:r>
          </w:p>
        </w:tc>
        <w:tc>
          <w:tcPr>
            <w:tcW w:w="5520" w:type="dxa"/>
            <w:vAlign w:val="top"/>
          </w:tcPr>
          <w:p w14:paraId="7A3B14E3">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根据投标人所投产品的技术性能指标（技术规格偏离表）进行评审，所投产品技术参数、性能及产品功能全部满足招标文件要求得</w:t>
            </w:r>
            <w:r>
              <w:rPr>
                <w:rFonts w:hint="eastAsia" w:ascii="宋体" w:hAnsi="宋体" w:eastAsia="宋体" w:cs="宋体"/>
                <w:color w:val="auto"/>
                <w:sz w:val="21"/>
                <w:szCs w:val="21"/>
                <w:highlight w:val="none"/>
                <w:lang w:val="en-US" w:eastAsia="zh-CN"/>
              </w:rPr>
              <w:t>20分，每有一项不满足扣0.5分，扣完为止。</w:t>
            </w:r>
          </w:p>
        </w:tc>
      </w:tr>
      <w:tr w14:paraId="6981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9" w:type="dxa"/>
            <w:vMerge w:val="continue"/>
            <w:vAlign w:val="center"/>
          </w:tcPr>
          <w:p w14:paraId="1EA1CC17">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rPr>
            </w:pPr>
          </w:p>
        </w:tc>
        <w:tc>
          <w:tcPr>
            <w:tcW w:w="1545" w:type="dxa"/>
            <w:vMerge w:val="continue"/>
            <w:vAlign w:val="center"/>
          </w:tcPr>
          <w:p w14:paraId="416D9DDF">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rPr>
            </w:pPr>
          </w:p>
        </w:tc>
        <w:tc>
          <w:tcPr>
            <w:tcW w:w="1530" w:type="dxa"/>
            <w:vAlign w:val="top"/>
          </w:tcPr>
          <w:p w14:paraId="0B8B7853">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p>
          <w:p w14:paraId="665E1271">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p>
          <w:p w14:paraId="73BF3013">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p>
          <w:p w14:paraId="6903D8ED">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p>
          <w:p w14:paraId="016BCFFF">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p>
          <w:p w14:paraId="51245532">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供货方案</w:t>
            </w:r>
          </w:p>
          <w:p w14:paraId="2B027123">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5520" w:type="dxa"/>
            <w:vAlign w:val="top"/>
          </w:tcPr>
          <w:p w14:paraId="49D708B0">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根据采购需求提出适合本项目的</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lang w:eastAsia="zh-CN"/>
              </w:rPr>
              <w:t>方案（包括但不限于产品介绍</w:t>
            </w:r>
            <w:r>
              <w:rPr>
                <w:rFonts w:hint="eastAsia" w:ascii="宋体" w:hAnsi="宋体" w:eastAsia="宋体" w:cs="宋体"/>
                <w:color w:val="auto"/>
                <w:sz w:val="21"/>
                <w:szCs w:val="21"/>
                <w:highlight w:val="none"/>
                <w:lang w:val="en-US" w:eastAsia="zh-CN"/>
              </w:rPr>
              <w:t>、交货时间和</w:t>
            </w:r>
            <w:r>
              <w:rPr>
                <w:rFonts w:hint="eastAsia" w:ascii="宋体" w:hAnsi="宋体" w:eastAsia="宋体" w:cs="宋体"/>
                <w:color w:val="auto"/>
                <w:sz w:val="21"/>
                <w:szCs w:val="21"/>
                <w:highlight w:val="none"/>
                <w:lang w:eastAsia="zh-CN"/>
              </w:rPr>
              <w:t>配送</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lang w:eastAsia="zh-CN"/>
              </w:rPr>
              <w:t>、检验方法、应急保障能力等），根据编制内容进行独立评审打分，具体评分细则如下：</w:t>
            </w:r>
          </w:p>
          <w:p w14:paraId="58F595C6">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第一档，能根据采购需求</w:t>
            </w:r>
            <w:r>
              <w:rPr>
                <w:rFonts w:hint="eastAsia" w:ascii="宋体" w:hAnsi="宋体" w:eastAsia="宋体" w:cs="宋体"/>
                <w:color w:val="auto"/>
                <w:sz w:val="21"/>
                <w:szCs w:val="21"/>
                <w:highlight w:val="none"/>
                <w:lang w:val="en-US" w:eastAsia="zh-CN"/>
              </w:rPr>
              <w:t>制定供货</w:t>
            </w:r>
            <w:r>
              <w:rPr>
                <w:rFonts w:hint="eastAsia" w:ascii="宋体" w:hAnsi="宋体" w:eastAsia="宋体" w:cs="宋体"/>
                <w:color w:val="auto"/>
                <w:sz w:val="21"/>
                <w:szCs w:val="21"/>
                <w:highlight w:val="none"/>
                <w:lang w:eastAsia="zh-CN"/>
              </w:rPr>
              <w:t>方案，其内容完整、思路清晰、安排合理、针对性强有利于实施的，得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14:paraId="0E5CBAFF">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第二档，未能根据采购需求</w:t>
            </w:r>
            <w:r>
              <w:rPr>
                <w:rFonts w:hint="eastAsia" w:ascii="宋体" w:hAnsi="宋体" w:eastAsia="宋体" w:cs="宋体"/>
                <w:color w:val="auto"/>
                <w:sz w:val="21"/>
                <w:szCs w:val="21"/>
                <w:highlight w:val="none"/>
                <w:lang w:val="en-US" w:eastAsia="zh-CN"/>
              </w:rPr>
              <w:t>制定供货</w:t>
            </w:r>
            <w:r>
              <w:rPr>
                <w:rFonts w:hint="eastAsia" w:ascii="宋体" w:hAnsi="宋体" w:eastAsia="宋体" w:cs="宋体"/>
                <w:color w:val="auto"/>
                <w:sz w:val="21"/>
                <w:szCs w:val="21"/>
                <w:highlight w:val="none"/>
                <w:lang w:eastAsia="zh-CN"/>
              </w:rPr>
              <w:t>方案，但</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lang w:eastAsia="zh-CN"/>
              </w:rPr>
              <w:t>方案具有普遍性，其内容完整、思路清晰、安排合理、利于实施的，得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分。</w:t>
            </w:r>
          </w:p>
          <w:p w14:paraId="271A4008">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第三档，</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lang w:eastAsia="zh-CN"/>
              </w:rPr>
              <w:t>方案内容编制简单，不存在缺项的，具备可行性得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42BF8214">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第四档，有</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lang w:eastAsia="zh-CN"/>
              </w:rPr>
              <w:t>方案，但其内容存在缺项的，得1分。</w:t>
            </w:r>
          </w:p>
          <w:p w14:paraId="6A7DC7C1">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第五档，未提供</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lang w:eastAsia="zh-CN"/>
              </w:rPr>
              <w:t>方案内容的不得分。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w:t>
            </w:r>
          </w:p>
        </w:tc>
      </w:tr>
      <w:tr w14:paraId="0771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9" w:type="dxa"/>
            <w:vMerge w:val="continue"/>
            <w:vAlign w:val="center"/>
          </w:tcPr>
          <w:p w14:paraId="395E1FA4">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rPr>
            </w:pPr>
          </w:p>
        </w:tc>
        <w:tc>
          <w:tcPr>
            <w:tcW w:w="1545" w:type="dxa"/>
            <w:vMerge w:val="continue"/>
            <w:vAlign w:val="center"/>
          </w:tcPr>
          <w:p w14:paraId="37382A89">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rPr>
            </w:pPr>
          </w:p>
        </w:tc>
        <w:tc>
          <w:tcPr>
            <w:tcW w:w="1530" w:type="dxa"/>
            <w:vAlign w:val="top"/>
          </w:tcPr>
          <w:p w14:paraId="1ED1A46D">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应急措施</w:t>
            </w:r>
          </w:p>
          <w:p w14:paraId="05214154">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9分</w:t>
            </w:r>
            <w:r>
              <w:rPr>
                <w:rFonts w:hint="eastAsia" w:ascii="宋体" w:hAnsi="宋体" w:eastAsia="宋体" w:cs="宋体"/>
                <w:color w:val="auto"/>
                <w:sz w:val="21"/>
                <w:szCs w:val="21"/>
                <w:highlight w:val="none"/>
                <w:lang w:eastAsia="zh-CN"/>
              </w:rPr>
              <w:t>）</w:t>
            </w:r>
          </w:p>
        </w:tc>
        <w:tc>
          <w:tcPr>
            <w:tcW w:w="5520" w:type="dxa"/>
            <w:vAlign w:val="top"/>
          </w:tcPr>
          <w:p w14:paraId="6CFB359E">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针对采购人项目实际情况制定相对应的应急处理等措施，</w:t>
            </w:r>
            <w:r>
              <w:rPr>
                <w:rFonts w:hint="eastAsia" w:ascii="宋体" w:hAnsi="宋体" w:eastAsia="宋体" w:cs="宋体"/>
                <w:color w:val="auto"/>
                <w:sz w:val="21"/>
                <w:szCs w:val="21"/>
                <w:highlight w:val="none"/>
                <w:lang w:eastAsia="zh-CN"/>
              </w:rPr>
              <w:t>根据编制内容进行独立评审打分，具体评分细则如下：</w:t>
            </w:r>
          </w:p>
          <w:p w14:paraId="0D3EEA52">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第一档：</w:t>
            </w:r>
            <w:r>
              <w:rPr>
                <w:rFonts w:hint="eastAsia" w:ascii="宋体" w:hAnsi="宋体" w:eastAsia="宋体" w:cs="宋体"/>
                <w:color w:val="auto"/>
                <w:sz w:val="21"/>
                <w:szCs w:val="21"/>
                <w:highlight w:val="none"/>
                <w:lang w:val="en-US" w:eastAsia="zh-CN"/>
              </w:rPr>
              <w:t>内容详实、条理清晰、有惩戒措施、针对性强且易于实施的得9分</w:t>
            </w:r>
            <w:r>
              <w:rPr>
                <w:rFonts w:hint="eastAsia" w:ascii="宋体" w:hAnsi="宋体" w:eastAsia="宋体" w:cs="宋体"/>
                <w:color w:val="auto"/>
                <w:sz w:val="21"/>
                <w:szCs w:val="21"/>
                <w:highlight w:val="none"/>
                <w:lang w:eastAsia="zh-CN"/>
              </w:rPr>
              <w:t>；</w:t>
            </w:r>
          </w:p>
          <w:p w14:paraId="6D033AEA">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第二档：</w:t>
            </w:r>
            <w:r>
              <w:rPr>
                <w:rFonts w:hint="eastAsia" w:ascii="宋体" w:hAnsi="宋体" w:eastAsia="宋体" w:cs="宋体"/>
                <w:color w:val="auto"/>
                <w:sz w:val="21"/>
                <w:szCs w:val="21"/>
                <w:highlight w:val="none"/>
                <w:lang w:val="en-US" w:eastAsia="zh-CN"/>
              </w:rPr>
              <w:t>方案内容不明确、未按照要求完成的惩戒措施，详实可行的得6分</w:t>
            </w:r>
            <w:r>
              <w:rPr>
                <w:rFonts w:hint="eastAsia" w:ascii="宋体" w:hAnsi="宋体" w:eastAsia="宋体" w:cs="宋体"/>
                <w:color w:val="auto"/>
                <w:sz w:val="21"/>
                <w:szCs w:val="21"/>
                <w:highlight w:val="none"/>
                <w:lang w:eastAsia="zh-CN"/>
              </w:rPr>
              <w:t>；</w:t>
            </w:r>
          </w:p>
          <w:p w14:paraId="399A0C32">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第三档：方案内容不全面，未提供惩戒措施的得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004761CA">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第四档：投标人没有提供上述内容或所提供上述内容不符合本项目要求的得0分。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w:t>
            </w:r>
          </w:p>
        </w:tc>
      </w:tr>
      <w:tr w14:paraId="61FB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9" w:type="dxa"/>
            <w:vMerge w:val="continue"/>
            <w:vAlign w:val="center"/>
          </w:tcPr>
          <w:p w14:paraId="37882380">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rPr>
            </w:pPr>
          </w:p>
        </w:tc>
        <w:tc>
          <w:tcPr>
            <w:tcW w:w="1545" w:type="dxa"/>
            <w:vMerge w:val="continue"/>
            <w:vAlign w:val="center"/>
          </w:tcPr>
          <w:p w14:paraId="330C48C9">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rPr>
            </w:pPr>
          </w:p>
        </w:tc>
        <w:tc>
          <w:tcPr>
            <w:tcW w:w="7050" w:type="dxa"/>
            <w:gridSpan w:val="2"/>
            <w:vAlign w:val="top"/>
          </w:tcPr>
          <w:p w14:paraId="7EC8EB52">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注：以上技术部分各项经评委综合评比打分</w:t>
            </w:r>
            <w:r>
              <w:rPr>
                <w:rFonts w:hint="eastAsia" w:ascii="宋体" w:hAnsi="宋体" w:eastAsia="宋体" w:cs="宋体"/>
                <w:color w:val="auto"/>
                <w:sz w:val="21"/>
                <w:szCs w:val="21"/>
                <w:highlight w:val="none"/>
                <w:lang w:eastAsia="zh-CN"/>
              </w:rPr>
              <w:t>。</w:t>
            </w:r>
          </w:p>
        </w:tc>
      </w:tr>
      <w:tr w14:paraId="3798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9" w:type="dxa"/>
            <w:vMerge w:val="restart"/>
            <w:vAlign w:val="center"/>
          </w:tcPr>
          <w:p w14:paraId="2C0BF500">
            <w:pPr>
              <w:keepNext/>
              <w:keepLines/>
              <w:pageBreakBefore w:val="0"/>
              <w:widowControl/>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0"/>
                <w:sz w:val="21"/>
                <w:szCs w:val="21"/>
                <w:highlight w:val="none"/>
                <w:lang w:val="en-US" w:eastAsia="zh-CN"/>
              </w:rPr>
            </w:pPr>
          </w:p>
        </w:tc>
        <w:tc>
          <w:tcPr>
            <w:tcW w:w="1545" w:type="dxa"/>
            <w:vMerge w:val="restart"/>
            <w:vAlign w:val="center"/>
          </w:tcPr>
          <w:p w14:paraId="3C6019ED">
            <w:pPr>
              <w:keepNext/>
              <w:keepLines/>
              <w:pageBreakBefore w:val="0"/>
              <w:widowControl/>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商务部分</w:t>
            </w:r>
          </w:p>
          <w:p w14:paraId="10965489">
            <w:pPr>
              <w:keepNext/>
              <w:keepLines/>
              <w:pageBreakBefore w:val="0"/>
              <w:widowControl/>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（31分）</w:t>
            </w:r>
          </w:p>
        </w:tc>
        <w:tc>
          <w:tcPr>
            <w:tcW w:w="1530" w:type="dxa"/>
            <w:vAlign w:val="center"/>
          </w:tcPr>
          <w:p w14:paraId="70C17282">
            <w:pPr>
              <w:keepNext/>
              <w:keepLines/>
              <w:pageBreakBefore w:val="0"/>
              <w:widowControl/>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货物供应的人员配置（</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5520" w:type="dxa"/>
            <w:vAlign w:val="top"/>
          </w:tcPr>
          <w:p w14:paraId="4B3394A0">
            <w:pPr>
              <w:keepNext w:val="0"/>
              <w:keepLines w:val="0"/>
              <w:pageBreakBefore w:val="0"/>
              <w:numPr>
                <w:ilvl w:val="0"/>
                <w:numId w:val="0"/>
              </w:numPr>
              <w:tabs>
                <w:tab w:val="left" w:pos="9000"/>
              </w:tabs>
              <w:kinsoku/>
              <w:wordWrap/>
              <w:overflowPunct/>
              <w:topLinePunct w:val="0"/>
              <w:bidi w:val="0"/>
              <w:adjustRightInd w:val="0"/>
              <w:spacing w:line="440" w:lineRule="exact"/>
              <w:ind w:left="0" w:leftChars="0"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根据供应商提供本项目</w:t>
            </w:r>
            <w:r>
              <w:rPr>
                <w:rFonts w:hint="eastAsia" w:ascii="宋体" w:hAnsi="宋体" w:eastAsia="宋体" w:cs="宋体"/>
                <w:color w:val="auto"/>
                <w:kern w:val="0"/>
                <w:sz w:val="21"/>
                <w:szCs w:val="21"/>
                <w:highlight w:val="none"/>
              </w:rPr>
              <w:t>货物供应的人员配置</w:t>
            </w:r>
            <w:r>
              <w:rPr>
                <w:rFonts w:hint="eastAsia" w:ascii="宋体" w:hAnsi="宋体" w:eastAsia="宋体" w:cs="宋体"/>
                <w:color w:val="auto"/>
                <w:sz w:val="21"/>
                <w:szCs w:val="21"/>
                <w:highlight w:val="none"/>
                <w:lang w:val="en-US" w:eastAsia="zh-CN"/>
              </w:rPr>
              <w:t>：人员分工及职责明确等，综合评比所有投标文件后打分：</w:t>
            </w:r>
          </w:p>
          <w:p w14:paraId="0D52241F">
            <w:pPr>
              <w:keepNext/>
              <w:keepLines/>
              <w:pageBreakBefore w:val="0"/>
              <w:widowControl/>
              <w:numPr>
                <w:ilvl w:val="0"/>
                <w:numId w:val="0"/>
              </w:numPr>
              <w:kinsoku/>
              <w:wordWrap/>
              <w:overflowPunct/>
              <w:topLinePunct w:val="0"/>
              <w:autoSpaceDE/>
              <w:autoSpaceDN/>
              <w:bidi w:val="0"/>
              <w:adjustRightInd w:val="0"/>
              <w:snapToGrid/>
              <w:spacing w:line="400" w:lineRule="exact"/>
              <w:ind w:left="0" w:leftChars="0" w:firstLine="0" w:firstLineChars="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第一档，能根据采购需求提供</w:t>
            </w:r>
            <w:r>
              <w:rPr>
                <w:rFonts w:hint="eastAsia" w:ascii="宋体" w:hAnsi="宋体" w:eastAsia="宋体" w:cs="宋体"/>
                <w:color w:val="auto"/>
                <w:kern w:val="0"/>
                <w:sz w:val="21"/>
                <w:szCs w:val="21"/>
                <w:highlight w:val="none"/>
              </w:rPr>
              <w:t>货物供应的人员配置</w:t>
            </w:r>
            <w:r>
              <w:rPr>
                <w:rFonts w:hint="eastAsia" w:ascii="宋体" w:hAnsi="宋体" w:eastAsia="宋体" w:cs="宋体"/>
                <w:color w:val="auto"/>
                <w:sz w:val="21"/>
                <w:szCs w:val="21"/>
                <w:highlight w:val="none"/>
                <w:lang w:val="en-US" w:eastAsia="zh-CN"/>
              </w:rPr>
              <w:t>，其内容完整、思路清晰、安排合理；能对本项目实施的可行性进行针对性编制的，得10分。</w:t>
            </w:r>
          </w:p>
          <w:p w14:paraId="0D835D63">
            <w:pPr>
              <w:keepNext/>
              <w:keepLines/>
              <w:pageBreakBefore w:val="0"/>
              <w:widowControl/>
              <w:numPr>
                <w:ilvl w:val="0"/>
                <w:numId w:val="0"/>
              </w:numPr>
              <w:kinsoku/>
              <w:wordWrap/>
              <w:overflowPunct/>
              <w:topLinePunct w:val="0"/>
              <w:autoSpaceDE/>
              <w:autoSpaceDN/>
              <w:bidi w:val="0"/>
              <w:adjustRightInd w:val="0"/>
              <w:snapToGrid/>
              <w:spacing w:line="400" w:lineRule="exact"/>
              <w:ind w:left="0" w:leftChars="0" w:firstLine="0" w:firstLineChars="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第二档，未能根据采购需求提供</w:t>
            </w:r>
            <w:r>
              <w:rPr>
                <w:rFonts w:hint="eastAsia" w:ascii="宋体" w:hAnsi="宋体" w:eastAsia="宋体" w:cs="宋体"/>
                <w:color w:val="auto"/>
                <w:kern w:val="0"/>
                <w:sz w:val="21"/>
                <w:szCs w:val="21"/>
                <w:highlight w:val="none"/>
              </w:rPr>
              <w:t>货物供应的人员配置</w:t>
            </w:r>
            <w:r>
              <w:rPr>
                <w:rFonts w:hint="eastAsia" w:ascii="宋体" w:hAnsi="宋体" w:eastAsia="宋体" w:cs="宋体"/>
                <w:color w:val="auto"/>
                <w:sz w:val="21"/>
                <w:szCs w:val="21"/>
                <w:highlight w:val="none"/>
                <w:lang w:val="en-US" w:eastAsia="zh-CN"/>
              </w:rPr>
              <w:t>，但编制普遍适用的</w:t>
            </w:r>
            <w:r>
              <w:rPr>
                <w:rFonts w:hint="eastAsia" w:ascii="宋体" w:hAnsi="宋体" w:eastAsia="宋体" w:cs="宋体"/>
                <w:color w:val="auto"/>
                <w:kern w:val="0"/>
                <w:sz w:val="21"/>
                <w:szCs w:val="21"/>
                <w:highlight w:val="none"/>
              </w:rPr>
              <w:t>货物供应的人员配置</w:t>
            </w:r>
            <w:r>
              <w:rPr>
                <w:rFonts w:hint="eastAsia" w:ascii="宋体" w:hAnsi="宋体" w:eastAsia="宋体" w:cs="宋体"/>
                <w:color w:val="auto"/>
                <w:sz w:val="21"/>
                <w:szCs w:val="21"/>
                <w:highlight w:val="none"/>
                <w:lang w:val="en-US" w:eastAsia="zh-CN"/>
              </w:rPr>
              <w:t>，其内容完整、思路清晰、安排合理；未对本项目实施的可行性进行针对性编制的，得7分。</w:t>
            </w:r>
          </w:p>
          <w:p w14:paraId="3EDDF791">
            <w:pPr>
              <w:keepNext/>
              <w:keepLines/>
              <w:pageBreakBefore w:val="0"/>
              <w:widowControl/>
              <w:numPr>
                <w:ilvl w:val="0"/>
                <w:numId w:val="0"/>
              </w:numPr>
              <w:kinsoku/>
              <w:wordWrap/>
              <w:overflowPunct/>
              <w:topLinePunct w:val="0"/>
              <w:autoSpaceDE/>
              <w:autoSpaceDN/>
              <w:bidi w:val="0"/>
              <w:adjustRightInd w:val="0"/>
              <w:snapToGrid/>
              <w:spacing w:line="400" w:lineRule="exact"/>
              <w:ind w:left="0" w:leftChars="0" w:firstLine="0" w:firstLineChars="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第三档，</w:t>
            </w:r>
            <w:r>
              <w:rPr>
                <w:rFonts w:hint="eastAsia" w:ascii="宋体" w:hAnsi="宋体" w:eastAsia="宋体" w:cs="宋体"/>
                <w:color w:val="auto"/>
                <w:kern w:val="0"/>
                <w:sz w:val="21"/>
                <w:szCs w:val="21"/>
                <w:highlight w:val="none"/>
              </w:rPr>
              <w:t>货物供应的人员配置</w:t>
            </w:r>
            <w:r>
              <w:rPr>
                <w:rFonts w:hint="eastAsia" w:ascii="宋体" w:hAnsi="宋体" w:eastAsia="宋体" w:cs="宋体"/>
                <w:color w:val="auto"/>
                <w:sz w:val="21"/>
                <w:szCs w:val="21"/>
                <w:highlight w:val="none"/>
                <w:lang w:val="en-US" w:eastAsia="zh-CN"/>
              </w:rPr>
              <w:t>内容编制简单，不存在缺项的，具备可行性得4分。</w:t>
            </w:r>
          </w:p>
          <w:p w14:paraId="69E452CF">
            <w:pPr>
              <w:keepNext/>
              <w:keepLines/>
              <w:pageBreakBefore w:val="0"/>
              <w:widowControl/>
              <w:numPr>
                <w:ilvl w:val="0"/>
                <w:numId w:val="0"/>
              </w:numPr>
              <w:kinsoku/>
              <w:wordWrap/>
              <w:overflowPunct/>
              <w:topLinePunct w:val="0"/>
              <w:autoSpaceDE/>
              <w:autoSpaceDN/>
              <w:bidi w:val="0"/>
              <w:adjustRightInd w:val="0"/>
              <w:snapToGrid/>
              <w:spacing w:line="400" w:lineRule="exact"/>
              <w:ind w:left="0" w:leftChars="0" w:firstLine="0" w:firstLineChars="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第四档，有</w:t>
            </w:r>
            <w:r>
              <w:rPr>
                <w:rFonts w:hint="eastAsia" w:ascii="宋体" w:hAnsi="宋体" w:eastAsia="宋体" w:cs="宋体"/>
                <w:color w:val="auto"/>
                <w:kern w:val="0"/>
                <w:sz w:val="21"/>
                <w:szCs w:val="21"/>
                <w:highlight w:val="none"/>
              </w:rPr>
              <w:t>货物供应的人员配置</w:t>
            </w:r>
            <w:r>
              <w:rPr>
                <w:rFonts w:hint="eastAsia" w:ascii="宋体" w:hAnsi="宋体" w:eastAsia="宋体" w:cs="宋体"/>
                <w:color w:val="auto"/>
                <w:sz w:val="21"/>
                <w:szCs w:val="21"/>
                <w:highlight w:val="none"/>
                <w:lang w:val="en-US" w:eastAsia="zh-CN"/>
              </w:rPr>
              <w:t>，但其内容存在缺项的，得1分。</w:t>
            </w:r>
          </w:p>
          <w:p w14:paraId="7946A39D">
            <w:pPr>
              <w:keepNext/>
              <w:keepLines/>
              <w:pageBreakBefore w:val="0"/>
              <w:widowControl/>
              <w:numPr>
                <w:ilvl w:val="0"/>
                <w:numId w:val="0"/>
              </w:numPr>
              <w:kinsoku/>
              <w:wordWrap/>
              <w:overflowPunct/>
              <w:topLinePunct w:val="0"/>
              <w:autoSpaceDE/>
              <w:autoSpaceDN/>
              <w:bidi w:val="0"/>
              <w:adjustRightInd w:val="0"/>
              <w:snapToGrid/>
              <w:spacing w:line="400" w:lineRule="exact"/>
              <w:ind w:left="0" w:leftChars="0" w:firstLine="0" w:firstLineChars="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第五档，未提供</w:t>
            </w:r>
            <w:r>
              <w:rPr>
                <w:rFonts w:hint="eastAsia" w:ascii="宋体" w:hAnsi="宋体" w:eastAsia="宋体" w:cs="宋体"/>
                <w:color w:val="auto"/>
                <w:kern w:val="0"/>
                <w:sz w:val="21"/>
                <w:szCs w:val="21"/>
                <w:highlight w:val="none"/>
              </w:rPr>
              <w:t>货物供应的人员配置</w:t>
            </w:r>
            <w:r>
              <w:rPr>
                <w:rFonts w:hint="eastAsia" w:ascii="宋体" w:hAnsi="宋体" w:eastAsia="宋体" w:cs="宋体"/>
                <w:color w:val="auto"/>
                <w:sz w:val="21"/>
                <w:szCs w:val="21"/>
                <w:highlight w:val="none"/>
                <w:lang w:val="en-US" w:eastAsia="zh-CN"/>
              </w:rPr>
              <w:t xml:space="preserve">内容的不得分。 </w:t>
            </w:r>
          </w:p>
        </w:tc>
      </w:tr>
      <w:tr w14:paraId="68AE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9" w:type="dxa"/>
            <w:vMerge w:val="continue"/>
            <w:vAlign w:val="center"/>
          </w:tcPr>
          <w:p w14:paraId="12041038">
            <w:pPr>
              <w:keepNext/>
              <w:keepLines/>
              <w:pageBreakBefore w:val="0"/>
              <w:widowControl/>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0"/>
                <w:sz w:val="21"/>
                <w:szCs w:val="21"/>
                <w:highlight w:val="none"/>
                <w:lang w:val="en-US" w:eastAsia="zh-CN"/>
              </w:rPr>
            </w:pPr>
          </w:p>
        </w:tc>
        <w:tc>
          <w:tcPr>
            <w:tcW w:w="1545" w:type="dxa"/>
            <w:vMerge w:val="continue"/>
            <w:vAlign w:val="center"/>
          </w:tcPr>
          <w:p w14:paraId="71738B00">
            <w:pPr>
              <w:keepNext/>
              <w:keepLines/>
              <w:pageBreakBefore w:val="0"/>
              <w:widowControl/>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0"/>
                <w:sz w:val="21"/>
                <w:szCs w:val="21"/>
                <w:highlight w:val="none"/>
              </w:rPr>
            </w:pPr>
          </w:p>
        </w:tc>
        <w:tc>
          <w:tcPr>
            <w:tcW w:w="1530" w:type="dxa"/>
            <w:vAlign w:val="top"/>
          </w:tcPr>
          <w:p w14:paraId="7F37FD5A">
            <w:pPr>
              <w:keepNext/>
              <w:keepLines/>
              <w:pageBreakBefore w:val="0"/>
              <w:widowControl/>
              <w:numPr>
                <w:ilvl w:val="0"/>
                <w:numId w:val="0"/>
              </w:numPr>
              <w:kinsoku/>
              <w:wordWrap/>
              <w:overflowPunct/>
              <w:topLinePunct w:val="0"/>
              <w:autoSpaceDE/>
              <w:autoSpaceDN/>
              <w:bidi w:val="0"/>
              <w:adjustRightInd w:val="0"/>
              <w:snapToGrid/>
              <w:spacing w:line="400" w:lineRule="exact"/>
              <w:ind w:left="0" w:leftChars="0" w:firstLine="0" w:firstLineChars="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质量保证措施（9分）</w:t>
            </w:r>
          </w:p>
        </w:tc>
        <w:tc>
          <w:tcPr>
            <w:tcW w:w="5520" w:type="dxa"/>
            <w:vAlign w:val="top"/>
          </w:tcPr>
          <w:p w14:paraId="769381AE">
            <w:pPr>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根据采购需求提出适合本项目的质量保证措施（包括但不限于质量目标、质量管理措施、质量问题处理方案等），根据编制内容进行独立评审打分，具体评分细则如下：</w:t>
            </w:r>
          </w:p>
          <w:p w14:paraId="55F77177">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第一档，能根据采购需求</w:t>
            </w:r>
            <w:r>
              <w:rPr>
                <w:rFonts w:hint="eastAsia" w:ascii="宋体" w:hAnsi="宋体" w:eastAsia="宋体" w:cs="宋体"/>
                <w:color w:val="auto"/>
                <w:sz w:val="21"/>
                <w:szCs w:val="21"/>
                <w:highlight w:val="none"/>
                <w:lang w:val="en-US" w:eastAsia="zh-CN"/>
              </w:rPr>
              <w:t>提出</w:t>
            </w:r>
            <w:r>
              <w:rPr>
                <w:rFonts w:hint="eastAsia" w:ascii="宋体" w:hAnsi="宋体" w:eastAsia="宋体" w:cs="宋体"/>
                <w:color w:val="auto"/>
                <w:kern w:val="0"/>
                <w:sz w:val="21"/>
                <w:szCs w:val="21"/>
                <w:highlight w:val="none"/>
                <w:lang w:val="en-US" w:eastAsia="zh-CN" w:bidi="ar-SA"/>
              </w:rPr>
              <w:t>质量保证措施</w:t>
            </w:r>
            <w:r>
              <w:rPr>
                <w:rFonts w:hint="eastAsia" w:ascii="宋体" w:hAnsi="宋体" w:eastAsia="宋体" w:cs="宋体"/>
                <w:color w:val="auto"/>
                <w:sz w:val="21"/>
                <w:szCs w:val="21"/>
                <w:highlight w:val="none"/>
                <w:lang w:eastAsia="zh-CN"/>
              </w:rPr>
              <w:t>，其内容完整、思路清晰、安排合理、针对性强有利于实施的，得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w:t>
            </w:r>
          </w:p>
          <w:p w14:paraId="1A3863D5">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第二档，未能根据采购需求</w:t>
            </w:r>
            <w:r>
              <w:rPr>
                <w:rFonts w:hint="eastAsia" w:ascii="宋体" w:hAnsi="宋体" w:eastAsia="宋体" w:cs="宋体"/>
                <w:color w:val="auto"/>
                <w:sz w:val="21"/>
                <w:szCs w:val="21"/>
                <w:highlight w:val="none"/>
                <w:lang w:val="en-US" w:eastAsia="zh-CN"/>
              </w:rPr>
              <w:t>提出</w:t>
            </w:r>
            <w:r>
              <w:rPr>
                <w:rFonts w:hint="eastAsia" w:ascii="宋体" w:hAnsi="宋体" w:eastAsia="宋体" w:cs="宋体"/>
                <w:color w:val="auto"/>
                <w:kern w:val="0"/>
                <w:sz w:val="21"/>
                <w:szCs w:val="21"/>
                <w:highlight w:val="none"/>
                <w:lang w:val="en-US" w:eastAsia="zh-CN" w:bidi="ar-SA"/>
              </w:rPr>
              <w:t>质量保证措施</w:t>
            </w:r>
            <w:r>
              <w:rPr>
                <w:rFonts w:hint="eastAsia" w:ascii="宋体" w:hAnsi="宋体" w:eastAsia="宋体" w:cs="宋体"/>
                <w:color w:val="auto"/>
                <w:sz w:val="21"/>
                <w:szCs w:val="21"/>
                <w:highlight w:val="none"/>
                <w:lang w:eastAsia="zh-CN"/>
              </w:rPr>
              <w:t>，但</w:t>
            </w:r>
            <w:r>
              <w:rPr>
                <w:rFonts w:hint="eastAsia" w:ascii="宋体" w:hAnsi="宋体" w:eastAsia="宋体" w:cs="宋体"/>
                <w:color w:val="auto"/>
                <w:kern w:val="0"/>
                <w:sz w:val="21"/>
                <w:szCs w:val="21"/>
                <w:highlight w:val="none"/>
                <w:lang w:val="en-US" w:eastAsia="zh-CN" w:bidi="ar-SA"/>
              </w:rPr>
              <w:t>质量保证措施</w:t>
            </w:r>
            <w:r>
              <w:rPr>
                <w:rFonts w:hint="eastAsia" w:ascii="宋体" w:hAnsi="宋体" w:eastAsia="宋体" w:cs="宋体"/>
                <w:color w:val="auto"/>
                <w:sz w:val="21"/>
                <w:szCs w:val="21"/>
                <w:highlight w:val="none"/>
                <w:lang w:eastAsia="zh-CN"/>
              </w:rPr>
              <w:t>具有普遍性，其内容完整、思路清晰、安排合理、利于实施的，得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5EFFAA38">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第三档，</w:t>
            </w:r>
            <w:r>
              <w:rPr>
                <w:rFonts w:hint="eastAsia" w:ascii="宋体" w:hAnsi="宋体" w:eastAsia="宋体" w:cs="宋体"/>
                <w:color w:val="auto"/>
                <w:kern w:val="0"/>
                <w:sz w:val="21"/>
                <w:szCs w:val="21"/>
                <w:highlight w:val="none"/>
                <w:lang w:val="en-US" w:eastAsia="zh-CN" w:bidi="ar-SA"/>
              </w:rPr>
              <w:t>质量保证措施</w:t>
            </w:r>
            <w:r>
              <w:rPr>
                <w:rFonts w:hint="eastAsia" w:ascii="宋体" w:hAnsi="宋体" w:eastAsia="宋体" w:cs="宋体"/>
                <w:color w:val="auto"/>
                <w:sz w:val="21"/>
                <w:szCs w:val="21"/>
                <w:highlight w:val="none"/>
                <w:lang w:eastAsia="zh-CN"/>
              </w:rPr>
              <w:t>内容编制简单，不存在缺项的，具备可行性得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6DCD7E5A">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第四档，有</w:t>
            </w:r>
            <w:r>
              <w:rPr>
                <w:rFonts w:hint="eastAsia" w:ascii="宋体" w:hAnsi="宋体" w:eastAsia="宋体" w:cs="宋体"/>
                <w:color w:val="auto"/>
                <w:kern w:val="0"/>
                <w:sz w:val="21"/>
                <w:szCs w:val="21"/>
                <w:highlight w:val="none"/>
                <w:lang w:val="en-US" w:eastAsia="zh-CN" w:bidi="ar-SA"/>
              </w:rPr>
              <w:t>质量保证措施</w:t>
            </w:r>
            <w:r>
              <w:rPr>
                <w:rFonts w:hint="eastAsia" w:ascii="宋体" w:hAnsi="宋体" w:eastAsia="宋体" w:cs="宋体"/>
                <w:color w:val="auto"/>
                <w:sz w:val="21"/>
                <w:szCs w:val="21"/>
                <w:highlight w:val="none"/>
                <w:lang w:eastAsia="zh-CN"/>
              </w:rPr>
              <w:t>，但其内容存在缺项的，得1分。</w:t>
            </w:r>
          </w:p>
          <w:p w14:paraId="71439512">
            <w:pPr>
              <w:keepNext/>
              <w:keepLines/>
              <w:pageBreakBefore w:val="0"/>
              <w:widowControl/>
              <w:numPr>
                <w:ilvl w:val="0"/>
                <w:numId w:val="0"/>
              </w:numPr>
              <w:kinsoku/>
              <w:wordWrap/>
              <w:overflowPunct/>
              <w:topLinePunct w:val="0"/>
              <w:autoSpaceDE/>
              <w:autoSpaceDN/>
              <w:bidi w:val="0"/>
              <w:adjustRightInd w:val="0"/>
              <w:snapToGrid/>
              <w:spacing w:line="400" w:lineRule="exact"/>
              <w:ind w:left="0" w:leftChars="0" w:firstLine="0" w:firstLineChars="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第五档，未提供</w:t>
            </w:r>
            <w:r>
              <w:rPr>
                <w:rFonts w:hint="eastAsia" w:ascii="宋体" w:hAnsi="宋体" w:eastAsia="宋体" w:cs="宋体"/>
                <w:color w:val="auto"/>
                <w:kern w:val="0"/>
                <w:sz w:val="21"/>
                <w:szCs w:val="21"/>
                <w:highlight w:val="none"/>
                <w:lang w:val="en-US" w:eastAsia="zh-CN" w:bidi="ar-SA"/>
              </w:rPr>
              <w:t>质量保证措施</w:t>
            </w:r>
            <w:r>
              <w:rPr>
                <w:rFonts w:hint="eastAsia" w:ascii="宋体" w:hAnsi="宋体" w:eastAsia="宋体" w:cs="宋体"/>
                <w:color w:val="auto"/>
                <w:sz w:val="21"/>
                <w:szCs w:val="21"/>
                <w:highlight w:val="none"/>
                <w:lang w:eastAsia="zh-CN"/>
              </w:rPr>
              <w:t>内容的不得分。</w:t>
            </w:r>
          </w:p>
        </w:tc>
      </w:tr>
      <w:tr w14:paraId="6075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vMerge w:val="continue"/>
            <w:vAlign w:val="center"/>
          </w:tcPr>
          <w:p w14:paraId="77A04E8A">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rPr>
            </w:pPr>
          </w:p>
        </w:tc>
        <w:tc>
          <w:tcPr>
            <w:tcW w:w="1545" w:type="dxa"/>
            <w:vMerge w:val="continue"/>
            <w:vAlign w:val="center"/>
          </w:tcPr>
          <w:p w14:paraId="335D8273">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0"/>
                <w:sz w:val="21"/>
                <w:szCs w:val="21"/>
                <w:highlight w:val="none"/>
              </w:rPr>
            </w:pPr>
          </w:p>
        </w:tc>
        <w:tc>
          <w:tcPr>
            <w:tcW w:w="1530" w:type="dxa"/>
            <w:vAlign w:val="center"/>
          </w:tcPr>
          <w:p w14:paraId="33DEC324">
            <w:pPr>
              <w:keepNext/>
              <w:keepLines/>
              <w:pageBreakBefore w:val="0"/>
              <w:widowControl/>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w:t>
            </w:r>
          </w:p>
          <w:p w14:paraId="1165AA58">
            <w:pPr>
              <w:keepNext/>
              <w:keepLines/>
              <w:pageBreakBefore w:val="0"/>
              <w:widowControl/>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tc>
        <w:tc>
          <w:tcPr>
            <w:tcW w:w="5520" w:type="dxa"/>
            <w:vAlign w:val="center"/>
          </w:tcPr>
          <w:p w14:paraId="3269A336">
            <w:pPr>
              <w:keepNext/>
              <w:keepLines/>
              <w:pageBreakBefore w:val="0"/>
              <w:widowControl/>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售后服务应考虑质保期内和质保期外，技术培训、售后服 务措施 (包括人员保障、响应时间、维修备品备件) ，内容全面完整，细节详尽，进行评比打分。</w:t>
            </w:r>
          </w:p>
          <w:p w14:paraId="77CB45BD">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第一档，能根据采购需求</w:t>
            </w:r>
            <w:r>
              <w:rPr>
                <w:rFonts w:hint="eastAsia" w:ascii="宋体" w:hAnsi="宋体" w:eastAsia="宋体" w:cs="宋体"/>
                <w:color w:val="auto"/>
                <w:sz w:val="21"/>
                <w:szCs w:val="21"/>
                <w:highlight w:val="none"/>
                <w:lang w:val="en-US" w:eastAsia="zh-CN"/>
              </w:rPr>
              <w:t>提出</w:t>
            </w:r>
            <w:r>
              <w:rPr>
                <w:rFonts w:hint="eastAsia" w:ascii="宋体" w:hAnsi="宋体" w:eastAsia="宋体" w:cs="宋体"/>
                <w:color w:val="auto"/>
                <w:kern w:val="0"/>
                <w:sz w:val="21"/>
                <w:szCs w:val="21"/>
                <w:highlight w:val="none"/>
              </w:rPr>
              <w:t>售后服务</w:t>
            </w:r>
            <w:r>
              <w:rPr>
                <w:rFonts w:hint="eastAsia" w:ascii="宋体" w:hAnsi="宋体" w:eastAsia="宋体" w:cs="宋体"/>
                <w:color w:val="auto"/>
                <w:kern w:val="0"/>
                <w:sz w:val="21"/>
                <w:szCs w:val="21"/>
                <w:highlight w:val="none"/>
                <w:lang w:val="en-US" w:eastAsia="zh-CN"/>
              </w:rPr>
              <w:t>方案</w:t>
            </w:r>
            <w:r>
              <w:rPr>
                <w:rFonts w:hint="eastAsia" w:ascii="宋体" w:hAnsi="宋体" w:eastAsia="宋体" w:cs="宋体"/>
                <w:color w:val="auto"/>
                <w:sz w:val="21"/>
                <w:szCs w:val="21"/>
                <w:highlight w:val="none"/>
                <w:lang w:eastAsia="zh-CN"/>
              </w:rPr>
              <w:t>，其内容完整、思路清晰、安排合理、针对性强有利于实施的，得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p>
          <w:p w14:paraId="4DE16ADA">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第二档，未能根据采购需求</w:t>
            </w:r>
            <w:r>
              <w:rPr>
                <w:rFonts w:hint="eastAsia" w:ascii="宋体" w:hAnsi="宋体" w:eastAsia="宋体" w:cs="宋体"/>
                <w:color w:val="auto"/>
                <w:sz w:val="21"/>
                <w:szCs w:val="21"/>
                <w:highlight w:val="none"/>
                <w:lang w:val="en-US" w:eastAsia="zh-CN"/>
              </w:rPr>
              <w:t>提出</w:t>
            </w:r>
            <w:r>
              <w:rPr>
                <w:rFonts w:hint="eastAsia" w:ascii="宋体" w:hAnsi="宋体" w:eastAsia="宋体" w:cs="宋体"/>
                <w:color w:val="auto"/>
                <w:kern w:val="0"/>
                <w:sz w:val="21"/>
                <w:szCs w:val="21"/>
                <w:highlight w:val="none"/>
              </w:rPr>
              <w:t>售后服务</w:t>
            </w:r>
            <w:r>
              <w:rPr>
                <w:rFonts w:hint="eastAsia" w:ascii="宋体" w:hAnsi="宋体" w:eastAsia="宋体" w:cs="宋体"/>
                <w:color w:val="auto"/>
                <w:kern w:val="0"/>
                <w:sz w:val="21"/>
                <w:szCs w:val="21"/>
                <w:highlight w:val="none"/>
                <w:lang w:val="en-US" w:eastAsia="zh-CN"/>
              </w:rPr>
              <w:t>方案</w:t>
            </w:r>
            <w:r>
              <w:rPr>
                <w:rFonts w:hint="eastAsia" w:ascii="宋体" w:hAnsi="宋体" w:eastAsia="宋体" w:cs="宋体"/>
                <w:color w:val="auto"/>
                <w:sz w:val="21"/>
                <w:szCs w:val="21"/>
                <w:highlight w:val="none"/>
                <w:lang w:eastAsia="zh-CN"/>
              </w:rPr>
              <w:t>，但</w:t>
            </w:r>
            <w:r>
              <w:rPr>
                <w:rFonts w:hint="eastAsia" w:ascii="宋体" w:hAnsi="宋体" w:eastAsia="宋体" w:cs="宋体"/>
                <w:color w:val="auto"/>
                <w:kern w:val="0"/>
                <w:sz w:val="21"/>
                <w:szCs w:val="21"/>
                <w:highlight w:val="none"/>
              </w:rPr>
              <w:t>售后服务</w:t>
            </w:r>
            <w:r>
              <w:rPr>
                <w:rFonts w:hint="eastAsia" w:ascii="宋体" w:hAnsi="宋体" w:eastAsia="宋体" w:cs="宋体"/>
                <w:color w:val="auto"/>
                <w:kern w:val="0"/>
                <w:sz w:val="21"/>
                <w:szCs w:val="21"/>
                <w:highlight w:val="none"/>
                <w:lang w:val="en-US" w:eastAsia="zh-CN"/>
              </w:rPr>
              <w:t>方案</w:t>
            </w:r>
            <w:r>
              <w:rPr>
                <w:rFonts w:hint="eastAsia" w:ascii="宋体" w:hAnsi="宋体" w:eastAsia="宋体" w:cs="宋体"/>
                <w:color w:val="auto"/>
                <w:sz w:val="21"/>
                <w:szCs w:val="21"/>
                <w:highlight w:val="none"/>
                <w:lang w:eastAsia="zh-CN"/>
              </w:rPr>
              <w:t>具有普遍性，其内容完整、思路清晰、安排合理、利于实施的，得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20E5426B">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第三档，</w:t>
            </w:r>
            <w:r>
              <w:rPr>
                <w:rFonts w:hint="eastAsia" w:ascii="宋体" w:hAnsi="宋体" w:eastAsia="宋体" w:cs="宋体"/>
                <w:color w:val="auto"/>
                <w:kern w:val="0"/>
                <w:sz w:val="21"/>
                <w:szCs w:val="21"/>
                <w:highlight w:val="none"/>
              </w:rPr>
              <w:t>售后服务</w:t>
            </w:r>
            <w:r>
              <w:rPr>
                <w:rFonts w:hint="eastAsia" w:ascii="宋体" w:hAnsi="宋体" w:eastAsia="宋体" w:cs="宋体"/>
                <w:color w:val="auto"/>
                <w:kern w:val="0"/>
                <w:sz w:val="21"/>
                <w:szCs w:val="21"/>
                <w:highlight w:val="none"/>
                <w:lang w:val="en-US" w:eastAsia="zh-CN"/>
              </w:rPr>
              <w:t>方案</w:t>
            </w:r>
            <w:r>
              <w:rPr>
                <w:rFonts w:hint="eastAsia" w:ascii="宋体" w:hAnsi="宋体" w:eastAsia="宋体" w:cs="宋体"/>
                <w:color w:val="auto"/>
                <w:sz w:val="21"/>
                <w:szCs w:val="21"/>
                <w:highlight w:val="none"/>
                <w:lang w:eastAsia="zh-CN"/>
              </w:rPr>
              <w:t>内容编制简单，不存在缺项的，具备可行性得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42B996B2">
            <w:pPr>
              <w:keepNext/>
              <w:keepLines/>
              <w:pageBreakBefore w:val="0"/>
              <w:widowControl/>
              <w:kinsoku/>
              <w:wordWrap/>
              <w:overflowPunct/>
              <w:topLinePunct w:val="0"/>
              <w:autoSpaceDE/>
              <w:autoSpaceDN/>
              <w:bidi w:val="0"/>
              <w:adjustRightInd w:val="0"/>
              <w:snapToGrid/>
              <w:spacing w:line="360" w:lineRule="exact"/>
              <w:ind w:left="0" w:leftChars="0" w:right="0" w:rightChars="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第四档，有</w:t>
            </w:r>
            <w:r>
              <w:rPr>
                <w:rFonts w:hint="eastAsia" w:ascii="宋体" w:hAnsi="宋体" w:eastAsia="宋体" w:cs="宋体"/>
                <w:color w:val="auto"/>
                <w:kern w:val="0"/>
                <w:sz w:val="21"/>
                <w:szCs w:val="21"/>
                <w:highlight w:val="none"/>
              </w:rPr>
              <w:t>售后服务</w:t>
            </w:r>
            <w:r>
              <w:rPr>
                <w:rFonts w:hint="eastAsia" w:ascii="宋体" w:hAnsi="宋体" w:eastAsia="宋体" w:cs="宋体"/>
                <w:color w:val="auto"/>
                <w:kern w:val="0"/>
                <w:sz w:val="21"/>
                <w:szCs w:val="21"/>
                <w:highlight w:val="none"/>
                <w:lang w:val="en-US" w:eastAsia="zh-CN"/>
              </w:rPr>
              <w:t>方案</w:t>
            </w:r>
            <w:r>
              <w:rPr>
                <w:rFonts w:hint="eastAsia" w:ascii="宋体" w:hAnsi="宋体" w:eastAsia="宋体" w:cs="宋体"/>
                <w:color w:val="auto"/>
                <w:sz w:val="21"/>
                <w:szCs w:val="21"/>
                <w:highlight w:val="none"/>
                <w:lang w:eastAsia="zh-CN"/>
              </w:rPr>
              <w:t>，但其内容存在缺项的，得1分。</w:t>
            </w:r>
          </w:p>
          <w:p w14:paraId="7338B643">
            <w:pPr>
              <w:keepNext/>
              <w:keepLines/>
              <w:pageBreakBefore w:val="0"/>
              <w:widowControl/>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第五档，未提供</w:t>
            </w:r>
            <w:r>
              <w:rPr>
                <w:rFonts w:hint="eastAsia" w:ascii="宋体" w:hAnsi="宋体" w:eastAsia="宋体" w:cs="宋体"/>
                <w:color w:val="auto"/>
                <w:kern w:val="0"/>
                <w:sz w:val="21"/>
                <w:szCs w:val="21"/>
                <w:highlight w:val="none"/>
              </w:rPr>
              <w:t>售后服务</w:t>
            </w:r>
            <w:r>
              <w:rPr>
                <w:rFonts w:hint="eastAsia" w:ascii="宋体" w:hAnsi="宋体" w:eastAsia="宋体" w:cs="宋体"/>
                <w:color w:val="auto"/>
                <w:kern w:val="0"/>
                <w:sz w:val="21"/>
                <w:szCs w:val="21"/>
                <w:highlight w:val="none"/>
                <w:lang w:val="en-US" w:eastAsia="zh-CN"/>
              </w:rPr>
              <w:t>方案</w:t>
            </w:r>
            <w:r>
              <w:rPr>
                <w:rFonts w:hint="eastAsia" w:ascii="宋体" w:hAnsi="宋体" w:eastAsia="宋体" w:cs="宋体"/>
                <w:color w:val="auto"/>
                <w:sz w:val="21"/>
                <w:szCs w:val="21"/>
                <w:highlight w:val="none"/>
                <w:lang w:eastAsia="zh-CN"/>
              </w:rPr>
              <w:t>内容的不得分。</w:t>
            </w:r>
          </w:p>
        </w:tc>
      </w:tr>
    </w:tbl>
    <w:p w14:paraId="5254526C">
      <w:pPr>
        <w:pStyle w:val="157"/>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14:paraId="1318C6A6">
      <w:pPr>
        <w:pStyle w:val="12"/>
        <w:spacing w:line="440" w:lineRule="exact"/>
        <w:ind w:firstLine="44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技术部分某一处技术参数存在细微负偏差或重大负偏差的认定，均由评标委员会一致认定，如评标委员会在技术部分某一处技术参数存在细微负偏差或重大负偏差的认定上出现意见分歧，由评标委员会进行表决，以少数服从多数原则确定，并作记录。</w:t>
      </w:r>
    </w:p>
    <w:p w14:paraId="66E214DD">
      <w:pPr>
        <w:pStyle w:val="12"/>
        <w:spacing w:line="44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2、在评标过程中，经评标委员会认定技术部分某一处技术参数确实具有唯一的指向性的，该项技术参数将不列入评价/评审标准。</w:t>
      </w:r>
    </w:p>
    <w:p w14:paraId="3B28F74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22BD4F51">
      <w:pPr>
        <w:pStyle w:val="4"/>
        <w:spacing w:line="400" w:lineRule="exact"/>
        <w:jc w:val="center"/>
        <w:rPr>
          <w:rFonts w:hint="eastAsia" w:ascii="宋体" w:hAnsi="宋体" w:eastAsia="宋体" w:cs="宋体"/>
          <w:color w:val="auto"/>
          <w:highlight w:val="none"/>
        </w:rPr>
      </w:pPr>
      <w:bookmarkStart w:id="75" w:name="_Toc225"/>
      <w:r>
        <w:rPr>
          <w:rFonts w:hint="eastAsia" w:ascii="宋体" w:hAnsi="宋体" w:eastAsia="宋体" w:cs="宋体"/>
          <w:color w:val="auto"/>
          <w:highlight w:val="none"/>
        </w:rPr>
        <w:t>第四章  合同书</w:t>
      </w:r>
      <w:bookmarkEnd w:id="72"/>
      <w:bookmarkEnd w:id="73"/>
      <w:bookmarkEnd w:id="75"/>
    </w:p>
    <w:p w14:paraId="3B05C20E">
      <w:pPr>
        <w:widowControl/>
        <w:jc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（此合同格式仅供参考，以实际签订合同为准）</w:t>
      </w:r>
    </w:p>
    <w:p w14:paraId="27170118">
      <w:pPr>
        <w:spacing w:line="440" w:lineRule="exact"/>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供方（中标供应商全称）：</w:t>
      </w:r>
      <w:r>
        <w:rPr>
          <w:rFonts w:hint="eastAsia" w:ascii="宋体" w:hAnsi="宋体" w:eastAsia="宋体" w:cs="宋体"/>
          <w:color w:val="auto"/>
          <w:sz w:val="21"/>
          <w:szCs w:val="21"/>
          <w:highlight w:val="none"/>
          <w:u w:val="single"/>
          <w:lang w:val="zh-CN"/>
        </w:rPr>
        <w:t xml:space="preserve">                        </w:t>
      </w:r>
    </w:p>
    <w:p w14:paraId="1EF5CFF9">
      <w:pPr>
        <w:spacing w:line="44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需方（采购人全称）：</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p w14:paraId="010CD8F7">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供方持采购代理机构签发的中标＼成交通知书，根据招标文件、供方的投标、报价等文件［项目编号：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］，按照《政府采购法》、《民法典》等有关法律、法规，供需双方协商一致，达成以下合同条款：</w:t>
      </w:r>
    </w:p>
    <w:p w14:paraId="723EC40C">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一、本合同名称：</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573A08E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二、本合同总价为人民币</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元（大写：</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1A1DF17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供货</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服务范围、技术规格、及分项价格如下：                     单位：人民币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元</w:t>
      </w:r>
    </w:p>
    <w:tbl>
      <w:tblPr>
        <w:tblStyle w:val="39"/>
        <w:tblW w:w="10196" w:type="dxa"/>
        <w:tblInd w:w="-461" w:type="dxa"/>
        <w:tblLayout w:type="fixed"/>
        <w:tblCellMar>
          <w:top w:w="0" w:type="dxa"/>
          <w:left w:w="108" w:type="dxa"/>
          <w:bottom w:w="0" w:type="dxa"/>
          <w:right w:w="108" w:type="dxa"/>
        </w:tblCellMar>
      </w:tblPr>
      <w:tblGrid>
        <w:gridCol w:w="639"/>
        <w:gridCol w:w="1256"/>
        <w:gridCol w:w="887"/>
        <w:gridCol w:w="1341"/>
        <w:gridCol w:w="1199"/>
        <w:gridCol w:w="1199"/>
        <w:gridCol w:w="1097"/>
        <w:gridCol w:w="780"/>
        <w:gridCol w:w="665"/>
        <w:gridCol w:w="1133"/>
      </w:tblGrid>
      <w:tr w14:paraId="100C75A9">
        <w:tblPrEx>
          <w:tblCellMar>
            <w:top w:w="0" w:type="dxa"/>
            <w:left w:w="108" w:type="dxa"/>
            <w:bottom w:w="0" w:type="dxa"/>
            <w:right w:w="108" w:type="dxa"/>
          </w:tblCellMar>
        </w:tblPrEx>
        <w:trPr>
          <w:trHeight w:val="868" w:hRule="atLeast"/>
        </w:trPr>
        <w:tc>
          <w:tcPr>
            <w:tcW w:w="639" w:type="dxa"/>
            <w:tcBorders>
              <w:top w:val="single" w:color="auto" w:sz="6" w:space="0"/>
              <w:left w:val="single" w:color="auto" w:sz="6" w:space="0"/>
              <w:bottom w:val="single" w:color="auto" w:sz="6" w:space="0"/>
              <w:right w:val="single" w:color="auto" w:sz="6" w:space="0"/>
            </w:tcBorders>
          </w:tcPr>
          <w:p w14:paraId="24D2248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56" w:type="dxa"/>
            <w:tcBorders>
              <w:top w:val="single" w:color="auto" w:sz="6" w:space="0"/>
              <w:left w:val="single" w:color="auto" w:sz="6" w:space="0"/>
              <w:bottom w:val="single" w:color="auto" w:sz="6" w:space="0"/>
              <w:right w:val="single" w:color="auto" w:sz="6" w:space="0"/>
            </w:tcBorders>
          </w:tcPr>
          <w:p w14:paraId="7479CC78">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货物名称</w:t>
            </w:r>
          </w:p>
        </w:tc>
        <w:tc>
          <w:tcPr>
            <w:tcW w:w="887" w:type="dxa"/>
            <w:tcBorders>
              <w:top w:val="single" w:color="auto" w:sz="6" w:space="0"/>
              <w:left w:val="single" w:color="auto" w:sz="6" w:space="0"/>
              <w:bottom w:val="single" w:color="auto" w:sz="6" w:space="0"/>
              <w:right w:val="single" w:color="auto" w:sz="6" w:space="0"/>
            </w:tcBorders>
          </w:tcPr>
          <w:p w14:paraId="3B2A03E2">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341" w:type="dxa"/>
            <w:tcBorders>
              <w:top w:val="single" w:color="auto" w:sz="6" w:space="0"/>
              <w:left w:val="single" w:color="auto" w:sz="6" w:space="0"/>
              <w:bottom w:val="single" w:color="auto" w:sz="6" w:space="0"/>
              <w:right w:val="single" w:color="auto" w:sz="6" w:space="0"/>
            </w:tcBorders>
          </w:tcPr>
          <w:p w14:paraId="7F61CC9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199" w:type="dxa"/>
            <w:tcBorders>
              <w:top w:val="single" w:color="auto" w:sz="6" w:space="0"/>
              <w:left w:val="single" w:color="auto" w:sz="6" w:space="0"/>
              <w:bottom w:val="single" w:color="auto" w:sz="6" w:space="0"/>
              <w:right w:val="single" w:color="auto" w:sz="6" w:space="0"/>
            </w:tcBorders>
          </w:tcPr>
          <w:p w14:paraId="59FA8B9C">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技术参数及要求</w:t>
            </w:r>
          </w:p>
        </w:tc>
        <w:tc>
          <w:tcPr>
            <w:tcW w:w="1199" w:type="dxa"/>
            <w:tcBorders>
              <w:top w:val="single" w:color="auto" w:sz="6" w:space="0"/>
              <w:left w:val="single" w:color="auto" w:sz="6" w:space="0"/>
              <w:bottom w:val="single" w:color="auto" w:sz="6" w:space="0"/>
              <w:right w:val="single" w:color="auto" w:sz="6" w:space="0"/>
            </w:tcBorders>
          </w:tcPr>
          <w:p w14:paraId="756B7B8A">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单位</w:t>
            </w:r>
          </w:p>
        </w:tc>
        <w:tc>
          <w:tcPr>
            <w:tcW w:w="1097" w:type="dxa"/>
            <w:tcBorders>
              <w:top w:val="single" w:color="auto" w:sz="6" w:space="0"/>
              <w:left w:val="single" w:color="auto" w:sz="6" w:space="0"/>
              <w:bottom w:val="single" w:color="auto" w:sz="6" w:space="0"/>
              <w:right w:val="single" w:color="auto" w:sz="6" w:space="0"/>
            </w:tcBorders>
          </w:tcPr>
          <w:p w14:paraId="106AE5A6">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单价</w:t>
            </w:r>
          </w:p>
        </w:tc>
        <w:tc>
          <w:tcPr>
            <w:tcW w:w="780" w:type="dxa"/>
            <w:tcBorders>
              <w:top w:val="single" w:color="auto" w:sz="6" w:space="0"/>
              <w:left w:val="single" w:color="auto" w:sz="6" w:space="0"/>
              <w:bottom w:val="single" w:color="auto" w:sz="6" w:space="0"/>
              <w:right w:val="single" w:color="auto" w:sz="6" w:space="0"/>
            </w:tcBorders>
          </w:tcPr>
          <w:p w14:paraId="463F01C4">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数量</w:t>
            </w:r>
          </w:p>
        </w:tc>
        <w:tc>
          <w:tcPr>
            <w:tcW w:w="665" w:type="dxa"/>
            <w:tcBorders>
              <w:top w:val="single" w:color="auto" w:sz="6" w:space="0"/>
              <w:left w:val="single" w:color="auto" w:sz="6" w:space="0"/>
              <w:bottom w:val="single" w:color="auto" w:sz="6" w:space="0"/>
              <w:right w:val="single" w:color="auto" w:sz="6" w:space="0"/>
            </w:tcBorders>
          </w:tcPr>
          <w:p w14:paraId="2135915E">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小</w:t>
            </w:r>
            <w:r>
              <w:rPr>
                <w:rFonts w:hint="eastAsia" w:ascii="宋体" w:hAnsi="宋体" w:eastAsia="宋体" w:cs="宋体"/>
                <w:color w:val="auto"/>
                <w:sz w:val="21"/>
                <w:szCs w:val="21"/>
                <w:highlight w:val="none"/>
                <w:lang w:val="zh-CN"/>
              </w:rPr>
              <w:t>计</w:t>
            </w:r>
          </w:p>
          <w:p w14:paraId="69E3249A">
            <w:pPr>
              <w:spacing w:line="440" w:lineRule="exact"/>
              <w:jc w:val="center"/>
              <w:rPr>
                <w:rFonts w:hint="eastAsia" w:ascii="宋体" w:hAnsi="宋体" w:eastAsia="宋体" w:cs="宋体"/>
                <w:color w:val="auto"/>
                <w:sz w:val="21"/>
                <w:szCs w:val="21"/>
                <w:highlight w:val="none"/>
                <w:lang w:val="zh-CN"/>
              </w:rPr>
            </w:pPr>
          </w:p>
        </w:tc>
        <w:tc>
          <w:tcPr>
            <w:tcW w:w="1133" w:type="dxa"/>
            <w:tcBorders>
              <w:top w:val="single" w:color="auto" w:sz="6" w:space="0"/>
              <w:left w:val="single" w:color="auto" w:sz="6" w:space="0"/>
              <w:bottom w:val="single" w:color="auto" w:sz="6" w:space="0"/>
              <w:right w:val="single" w:color="auto" w:sz="6" w:space="0"/>
            </w:tcBorders>
          </w:tcPr>
          <w:p w14:paraId="174E2D1E">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免费质保期</w:t>
            </w:r>
          </w:p>
        </w:tc>
      </w:tr>
      <w:tr w14:paraId="577C7FA4">
        <w:tblPrEx>
          <w:tblCellMar>
            <w:top w:w="0" w:type="dxa"/>
            <w:left w:w="108" w:type="dxa"/>
            <w:bottom w:w="0" w:type="dxa"/>
            <w:right w:w="108" w:type="dxa"/>
          </w:tblCellMar>
        </w:tblPrEx>
        <w:trPr>
          <w:trHeight w:val="463" w:hRule="atLeast"/>
        </w:trPr>
        <w:tc>
          <w:tcPr>
            <w:tcW w:w="639" w:type="dxa"/>
            <w:tcBorders>
              <w:top w:val="single" w:color="auto" w:sz="6" w:space="0"/>
              <w:left w:val="single" w:color="auto" w:sz="6" w:space="0"/>
              <w:bottom w:val="single" w:color="auto" w:sz="6" w:space="0"/>
              <w:right w:val="single" w:color="auto" w:sz="6" w:space="0"/>
            </w:tcBorders>
          </w:tcPr>
          <w:p w14:paraId="7B1C12BA">
            <w:pPr>
              <w:spacing w:line="440" w:lineRule="exact"/>
              <w:jc w:val="center"/>
              <w:rPr>
                <w:rFonts w:hint="eastAsia" w:ascii="宋体" w:hAnsi="宋体" w:eastAsia="宋体" w:cs="宋体"/>
                <w:color w:val="auto"/>
                <w:sz w:val="21"/>
                <w:szCs w:val="21"/>
                <w:highlight w:val="none"/>
              </w:rPr>
            </w:pPr>
          </w:p>
        </w:tc>
        <w:tc>
          <w:tcPr>
            <w:tcW w:w="1256" w:type="dxa"/>
            <w:tcBorders>
              <w:top w:val="single" w:color="auto" w:sz="6" w:space="0"/>
              <w:left w:val="single" w:color="auto" w:sz="6" w:space="0"/>
              <w:bottom w:val="single" w:color="auto" w:sz="6" w:space="0"/>
              <w:right w:val="single" w:color="auto" w:sz="6" w:space="0"/>
            </w:tcBorders>
          </w:tcPr>
          <w:p w14:paraId="77FFA37A">
            <w:pPr>
              <w:spacing w:line="440" w:lineRule="exact"/>
              <w:jc w:val="center"/>
              <w:rPr>
                <w:rFonts w:hint="eastAsia" w:ascii="宋体" w:hAnsi="宋体" w:eastAsia="宋体" w:cs="宋体"/>
                <w:color w:val="auto"/>
                <w:sz w:val="21"/>
                <w:szCs w:val="21"/>
                <w:highlight w:val="none"/>
              </w:rPr>
            </w:pPr>
          </w:p>
        </w:tc>
        <w:tc>
          <w:tcPr>
            <w:tcW w:w="887" w:type="dxa"/>
            <w:tcBorders>
              <w:top w:val="single" w:color="auto" w:sz="6" w:space="0"/>
              <w:left w:val="single" w:color="auto" w:sz="6" w:space="0"/>
              <w:bottom w:val="single" w:color="auto" w:sz="6" w:space="0"/>
              <w:right w:val="single" w:color="auto" w:sz="6" w:space="0"/>
            </w:tcBorders>
          </w:tcPr>
          <w:p w14:paraId="73A7A6A0">
            <w:pPr>
              <w:spacing w:line="440" w:lineRule="exact"/>
              <w:jc w:val="center"/>
              <w:rPr>
                <w:rFonts w:hint="eastAsia" w:ascii="宋体" w:hAnsi="宋体" w:eastAsia="宋体" w:cs="宋体"/>
                <w:color w:val="auto"/>
                <w:sz w:val="21"/>
                <w:szCs w:val="21"/>
                <w:highlight w:val="none"/>
              </w:rPr>
            </w:pPr>
          </w:p>
        </w:tc>
        <w:tc>
          <w:tcPr>
            <w:tcW w:w="1341" w:type="dxa"/>
            <w:tcBorders>
              <w:top w:val="single" w:color="auto" w:sz="6" w:space="0"/>
              <w:left w:val="single" w:color="auto" w:sz="6" w:space="0"/>
              <w:bottom w:val="single" w:color="auto" w:sz="6" w:space="0"/>
              <w:right w:val="single" w:color="auto" w:sz="6" w:space="0"/>
            </w:tcBorders>
          </w:tcPr>
          <w:p w14:paraId="74B6CC0E">
            <w:pPr>
              <w:spacing w:line="440" w:lineRule="exact"/>
              <w:jc w:val="center"/>
              <w:rPr>
                <w:rFonts w:hint="eastAsia" w:ascii="宋体" w:hAnsi="宋体" w:eastAsia="宋体" w:cs="宋体"/>
                <w:color w:val="auto"/>
                <w:sz w:val="21"/>
                <w:szCs w:val="21"/>
                <w:highlight w:val="none"/>
              </w:rPr>
            </w:pPr>
          </w:p>
        </w:tc>
        <w:tc>
          <w:tcPr>
            <w:tcW w:w="1199" w:type="dxa"/>
            <w:tcBorders>
              <w:top w:val="single" w:color="auto" w:sz="6" w:space="0"/>
              <w:left w:val="single" w:color="auto" w:sz="6" w:space="0"/>
              <w:bottom w:val="single" w:color="auto" w:sz="6" w:space="0"/>
              <w:right w:val="single" w:color="auto" w:sz="6" w:space="0"/>
            </w:tcBorders>
          </w:tcPr>
          <w:p w14:paraId="2F6A0DE1">
            <w:pPr>
              <w:spacing w:line="440" w:lineRule="exact"/>
              <w:jc w:val="center"/>
              <w:rPr>
                <w:rFonts w:hint="eastAsia" w:ascii="宋体" w:hAnsi="宋体" w:eastAsia="宋体" w:cs="宋体"/>
                <w:color w:val="auto"/>
                <w:sz w:val="21"/>
                <w:szCs w:val="21"/>
                <w:highlight w:val="none"/>
              </w:rPr>
            </w:pPr>
          </w:p>
        </w:tc>
        <w:tc>
          <w:tcPr>
            <w:tcW w:w="1199" w:type="dxa"/>
            <w:tcBorders>
              <w:top w:val="single" w:color="auto" w:sz="6" w:space="0"/>
              <w:left w:val="single" w:color="auto" w:sz="6" w:space="0"/>
              <w:bottom w:val="single" w:color="auto" w:sz="6" w:space="0"/>
              <w:right w:val="single" w:color="auto" w:sz="6" w:space="0"/>
            </w:tcBorders>
          </w:tcPr>
          <w:p w14:paraId="473C6D80">
            <w:pPr>
              <w:spacing w:line="440" w:lineRule="exact"/>
              <w:jc w:val="center"/>
              <w:rPr>
                <w:rFonts w:hint="eastAsia" w:ascii="宋体" w:hAnsi="宋体" w:eastAsia="宋体" w:cs="宋体"/>
                <w:color w:val="auto"/>
                <w:sz w:val="21"/>
                <w:szCs w:val="21"/>
                <w:highlight w:val="none"/>
              </w:rPr>
            </w:pPr>
          </w:p>
        </w:tc>
        <w:tc>
          <w:tcPr>
            <w:tcW w:w="1097" w:type="dxa"/>
            <w:tcBorders>
              <w:top w:val="single" w:color="auto" w:sz="6" w:space="0"/>
              <w:left w:val="single" w:color="auto" w:sz="6" w:space="0"/>
              <w:bottom w:val="single" w:color="auto" w:sz="6" w:space="0"/>
              <w:right w:val="single" w:color="auto" w:sz="6" w:space="0"/>
            </w:tcBorders>
          </w:tcPr>
          <w:p w14:paraId="6851C61D">
            <w:pPr>
              <w:spacing w:line="440" w:lineRule="exact"/>
              <w:jc w:val="center"/>
              <w:rPr>
                <w:rFonts w:hint="eastAsia" w:ascii="宋体" w:hAnsi="宋体" w:eastAsia="宋体" w:cs="宋体"/>
                <w:color w:val="auto"/>
                <w:sz w:val="21"/>
                <w:szCs w:val="21"/>
                <w:highlight w:val="none"/>
              </w:rPr>
            </w:pPr>
          </w:p>
        </w:tc>
        <w:tc>
          <w:tcPr>
            <w:tcW w:w="780" w:type="dxa"/>
            <w:tcBorders>
              <w:top w:val="single" w:color="auto" w:sz="6" w:space="0"/>
              <w:left w:val="single" w:color="auto" w:sz="6" w:space="0"/>
              <w:bottom w:val="single" w:color="auto" w:sz="6" w:space="0"/>
              <w:right w:val="single" w:color="auto" w:sz="6" w:space="0"/>
            </w:tcBorders>
          </w:tcPr>
          <w:p w14:paraId="0472A871">
            <w:pPr>
              <w:spacing w:line="440" w:lineRule="exact"/>
              <w:jc w:val="center"/>
              <w:rPr>
                <w:rFonts w:hint="eastAsia" w:ascii="宋体" w:hAnsi="宋体" w:eastAsia="宋体" w:cs="宋体"/>
                <w:color w:val="auto"/>
                <w:sz w:val="21"/>
                <w:szCs w:val="21"/>
                <w:highlight w:val="none"/>
              </w:rPr>
            </w:pPr>
          </w:p>
        </w:tc>
        <w:tc>
          <w:tcPr>
            <w:tcW w:w="665" w:type="dxa"/>
            <w:tcBorders>
              <w:top w:val="single" w:color="auto" w:sz="6" w:space="0"/>
              <w:left w:val="single" w:color="auto" w:sz="6" w:space="0"/>
              <w:bottom w:val="single" w:color="auto" w:sz="6" w:space="0"/>
              <w:right w:val="single" w:color="auto" w:sz="6" w:space="0"/>
            </w:tcBorders>
          </w:tcPr>
          <w:p w14:paraId="2FECB150">
            <w:pPr>
              <w:spacing w:line="440" w:lineRule="exact"/>
              <w:jc w:val="center"/>
              <w:rPr>
                <w:rFonts w:hint="eastAsia" w:ascii="宋体" w:hAnsi="宋体" w:eastAsia="宋体" w:cs="宋体"/>
                <w:color w:val="auto"/>
                <w:sz w:val="21"/>
                <w:szCs w:val="21"/>
                <w:highlight w:val="none"/>
              </w:rPr>
            </w:pPr>
          </w:p>
        </w:tc>
        <w:tc>
          <w:tcPr>
            <w:tcW w:w="1133" w:type="dxa"/>
            <w:tcBorders>
              <w:top w:val="single" w:color="auto" w:sz="6" w:space="0"/>
              <w:left w:val="single" w:color="auto" w:sz="6" w:space="0"/>
              <w:bottom w:val="single" w:color="auto" w:sz="6" w:space="0"/>
              <w:right w:val="single" w:color="auto" w:sz="6" w:space="0"/>
            </w:tcBorders>
          </w:tcPr>
          <w:p w14:paraId="648BF95D">
            <w:pPr>
              <w:spacing w:line="440" w:lineRule="exact"/>
              <w:jc w:val="center"/>
              <w:rPr>
                <w:rFonts w:hint="eastAsia" w:ascii="宋体" w:hAnsi="宋体" w:eastAsia="宋体" w:cs="宋体"/>
                <w:color w:val="auto"/>
                <w:sz w:val="21"/>
                <w:szCs w:val="21"/>
                <w:highlight w:val="none"/>
              </w:rPr>
            </w:pPr>
          </w:p>
        </w:tc>
      </w:tr>
      <w:tr w14:paraId="14725611">
        <w:tblPrEx>
          <w:tblCellMar>
            <w:top w:w="0" w:type="dxa"/>
            <w:left w:w="108" w:type="dxa"/>
            <w:bottom w:w="0" w:type="dxa"/>
            <w:right w:w="108" w:type="dxa"/>
          </w:tblCellMar>
        </w:tblPrEx>
        <w:trPr>
          <w:trHeight w:val="542" w:hRule="atLeast"/>
        </w:trPr>
        <w:tc>
          <w:tcPr>
            <w:tcW w:w="639" w:type="dxa"/>
            <w:tcBorders>
              <w:top w:val="single" w:color="auto" w:sz="6" w:space="0"/>
              <w:left w:val="single" w:color="auto" w:sz="6" w:space="0"/>
              <w:bottom w:val="single" w:color="auto" w:sz="6" w:space="0"/>
              <w:right w:val="single" w:color="auto" w:sz="6" w:space="0"/>
            </w:tcBorders>
          </w:tcPr>
          <w:p w14:paraId="5CAF2662">
            <w:pPr>
              <w:spacing w:line="440" w:lineRule="exact"/>
              <w:jc w:val="center"/>
              <w:rPr>
                <w:rFonts w:hint="eastAsia" w:ascii="宋体" w:hAnsi="宋体" w:eastAsia="宋体" w:cs="宋体"/>
                <w:color w:val="auto"/>
                <w:sz w:val="21"/>
                <w:szCs w:val="21"/>
                <w:highlight w:val="none"/>
              </w:rPr>
            </w:pPr>
          </w:p>
        </w:tc>
        <w:tc>
          <w:tcPr>
            <w:tcW w:w="1256" w:type="dxa"/>
            <w:tcBorders>
              <w:top w:val="single" w:color="auto" w:sz="6" w:space="0"/>
              <w:left w:val="single" w:color="auto" w:sz="6" w:space="0"/>
              <w:bottom w:val="single" w:color="auto" w:sz="6" w:space="0"/>
              <w:right w:val="single" w:color="auto" w:sz="6" w:space="0"/>
            </w:tcBorders>
          </w:tcPr>
          <w:p w14:paraId="357FEA48">
            <w:pPr>
              <w:spacing w:line="440" w:lineRule="exact"/>
              <w:jc w:val="center"/>
              <w:rPr>
                <w:rFonts w:hint="eastAsia" w:ascii="宋体" w:hAnsi="宋体" w:eastAsia="宋体" w:cs="宋体"/>
                <w:color w:val="auto"/>
                <w:sz w:val="21"/>
                <w:szCs w:val="21"/>
                <w:highlight w:val="none"/>
              </w:rPr>
            </w:pPr>
          </w:p>
        </w:tc>
        <w:tc>
          <w:tcPr>
            <w:tcW w:w="887" w:type="dxa"/>
            <w:tcBorders>
              <w:top w:val="single" w:color="auto" w:sz="6" w:space="0"/>
              <w:left w:val="single" w:color="auto" w:sz="6" w:space="0"/>
              <w:bottom w:val="single" w:color="auto" w:sz="6" w:space="0"/>
              <w:right w:val="single" w:color="auto" w:sz="6" w:space="0"/>
            </w:tcBorders>
          </w:tcPr>
          <w:p w14:paraId="382F09D9">
            <w:pPr>
              <w:spacing w:line="440" w:lineRule="exact"/>
              <w:jc w:val="center"/>
              <w:rPr>
                <w:rFonts w:hint="eastAsia" w:ascii="宋体" w:hAnsi="宋体" w:eastAsia="宋体" w:cs="宋体"/>
                <w:color w:val="auto"/>
                <w:sz w:val="21"/>
                <w:szCs w:val="21"/>
                <w:highlight w:val="none"/>
              </w:rPr>
            </w:pPr>
          </w:p>
        </w:tc>
        <w:tc>
          <w:tcPr>
            <w:tcW w:w="1341" w:type="dxa"/>
            <w:tcBorders>
              <w:top w:val="single" w:color="auto" w:sz="6" w:space="0"/>
              <w:left w:val="single" w:color="auto" w:sz="6" w:space="0"/>
              <w:bottom w:val="single" w:color="auto" w:sz="6" w:space="0"/>
              <w:right w:val="single" w:color="auto" w:sz="6" w:space="0"/>
            </w:tcBorders>
          </w:tcPr>
          <w:p w14:paraId="7595A33E">
            <w:pPr>
              <w:spacing w:line="440" w:lineRule="exact"/>
              <w:jc w:val="center"/>
              <w:rPr>
                <w:rFonts w:hint="eastAsia" w:ascii="宋体" w:hAnsi="宋体" w:eastAsia="宋体" w:cs="宋体"/>
                <w:color w:val="auto"/>
                <w:sz w:val="21"/>
                <w:szCs w:val="21"/>
                <w:highlight w:val="none"/>
              </w:rPr>
            </w:pPr>
          </w:p>
        </w:tc>
        <w:tc>
          <w:tcPr>
            <w:tcW w:w="1199" w:type="dxa"/>
            <w:tcBorders>
              <w:top w:val="single" w:color="auto" w:sz="6" w:space="0"/>
              <w:left w:val="single" w:color="auto" w:sz="6" w:space="0"/>
              <w:bottom w:val="single" w:color="auto" w:sz="6" w:space="0"/>
              <w:right w:val="single" w:color="auto" w:sz="6" w:space="0"/>
            </w:tcBorders>
          </w:tcPr>
          <w:p w14:paraId="718F130E">
            <w:pPr>
              <w:spacing w:line="440" w:lineRule="exact"/>
              <w:jc w:val="center"/>
              <w:rPr>
                <w:rFonts w:hint="eastAsia" w:ascii="宋体" w:hAnsi="宋体" w:eastAsia="宋体" w:cs="宋体"/>
                <w:color w:val="auto"/>
                <w:sz w:val="21"/>
                <w:szCs w:val="21"/>
                <w:highlight w:val="none"/>
              </w:rPr>
            </w:pPr>
          </w:p>
        </w:tc>
        <w:tc>
          <w:tcPr>
            <w:tcW w:w="1199" w:type="dxa"/>
            <w:tcBorders>
              <w:top w:val="single" w:color="auto" w:sz="6" w:space="0"/>
              <w:left w:val="single" w:color="auto" w:sz="6" w:space="0"/>
              <w:bottom w:val="single" w:color="auto" w:sz="6" w:space="0"/>
              <w:right w:val="single" w:color="auto" w:sz="6" w:space="0"/>
            </w:tcBorders>
          </w:tcPr>
          <w:p w14:paraId="2AB89D2D">
            <w:pPr>
              <w:spacing w:line="440" w:lineRule="exact"/>
              <w:jc w:val="center"/>
              <w:rPr>
                <w:rFonts w:hint="eastAsia" w:ascii="宋体" w:hAnsi="宋体" w:eastAsia="宋体" w:cs="宋体"/>
                <w:color w:val="auto"/>
                <w:sz w:val="21"/>
                <w:szCs w:val="21"/>
                <w:highlight w:val="none"/>
              </w:rPr>
            </w:pPr>
          </w:p>
        </w:tc>
        <w:tc>
          <w:tcPr>
            <w:tcW w:w="1097" w:type="dxa"/>
            <w:tcBorders>
              <w:top w:val="single" w:color="auto" w:sz="6" w:space="0"/>
              <w:left w:val="single" w:color="auto" w:sz="6" w:space="0"/>
              <w:bottom w:val="single" w:color="auto" w:sz="6" w:space="0"/>
              <w:right w:val="single" w:color="auto" w:sz="6" w:space="0"/>
            </w:tcBorders>
          </w:tcPr>
          <w:p w14:paraId="7A246A34">
            <w:pPr>
              <w:spacing w:line="440" w:lineRule="exact"/>
              <w:jc w:val="center"/>
              <w:rPr>
                <w:rFonts w:hint="eastAsia" w:ascii="宋体" w:hAnsi="宋体" w:eastAsia="宋体" w:cs="宋体"/>
                <w:color w:val="auto"/>
                <w:sz w:val="21"/>
                <w:szCs w:val="21"/>
                <w:highlight w:val="none"/>
              </w:rPr>
            </w:pPr>
          </w:p>
        </w:tc>
        <w:tc>
          <w:tcPr>
            <w:tcW w:w="780" w:type="dxa"/>
            <w:tcBorders>
              <w:top w:val="single" w:color="auto" w:sz="6" w:space="0"/>
              <w:left w:val="single" w:color="auto" w:sz="6" w:space="0"/>
              <w:bottom w:val="single" w:color="auto" w:sz="6" w:space="0"/>
              <w:right w:val="single" w:color="auto" w:sz="6" w:space="0"/>
            </w:tcBorders>
          </w:tcPr>
          <w:p w14:paraId="6E3763D0">
            <w:pPr>
              <w:spacing w:line="440" w:lineRule="exact"/>
              <w:jc w:val="center"/>
              <w:rPr>
                <w:rFonts w:hint="eastAsia" w:ascii="宋体" w:hAnsi="宋体" w:eastAsia="宋体" w:cs="宋体"/>
                <w:color w:val="auto"/>
                <w:sz w:val="21"/>
                <w:szCs w:val="21"/>
                <w:highlight w:val="none"/>
              </w:rPr>
            </w:pPr>
          </w:p>
        </w:tc>
        <w:tc>
          <w:tcPr>
            <w:tcW w:w="665" w:type="dxa"/>
            <w:tcBorders>
              <w:top w:val="single" w:color="auto" w:sz="6" w:space="0"/>
              <w:left w:val="single" w:color="auto" w:sz="6" w:space="0"/>
              <w:bottom w:val="single" w:color="auto" w:sz="6" w:space="0"/>
              <w:right w:val="single" w:color="auto" w:sz="6" w:space="0"/>
            </w:tcBorders>
          </w:tcPr>
          <w:p w14:paraId="3B6D6846">
            <w:pPr>
              <w:spacing w:line="440" w:lineRule="exact"/>
              <w:jc w:val="center"/>
              <w:rPr>
                <w:rFonts w:hint="eastAsia" w:ascii="宋体" w:hAnsi="宋体" w:eastAsia="宋体" w:cs="宋体"/>
                <w:color w:val="auto"/>
                <w:sz w:val="21"/>
                <w:szCs w:val="21"/>
                <w:highlight w:val="none"/>
              </w:rPr>
            </w:pPr>
          </w:p>
        </w:tc>
        <w:tc>
          <w:tcPr>
            <w:tcW w:w="1133" w:type="dxa"/>
            <w:tcBorders>
              <w:top w:val="single" w:color="auto" w:sz="6" w:space="0"/>
              <w:left w:val="single" w:color="auto" w:sz="6" w:space="0"/>
              <w:bottom w:val="single" w:color="auto" w:sz="6" w:space="0"/>
              <w:right w:val="single" w:color="auto" w:sz="6" w:space="0"/>
            </w:tcBorders>
          </w:tcPr>
          <w:p w14:paraId="5540E878">
            <w:pPr>
              <w:spacing w:line="440" w:lineRule="exact"/>
              <w:jc w:val="center"/>
              <w:rPr>
                <w:rFonts w:hint="eastAsia" w:ascii="宋体" w:hAnsi="宋体" w:eastAsia="宋体" w:cs="宋体"/>
                <w:color w:val="auto"/>
                <w:sz w:val="21"/>
                <w:szCs w:val="21"/>
                <w:highlight w:val="none"/>
              </w:rPr>
            </w:pPr>
          </w:p>
        </w:tc>
      </w:tr>
      <w:tr w14:paraId="534CB357">
        <w:tblPrEx>
          <w:tblCellMar>
            <w:top w:w="0" w:type="dxa"/>
            <w:left w:w="108" w:type="dxa"/>
            <w:bottom w:w="0" w:type="dxa"/>
            <w:right w:w="108" w:type="dxa"/>
          </w:tblCellMar>
        </w:tblPrEx>
        <w:trPr>
          <w:trHeight w:val="523" w:hRule="atLeast"/>
        </w:trPr>
        <w:tc>
          <w:tcPr>
            <w:tcW w:w="639" w:type="dxa"/>
            <w:tcBorders>
              <w:top w:val="single" w:color="auto" w:sz="6" w:space="0"/>
              <w:left w:val="single" w:color="auto" w:sz="6" w:space="0"/>
              <w:bottom w:val="single" w:color="auto" w:sz="6" w:space="0"/>
              <w:right w:val="single" w:color="auto" w:sz="6" w:space="0"/>
            </w:tcBorders>
          </w:tcPr>
          <w:p w14:paraId="7F031907">
            <w:pPr>
              <w:spacing w:line="440" w:lineRule="exact"/>
              <w:jc w:val="center"/>
              <w:rPr>
                <w:rFonts w:hint="eastAsia" w:ascii="宋体" w:hAnsi="宋体" w:eastAsia="宋体" w:cs="宋体"/>
                <w:color w:val="auto"/>
                <w:sz w:val="21"/>
                <w:szCs w:val="21"/>
                <w:highlight w:val="none"/>
              </w:rPr>
            </w:pPr>
          </w:p>
        </w:tc>
        <w:tc>
          <w:tcPr>
            <w:tcW w:w="1256" w:type="dxa"/>
            <w:tcBorders>
              <w:top w:val="single" w:color="auto" w:sz="6" w:space="0"/>
              <w:left w:val="single" w:color="auto" w:sz="6" w:space="0"/>
              <w:bottom w:val="single" w:color="auto" w:sz="6" w:space="0"/>
              <w:right w:val="single" w:color="auto" w:sz="6" w:space="0"/>
            </w:tcBorders>
          </w:tcPr>
          <w:p w14:paraId="182F9A72">
            <w:pPr>
              <w:spacing w:line="440" w:lineRule="exact"/>
              <w:jc w:val="center"/>
              <w:rPr>
                <w:rFonts w:hint="eastAsia" w:ascii="宋体" w:hAnsi="宋体" w:eastAsia="宋体" w:cs="宋体"/>
                <w:color w:val="auto"/>
                <w:sz w:val="21"/>
                <w:szCs w:val="21"/>
                <w:highlight w:val="none"/>
              </w:rPr>
            </w:pPr>
          </w:p>
        </w:tc>
        <w:tc>
          <w:tcPr>
            <w:tcW w:w="887" w:type="dxa"/>
            <w:tcBorders>
              <w:top w:val="single" w:color="auto" w:sz="6" w:space="0"/>
              <w:left w:val="single" w:color="auto" w:sz="6" w:space="0"/>
              <w:bottom w:val="single" w:color="auto" w:sz="6" w:space="0"/>
              <w:right w:val="single" w:color="auto" w:sz="6" w:space="0"/>
            </w:tcBorders>
          </w:tcPr>
          <w:p w14:paraId="3C49E101">
            <w:pPr>
              <w:spacing w:line="440" w:lineRule="exact"/>
              <w:jc w:val="center"/>
              <w:rPr>
                <w:rFonts w:hint="eastAsia" w:ascii="宋体" w:hAnsi="宋体" w:eastAsia="宋体" w:cs="宋体"/>
                <w:color w:val="auto"/>
                <w:sz w:val="21"/>
                <w:szCs w:val="21"/>
                <w:highlight w:val="none"/>
              </w:rPr>
            </w:pPr>
          </w:p>
        </w:tc>
        <w:tc>
          <w:tcPr>
            <w:tcW w:w="1341" w:type="dxa"/>
            <w:tcBorders>
              <w:top w:val="single" w:color="auto" w:sz="6" w:space="0"/>
              <w:left w:val="single" w:color="auto" w:sz="6" w:space="0"/>
              <w:bottom w:val="single" w:color="auto" w:sz="6" w:space="0"/>
              <w:right w:val="single" w:color="auto" w:sz="6" w:space="0"/>
            </w:tcBorders>
          </w:tcPr>
          <w:p w14:paraId="7DA321EA">
            <w:pPr>
              <w:spacing w:line="440" w:lineRule="exact"/>
              <w:jc w:val="center"/>
              <w:rPr>
                <w:rFonts w:hint="eastAsia" w:ascii="宋体" w:hAnsi="宋体" w:eastAsia="宋体" w:cs="宋体"/>
                <w:color w:val="auto"/>
                <w:sz w:val="21"/>
                <w:szCs w:val="21"/>
                <w:highlight w:val="none"/>
              </w:rPr>
            </w:pPr>
          </w:p>
        </w:tc>
        <w:tc>
          <w:tcPr>
            <w:tcW w:w="1199" w:type="dxa"/>
            <w:tcBorders>
              <w:top w:val="single" w:color="auto" w:sz="6" w:space="0"/>
              <w:left w:val="single" w:color="auto" w:sz="6" w:space="0"/>
              <w:bottom w:val="single" w:color="auto" w:sz="6" w:space="0"/>
              <w:right w:val="single" w:color="auto" w:sz="6" w:space="0"/>
            </w:tcBorders>
          </w:tcPr>
          <w:p w14:paraId="686BB44E">
            <w:pPr>
              <w:spacing w:line="440" w:lineRule="exact"/>
              <w:jc w:val="center"/>
              <w:rPr>
                <w:rFonts w:hint="eastAsia" w:ascii="宋体" w:hAnsi="宋体" w:eastAsia="宋体" w:cs="宋体"/>
                <w:color w:val="auto"/>
                <w:sz w:val="21"/>
                <w:szCs w:val="21"/>
                <w:highlight w:val="none"/>
              </w:rPr>
            </w:pPr>
          </w:p>
        </w:tc>
        <w:tc>
          <w:tcPr>
            <w:tcW w:w="1199" w:type="dxa"/>
            <w:tcBorders>
              <w:top w:val="single" w:color="auto" w:sz="6" w:space="0"/>
              <w:left w:val="single" w:color="auto" w:sz="6" w:space="0"/>
              <w:bottom w:val="single" w:color="auto" w:sz="6" w:space="0"/>
              <w:right w:val="single" w:color="auto" w:sz="6" w:space="0"/>
            </w:tcBorders>
          </w:tcPr>
          <w:p w14:paraId="13EEAD0F">
            <w:pPr>
              <w:spacing w:line="440" w:lineRule="exact"/>
              <w:jc w:val="center"/>
              <w:rPr>
                <w:rFonts w:hint="eastAsia" w:ascii="宋体" w:hAnsi="宋体" w:eastAsia="宋体" w:cs="宋体"/>
                <w:color w:val="auto"/>
                <w:sz w:val="21"/>
                <w:szCs w:val="21"/>
                <w:highlight w:val="none"/>
              </w:rPr>
            </w:pPr>
          </w:p>
        </w:tc>
        <w:tc>
          <w:tcPr>
            <w:tcW w:w="1097" w:type="dxa"/>
            <w:tcBorders>
              <w:top w:val="single" w:color="auto" w:sz="6" w:space="0"/>
              <w:left w:val="single" w:color="auto" w:sz="6" w:space="0"/>
              <w:bottom w:val="single" w:color="auto" w:sz="6" w:space="0"/>
              <w:right w:val="single" w:color="auto" w:sz="6" w:space="0"/>
            </w:tcBorders>
          </w:tcPr>
          <w:p w14:paraId="05F40810">
            <w:pPr>
              <w:spacing w:line="440" w:lineRule="exact"/>
              <w:jc w:val="center"/>
              <w:rPr>
                <w:rFonts w:hint="eastAsia" w:ascii="宋体" w:hAnsi="宋体" w:eastAsia="宋体" w:cs="宋体"/>
                <w:color w:val="auto"/>
                <w:sz w:val="21"/>
                <w:szCs w:val="21"/>
                <w:highlight w:val="none"/>
              </w:rPr>
            </w:pPr>
          </w:p>
        </w:tc>
        <w:tc>
          <w:tcPr>
            <w:tcW w:w="780" w:type="dxa"/>
            <w:tcBorders>
              <w:top w:val="single" w:color="auto" w:sz="6" w:space="0"/>
              <w:left w:val="single" w:color="auto" w:sz="6" w:space="0"/>
              <w:bottom w:val="single" w:color="auto" w:sz="6" w:space="0"/>
              <w:right w:val="single" w:color="auto" w:sz="6" w:space="0"/>
            </w:tcBorders>
          </w:tcPr>
          <w:p w14:paraId="5A0B4E3C">
            <w:pPr>
              <w:spacing w:line="440" w:lineRule="exact"/>
              <w:jc w:val="center"/>
              <w:rPr>
                <w:rFonts w:hint="eastAsia" w:ascii="宋体" w:hAnsi="宋体" w:eastAsia="宋体" w:cs="宋体"/>
                <w:color w:val="auto"/>
                <w:sz w:val="21"/>
                <w:szCs w:val="21"/>
                <w:highlight w:val="none"/>
              </w:rPr>
            </w:pPr>
          </w:p>
        </w:tc>
        <w:tc>
          <w:tcPr>
            <w:tcW w:w="665" w:type="dxa"/>
            <w:tcBorders>
              <w:top w:val="single" w:color="auto" w:sz="6" w:space="0"/>
              <w:left w:val="single" w:color="auto" w:sz="6" w:space="0"/>
              <w:bottom w:val="single" w:color="auto" w:sz="6" w:space="0"/>
              <w:right w:val="single" w:color="auto" w:sz="6" w:space="0"/>
            </w:tcBorders>
          </w:tcPr>
          <w:p w14:paraId="5C10C90C">
            <w:pPr>
              <w:spacing w:line="440" w:lineRule="exact"/>
              <w:jc w:val="center"/>
              <w:rPr>
                <w:rFonts w:hint="eastAsia" w:ascii="宋体" w:hAnsi="宋体" w:eastAsia="宋体" w:cs="宋体"/>
                <w:color w:val="auto"/>
                <w:sz w:val="21"/>
                <w:szCs w:val="21"/>
                <w:highlight w:val="none"/>
              </w:rPr>
            </w:pPr>
          </w:p>
        </w:tc>
        <w:tc>
          <w:tcPr>
            <w:tcW w:w="1133" w:type="dxa"/>
            <w:tcBorders>
              <w:top w:val="single" w:color="auto" w:sz="6" w:space="0"/>
              <w:left w:val="single" w:color="auto" w:sz="6" w:space="0"/>
              <w:bottom w:val="single" w:color="auto" w:sz="6" w:space="0"/>
              <w:right w:val="single" w:color="auto" w:sz="6" w:space="0"/>
            </w:tcBorders>
          </w:tcPr>
          <w:p w14:paraId="30E3981C">
            <w:pPr>
              <w:spacing w:line="440" w:lineRule="exact"/>
              <w:jc w:val="center"/>
              <w:rPr>
                <w:rFonts w:hint="eastAsia" w:ascii="宋体" w:hAnsi="宋体" w:eastAsia="宋体" w:cs="宋体"/>
                <w:color w:val="auto"/>
                <w:sz w:val="21"/>
                <w:szCs w:val="21"/>
                <w:highlight w:val="none"/>
              </w:rPr>
            </w:pPr>
          </w:p>
        </w:tc>
      </w:tr>
      <w:tr w14:paraId="4941E95B">
        <w:tblPrEx>
          <w:tblCellMar>
            <w:top w:w="0" w:type="dxa"/>
            <w:left w:w="108" w:type="dxa"/>
            <w:bottom w:w="0" w:type="dxa"/>
            <w:right w:w="108" w:type="dxa"/>
          </w:tblCellMar>
        </w:tblPrEx>
        <w:trPr>
          <w:trHeight w:val="330" w:hRule="atLeast"/>
        </w:trPr>
        <w:tc>
          <w:tcPr>
            <w:tcW w:w="2782" w:type="dxa"/>
            <w:gridSpan w:val="3"/>
            <w:vMerge w:val="restart"/>
            <w:tcBorders>
              <w:top w:val="single" w:color="auto" w:sz="6" w:space="0"/>
              <w:left w:val="single" w:color="auto" w:sz="6" w:space="0"/>
              <w:right w:val="single" w:color="auto" w:sz="6" w:space="0"/>
            </w:tcBorders>
            <w:vAlign w:val="center"/>
          </w:tcPr>
          <w:p w14:paraId="1AC97B50">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总价（人民币）</w:t>
            </w:r>
          </w:p>
        </w:tc>
        <w:tc>
          <w:tcPr>
            <w:tcW w:w="7414" w:type="dxa"/>
            <w:gridSpan w:val="7"/>
            <w:tcBorders>
              <w:top w:val="single" w:color="auto" w:sz="6" w:space="0"/>
              <w:left w:val="single" w:color="auto" w:sz="6" w:space="0"/>
              <w:bottom w:val="single" w:color="auto" w:sz="6" w:space="0"/>
              <w:right w:val="single" w:color="auto" w:sz="6" w:space="0"/>
            </w:tcBorders>
          </w:tcPr>
          <w:p w14:paraId="6F803619">
            <w:pPr>
              <w:spacing w:line="44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p>
        </w:tc>
      </w:tr>
      <w:tr w14:paraId="2AE8C202">
        <w:tblPrEx>
          <w:tblCellMar>
            <w:top w:w="0" w:type="dxa"/>
            <w:left w:w="108" w:type="dxa"/>
            <w:bottom w:w="0" w:type="dxa"/>
            <w:right w:w="108" w:type="dxa"/>
          </w:tblCellMar>
        </w:tblPrEx>
        <w:trPr>
          <w:trHeight w:val="374" w:hRule="atLeast"/>
        </w:trPr>
        <w:tc>
          <w:tcPr>
            <w:tcW w:w="2782" w:type="dxa"/>
            <w:gridSpan w:val="3"/>
            <w:vMerge w:val="continue"/>
            <w:tcBorders>
              <w:left w:val="single" w:color="auto" w:sz="6" w:space="0"/>
              <w:bottom w:val="single" w:color="auto" w:sz="6" w:space="0"/>
              <w:right w:val="single" w:color="auto" w:sz="6" w:space="0"/>
            </w:tcBorders>
          </w:tcPr>
          <w:p w14:paraId="67857526">
            <w:pPr>
              <w:spacing w:line="440" w:lineRule="exact"/>
              <w:jc w:val="center"/>
              <w:rPr>
                <w:rFonts w:hint="eastAsia" w:ascii="宋体" w:hAnsi="宋体" w:eastAsia="宋体" w:cs="宋体"/>
                <w:color w:val="auto"/>
                <w:sz w:val="21"/>
                <w:szCs w:val="21"/>
                <w:highlight w:val="none"/>
              </w:rPr>
            </w:pPr>
          </w:p>
        </w:tc>
        <w:tc>
          <w:tcPr>
            <w:tcW w:w="7414" w:type="dxa"/>
            <w:gridSpan w:val="7"/>
            <w:tcBorders>
              <w:top w:val="single" w:color="auto" w:sz="6" w:space="0"/>
              <w:left w:val="single" w:color="auto" w:sz="6" w:space="0"/>
              <w:bottom w:val="single" w:color="auto" w:sz="6" w:space="0"/>
              <w:right w:val="single" w:color="auto" w:sz="6" w:space="0"/>
            </w:tcBorders>
          </w:tcPr>
          <w:p w14:paraId="015216B0">
            <w:pPr>
              <w:spacing w:line="44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大写：</w:t>
            </w:r>
          </w:p>
        </w:tc>
      </w:tr>
    </w:tbl>
    <w:p w14:paraId="79B18D6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三、质量要求及供方对质量负责条件和期限：</w:t>
      </w:r>
    </w:p>
    <w:p w14:paraId="2B4283A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所供货物必须首先符合有关国家强制性规定、国家 (行业) 标准或相关法律法规要求 ，同时符合招标文件规定的质量要求。供方应提供全新未拆封产品 (包括零部件 、附件 、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w:t>
      </w:r>
    </w:p>
    <w:p w14:paraId="0BB5E31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四、合同履行地点及进度：合同生效</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如因项目暂未满足供货条件，合同供货开始时间由需方确定，</w:t>
      </w:r>
      <w:r>
        <w:rPr>
          <w:rFonts w:hint="eastAsia" w:ascii="宋体" w:hAnsi="宋体" w:eastAsia="宋体" w:cs="宋体"/>
          <w:color w:val="auto"/>
          <w:sz w:val="21"/>
          <w:szCs w:val="21"/>
          <w:highlight w:val="none"/>
        </w:rPr>
        <w:t>供方应于</w:t>
      </w:r>
      <w:r>
        <w:rPr>
          <w:rFonts w:hint="eastAsia" w:ascii="宋体" w:hAnsi="宋体" w:eastAsia="宋体" w:cs="宋体"/>
          <w:color w:val="auto"/>
          <w:sz w:val="21"/>
          <w:szCs w:val="21"/>
          <w:highlight w:val="none"/>
          <w:lang w:val="en-US" w:eastAsia="zh-CN"/>
        </w:rPr>
        <w:t>需方要求供货后，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日后</w:t>
      </w:r>
      <w:r>
        <w:rPr>
          <w:rFonts w:hint="eastAsia" w:ascii="宋体" w:hAnsi="宋体" w:eastAsia="宋体" w:cs="宋体"/>
          <w:color w:val="auto"/>
          <w:sz w:val="21"/>
          <w:szCs w:val="21"/>
          <w:highlight w:val="none"/>
        </w:rPr>
        <w:t>按需方要求在（需方指定的地点）完成本项目的交货、安装、调试 (或施工)。货物运送的费用由供方负责。货物应运送到达需方指定的地点。</w:t>
      </w:r>
    </w:p>
    <w:p w14:paraId="103B908F">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五、验收要求。</w:t>
      </w:r>
    </w:p>
    <w:p w14:paraId="22DDD731">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在供方按承诺时间将货物送达指定地点后，需方成立验收工作组，按照招标文件规定、中标供应商投标文件承诺及国家有关规定认真组织验收工作。全部供货完毕验收合格后10日内，需方出具《封丘县政府采购验收报告》。</w:t>
      </w:r>
    </w:p>
    <w:p w14:paraId="387CBF93">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六、付款程序、方式及期限。</w:t>
      </w:r>
    </w:p>
    <w:p w14:paraId="61B0514F">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1、供方开具以需方单位名称为抬头的发票。</w:t>
      </w:r>
    </w:p>
    <w:p w14:paraId="43B49EAF">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48D152">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七、履约保证金：免收。</w:t>
      </w:r>
    </w:p>
    <w:p w14:paraId="4268E661">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八、违约责任</w:t>
      </w:r>
    </w:p>
    <w:p w14:paraId="02B98FBF">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供方所交付的货物品种、型号、规格、质量不符合国家规定及合同要求的，或者供方不能交付货物的，供方应向需方支付合同金额总值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％的违约金，需方有权解除合同，并要求赔偿损失。</w:t>
      </w:r>
    </w:p>
    <w:p w14:paraId="4B3AF81C">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需方无正当理由拒收货物、拒付货款，需方应向供方偿付拒收拒付部分货物款总额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违约金。</w:t>
      </w:r>
    </w:p>
    <w:p w14:paraId="37AF0B0C">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九、供需双方应严格遵守招标文件要求，如有违反，按招标文件的规定处理。</w:t>
      </w:r>
    </w:p>
    <w:p w14:paraId="36DED6B1">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十、因货物的质量问题发生争议，由封丘县法定的质量检测机构进行质量检测或鉴定。</w:t>
      </w:r>
    </w:p>
    <w:p w14:paraId="158A94B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十一、项目招标文件及其修改和澄清及供方招标文件、供方在招标中的有关承诺及声明均为本合同的组成部分。</w:t>
      </w:r>
    </w:p>
    <w:p w14:paraId="51142702">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十二、本合同签订和履行使用中华人民共和国法律，因履行合同发生的争议，由供需双方友好协商解决，如协商不成的，任何一方均可向签订合同地人民法院提起诉讼。</w:t>
      </w:r>
    </w:p>
    <w:p w14:paraId="0BF5318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十三、本合同未尽事宜，供需双方可签订补充协议，与本合同具有同等法律效力，但不能违反招标文件及供方的投标或报价文件所规定的实质性条款。</w:t>
      </w:r>
    </w:p>
    <w:p w14:paraId="04F4A72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十四、合同生效、备案</w:t>
      </w:r>
      <w:r>
        <w:rPr>
          <w:rFonts w:hint="eastAsia" w:ascii="宋体" w:hAnsi="宋体" w:eastAsia="宋体" w:cs="宋体"/>
          <w:color w:val="auto"/>
          <w:sz w:val="21"/>
          <w:szCs w:val="21"/>
          <w:highlight w:val="none"/>
          <w:lang w:eastAsia="zh-CN"/>
        </w:rPr>
        <w:t>及其他</w:t>
      </w:r>
    </w:p>
    <w:p w14:paraId="2438E7DC">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1、本合同经双方代表签字并加盖公章后生效。</w:t>
      </w:r>
    </w:p>
    <w:p w14:paraId="4ABB9CD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2、需方应当</w:t>
      </w:r>
      <w:r>
        <w:rPr>
          <w:rFonts w:hint="eastAsia" w:ascii="宋体" w:hAnsi="宋体" w:eastAsia="宋体" w:cs="宋体"/>
          <w:color w:val="auto"/>
          <w:sz w:val="21"/>
          <w:szCs w:val="21"/>
          <w:highlight w:val="none"/>
          <w:lang w:val="en-US" w:eastAsia="zh-CN"/>
        </w:rPr>
        <w:t>按财政部门要求在</w:t>
      </w:r>
      <w:r>
        <w:rPr>
          <w:rFonts w:hint="eastAsia" w:ascii="宋体" w:hAnsi="宋体" w:eastAsia="宋体" w:cs="宋体"/>
          <w:color w:val="auto"/>
          <w:sz w:val="21"/>
          <w:szCs w:val="21"/>
          <w:highlight w:val="none"/>
        </w:rPr>
        <w:t>合同或补充合同签订</w:t>
      </w:r>
      <w:r>
        <w:rPr>
          <w:rFonts w:hint="eastAsia" w:ascii="宋体" w:hAnsi="宋体" w:eastAsia="宋体" w:cs="宋体"/>
          <w:color w:val="auto"/>
          <w:sz w:val="21"/>
          <w:szCs w:val="21"/>
          <w:highlight w:val="none"/>
          <w:lang w:val="en-US" w:eastAsia="zh-CN"/>
        </w:rPr>
        <w:t>后及时提交合同备案</w:t>
      </w:r>
      <w:r>
        <w:rPr>
          <w:rFonts w:hint="eastAsia" w:ascii="宋体" w:hAnsi="宋体" w:eastAsia="宋体" w:cs="宋体"/>
          <w:color w:val="auto"/>
          <w:sz w:val="21"/>
          <w:szCs w:val="21"/>
          <w:highlight w:val="none"/>
        </w:rPr>
        <w:t>。</w:t>
      </w:r>
    </w:p>
    <w:p w14:paraId="33A8F61F">
      <w:pPr>
        <w:spacing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3、本合同一式四份，需双方各持两份</w:t>
      </w:r>
      <w:r>
        <w:rPr>
          <w:rFonts w:hint="eastAsia" w:ascii="宋体" w:hAnsi="宋体" w:eastAsia="宋体" w:cs="宋体"/>
          <w:color w:val="auto"/>
          <w:sz w:val="21"/>
          <w:szCs w:val="21"/>
          <w:highlight w:val="none"/>
          <w:lang w:eastAsia="zh-CN"/>
        </w:rPr>
        <w:t>。</w:t>
      </w:r>
    </w:p>
    <w:p w14:paraId="362D714B">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供方（公章）：                            需方（公章）：</w:t>
      </w:r>
    </w:p>
    <w:p w14:paraId="2296E1E3">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203BEA45">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法定代表人或委托代理人（签字）：          法定代表人或委托代理人（签字）：</w:t>
      </w:r>
    </w:p>
    <w:p w14:paraId="3029754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628529E4">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664F4B45">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                                    账号：</w:t>
      </w:r>
    </w:p>
    <w:p w14:paraId="619377C8">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签约时间：   年  月  日</w:t>
      </w:r>
    </w:p>
    <w:p w14:paraId="5A4345A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签约地址：需方所在地</w:t>
      </w:r>
    </w:p>
    <w:p w14:paraId="1272734D">
      <w:pPr>
        <w:pStyle w:val="4"/>
        <w:spacing w:before="0" w:after="0"/>
        <w:jc w:val="center"/>
        <w:rPr>
          <w:rFonts w:hint="eastAsia" w:ascii="宋体" w:hAnsi="宋体" w:eastAsia="宋体" w:cs="宋体"/>
          <w:color w:val="auto"/>
          <w:highlight w:val="none"/>
        </w:rPr>
        <w:sectPr>
          <w:footerReference r:id="rId5" w:type="default"/>
          <w:pgSz w:w="11906" w:h="16838"/>
          <w:pgMar w:top="1417" w:right="1417" w:bottom="1417" w:left="1417" w:header="850" w:footer="992" w:gutter="0"/>
          <w:pgNumType w:fmt="decimal" w:start="1"/>
          <w:cols w:space="720" w:num="1"/>
          <w:docGrid w:type="lines" w:linePitch="312" w:charSpace="0"/>
        </w:sectPr>
      </w:pPr>
    </w:p>
    <w:p w14:paraId="746F1103">
      <w:pPr>
        <w:pStyle w:val="4"/>
        <w:spacing w:before="0" w:after="0"/>
        <w:jc w:val="center"/>
        <w:rPr>
          <w:rFonts w:hint="eastAsia" w:ascii="宋体" w:hAnsi="宋体" w:eastAsia="宋体" w:cs="宋体"/>
          <w:bCs w:val="0"/>
          <w:color w:val="auto"/>
          <w:sz w:val="21"/>
          <w:szCs w:val="21"/>
          <w:highlight w:val="none"/>
        </w:rPr>
      </w:pPr>
      <w:bookmarkStart w:id="76" w:name="_Toc12847"/>
      <w:bookmarkStart w:id="77" w:name="_Toc2497"/>
      <w:bookmarkStart w:id="78" w:name="_Toc25259"/>
      <w:r>
        <w:rPr>
          <w:rFonts w:hint="eastAsia" w:ascii="宋体" w:hAnsi="宋体" w:eastAsia="宋体" w:cs="宋体"/>
          <w:color w:val="auto"/>
          <w:highlight w:val="none"/>
        </w:rPr>
        <w:t xml:space="preserve">第五章  </w:t>
      </w:r>
      <w:bookmarkEnd w:id="76"/>
      <w:r>
        <w:rPr>
          <w:rFonts w:hint="eastAsia" w:ascii="宋体" w:hAnsi="宋体" w:eastAsia="宋体" w:cs="宋体"/>
          <w:color w:val="auto"/>
          <w:highlight w:val="none"/>
        </w:rPr>
        <w:t>采购需求及具体要求</w:t>
      </w:r>
      <w:bookmarkEnd w:id="77"/>
      <w:bookmarkEnd w:id="78"/>
      <w:bookmarkStart w:id="79" w:name="_Toc184635136"/>
    </w:p>
    <w:p w14:paraId="05C312C8">
      <w:pPr>
        <w:spacing w:before="100" w:line="227" w:lineRule="auto"/>
        <w:ind w:left="2899"/>
        <w:outlineLvl w:val="1"/>
        <w:rPr>
          <w:rFonts w:hint="eastAsia" w:ascii="宋体" w:hAnsi="宋体" w:eastAsia="宋体" w:cs="宋体"/>
          <w:b/>
          <w:bCs/>
          <w:color w:val="auto"/>
          <w:spacing w:val="7"/>
          <w:sz w:val="28"/>
          <w:szCs w:val="28"/>
          <w:highlight w:val="none"/>
        </w:rPr>
      </w:pPr>
      <w:r>
        <w:rPr>
          <w:rFonts w:hint="eastAsia" w:ascii="宋体" w:hAnsi="宋体" w:eastAsia="宋体" w:cs="宋体"/>
          <w:b/>
          <w:bCs/>
          <w:color w:val="auto"/>
          <w:spacing w:val="7"/>
          <w:sz w:val="28"/>
          <w:szCs w:val="28"/>
          <w:highlight w:val="none"/>
        </w:rPr>
        <w:t>一</w:t>
      </w:r>
      <w:r>
        <w:rPr>
          <w:rFonts w:hint="eastAsia" w:ascii="宋体" w:hAnsi="宋体" w:eastAsia="宋体" w:cs="宋体"/>
          <w:b/>
          <w:bCs/>
          <w:color w:val="auto"/>
          <w:spacing w:val="7"/>
          <w:sz w:val="28"/>
          <w:szCs w:val="28"/>
          <w:highlight w:val="none"/>
          <w:lang w:eastAsia="zh-CN"/>
        </w:rPr>
        <w:t>、</w:t>
      </w:r>
      <w:r>
        <w:rPr>
          <w:rFonts w:hint="eastAsia" w:ascii="宋体" w:hAnsi="宋体" w:eastAsia="宋体" w:cs="宋体"/>
          <w:b/>
          <w:bCs/>
          <w:color w:val="auto"/>
          <w:spacing w:val="7"/>
          <w:sz w:val="28"/>
          <w:szCs w:val="28"/>
          <w:highlight w:val="none"/>
        </w:rPr>
        <w:t>货物清单</w:t>
      </w:r>
    </w:p>
    <w:p w14:paraId="116766B5">
      <w:pPr>
        <w:pStyle w:val="2"/>
        <w:rPr>
          <w:rFonts w:hint="eastAsia"/>
          <w:color w:val="auto"/>
          <w:highlight w:val="none"/>
        </w:rPr>
      </w:pPr>
    </w:p>
    <w:p w14:paraId="5641B131">
      <w:pPr>
        <w:spacing w:before="100" w:line="227" w:lineRule="auto"/>
        <w:outlineLvl w:val="1"/>
        <w:rPr>
          <w:rFonts w:hint="eastAsia" w:ascii="宋体" w:hAnsi="宋体" w:eastAsia="宋体" w:cs="宋体"/>
          <w:b/>
          <w:bCs/>
          <w:color w:val="auto"/>
          <w:spacing w:val="7"/>
          <w:sz w:val="28"/>
          <w:szCs w:val="28"/>
          <w:highlight w:val="none"/>
          <w:lang w:val="en-US" w:eastAsia="zh-CN"/>
        </w:rPr>
      </w:pPr>
      <w:r>
        <w:rPr>
          <w:rFonts w:hint="eastAsia" w:ascii="宋体" w:hAnsi="宋体" w:eastAsia="宋体" w:cs="宋体"/>
          <w:b/>
          <w:bCs/>
          <w:color w:val="auto"/>
          <w:spacing w:val="7"/>
          <w:sz w:val="28"/>
          <w:szCs w:val="28"/>
          <w:highlight w:val="none"/>
          <w:lang w:val="en-US" w:eastAsia="zh-CN"/>
        </w:rPr>
        <w:t>二标段：</w:t>
      </w:r>
    </w:p>
    <w:tbl>
      <w:tblPr>
        <w:tblStyle w:val="152"/>
        <w:tblW w:w="8658" w:type="dxa"/>
        <w:tblInd w:w="2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2476"/>
        <w:gridCol w:w="774"/>
        <w:gridCol w:w="911"/>
        <w:gridCol w:w="1548"/>
        <w:gridCol w:w="2184"/>
      </w:tblGrid>
      <w:tr w14:paraId="5ECEF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5" w:hRule="atLeast"/>
        </w:trPr>
        <w:tc>
          <w:tcPr>
            <w:tcW w:w="765" w:type="dxa"/>
            <w:textDirection w:val="tbRlV"/>
            <w:vAlign w:val="top"/>
          </w:tcPr>
          <w:p w14:paraId="46DD5034">
            <w:pPr>
              <w:spacing w:before="206" w:line="211" w:lineRule="auto"/>
              <w:ind w:left="45"/>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rPr>
              <w:t>序</w:t>
            </w:r>
            <w:r>
              <w:rPr>
                <w:rFonts w:hint="eastAsia" w:ascii="宋体" w:hAnsi="宋体" w:eastAsia="宋体" w:cs="宋体"/>
                <w:color w:val="auto"/>
                <w:spacing w:val="-18"/>
                <w:sz w:val="22"/>
                <w:szCs w:val="22"/>
                <w:highlight w:val="none"/>
              </w:rPr>
              <w:t xml:space="preserve"> 号</w:t>
            </w:r>
          </w:p>
        </w:tc>
        <w:tc>
          <w:tcPr>
            <w:tcW w:w="2476" w:type="dxa"/>
            <w:vAlign w:val="top"/>
          </w:tcPr>
          <w:p w14:paraId="1D33E151">
            <w:pPr>
              <w:spacing w:line="255" w:lineRule="auto"/>
              <w:rPr>
                <w:rFonts w:hint="eastAsia" w:ascii="宋体" w:hAnsi="宋体" w:eastAsia="宋体" w:cs="宋体"/>
                <w:color w:val="auto"/>
                <w:sz w:val="22"/>
                <w:szCs w:val="22"/>
                <w:highlight w:val="none"/>
              </w:rPr>
            </w:pPr>
          </w:p>
          <w:p w14:paraId="03330A66">
            <w:pPr>
              <w:spacing w:before="91" w:line="219" w:lineRule="auto"/>
              <w:ind w:left="585"/>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货</w:t>
            </w:r>
            <w:r>
              <w:rPr>
                <w:rFonts w:hint="eastAsia" w:ascii="宋体" w:hAnsi="宋体" w:eastAsia="宋体" w:cs="宋体"/>
                <w:color w:val="auto"/>
                <w:spacing w:val="-4"/>
                <w:sz w:val="22"/>
                <w:szCs w:val="22"/>
                <w:highlight w:val="none"/>
              </w:rPr>
              <w:t>物名称</w:t>
            </w:r>
          </w:p>
        </w:tc>
        <w:tc>
          <w:tcPr>
            <w:tcW w:w="774" w:type="dxa"/>
            <w:textDirection w:val="tbRlV"/>
            <w:vAlign w:val="top"/>
          </w:tcPr>
          <w:p w14:paraId="178BD0CC">
            <w:pPr>
              <w:spacing w:before="210" w:line="208" w:lineRule="auto"/>
              <w:ind w:left="165"/>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rPr>
              <w:t>数 量</w:t>
            </w:r>
          </w:p>
        </w:tc>
        <w:tc>
          <w:tcPr>
            <w:tcW w:w="911" w:type="dxa"/>
            <w:vAlign w:val="top"/>
          </w:tcPr>
          <w:p w14:paraId="41D40599">
            <w:pPr>
              <w:spacing w:line="254" w:lineRule="auto"/>
              <w:rPr>
                <w:rFonts w:hint="eastAsia" w:ascii="宋体" w:hAnsi="宋体" w:eastAsia="宋体" w:cs="宋体"/>
                <w:color w:val="auto"/>
                <w:sz w:val="22"/>
                <w:szCs w:val="22"/>
                <w:highlight w:val="none"/>
              </w:rPr>
            </w:pPr>
          </w:p>
          <w:p w14:paraId="28C18A59">
            <w:pPr>
              <w:spacing w:before="91" w:line="221" w:lineRule="auto"/>
              <w:ind w:left="145"/>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单</w:t>
            </w:r>
            <w:r>
              <w:rPr>
                <w:rFonts w:hint="eastAsia" w:ascii="宋体" w:hAnsi="宋体" w:eastAsia="宋体" w:cs="宋体"/>
                <w:color w:val="auto"/>
                <w:spacing w:val="-5"/>
                <w:sz w:val="22"/>
                <w:szCs w:val="22"/>
                <w:highlight w:val="none"/>
              </w:rPr>
              <w:t>位</w:t>
            </w:r>
          </w:p>
        </w:tc>
        <w:tc>
          <w:tcPr>
            <w:tcW w:w="1548" w:type="dxa"/>
            <w:vAlign w:val="top"/>
          </w:tcPr>
          <w:p w14:paraId="48932BD0">
            <w:pPr>
              <w:spacing w:before="164" w:line="254" w:lineRule="auto"/>
              <w:ind w:right="143"/>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是否</w:t>
            </w:r>
            <w:r>
              <w:rPr>
                <w:rFonts w:hint="eastAsia" w:ascii="宋体" w:hAnsi="宋体" w:eastAsia="宋体" w:cs="宋体"/>
                <w:color w:val="auto"/>
                <w:spacing w:val="-5"/>
                <w:sz w:val="22"/>
                <w:szCs w:val="22"/>
                <w:highlight w:val="none"/>
              </w:rPr>
              <w:t>核</w:t>
            </w:r>
            <w:r>
              <w:rPr>
                <w:rFonts w:hint="eastAsia" w:ascii="宋体" w:hAnsi="宋体" w:eastAsia="宋体" w:cs="宋体"/>
                <w:color w:val="auto"/>
                <w:spacing w:val="-3"/>
                <w:sz w:val="22"/>
                <w:szCs w:val="22"/>
                <w:highlight w:val="none"/>
              </w:rPr>
              <w:t>心产品</w:t>
            </w:r>
          </w:p>
        </w:tc>
        <w:tc>
          <w:tcPr>
            <w:tcW w:w="2184" w:type="dxa"/>
            <w:vAlign w:val="top"/>
          </w:tcPr>
          <w:p w14:paraId="077AD2E8">
            <w:pPr>
              <w:spacing w:before="166" w:line="253" w:lineRule="auto"/>
              <w:ind w:left="443" w:right="155" w:hanging="272"/>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是否政府强制采购的节能产品</w:t>
            </w:r>
          </w:p>
        </w:tc>
      </w:tr>
      <w:tr w14:paraId="652B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4F75853C">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476" w:type="dxa"/>
            <w:vAlign w:val="center"/>
          </w:tcPr>
          <w:p w14:paraId="74CE6590">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空调</w:t>
            </w:r>
          </w:p>
        </w:tc>
        <w:tc>
          <w:tcPr>
            <w:tcW w:w="774" w:type="dxa"/>
            <w:vAlign w:val="center"/>
          </w:tcPr>
          <w:p w14:paraId="5CDD05CE">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0533B86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30AAEC88">
            <w:pPr>
              <w:spacing w:before="116" w:line="224" w:lineRule="auto"/>
              <w:ind w:left="582"/>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是</w:t>
            </w:r>
          </w:p>
        </w:tc>
        <w:tc>
          <w:tcPr>
            <w:tcW w:w="2184" w:type="dxa"/>
            <w:vAlign w:val="center"/>
          </w:tcPr>
          <w:p w14:paraId="24B10AC8">
            <w:pPr>
              <w:spacing w:before="116"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w:t>
            </w:r>
          </w:p>
        </w:tc>
      </w:tr>
      <w:tr w14:paraId="3CF4A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2BBCCC60">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2476" w:type="dxa"/>
            <w:vAlign w:val="center"/>
          </w:tcPr>
          <w:p w14:paraId="2EEF679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麻将桌</w:t>
            </w:r>
          </w:p>
        </w:tc>
        <w:tc>
          <w:tcPr>
            <w:tcW w:w="774" w:type="dxa"/>
            <w:vAlign w:val="center"/>
          </w:tcPr>
          <w:p w14:paraId="196DC3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11" w:type="dxa"/>
            <w:vAlign w:val="center"/>
          </w:tcPr>
          <w:p w14:paraId="13CD335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66653C97">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5D3D962B">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0B46F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55E30ABE">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w:t>
            </w:r>
          </w:p>
        </w:tc>
        <w:tc>
          <w:tcPr>
            <w:tcW w:w="2476" w:type="dxa"/>
            <w:vAlign w:val="center"/>
          </w:tcPr>
          <w:p w14:paraId="3E44EEB7">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象棋桌</w:t>
            </w:r>
          </w:p>
        </w:tc>
        <w:tc>
          <w:tcPr>
            <w:tcW w:w="774" w:type="dxa"/>
            <w:vAlign w:val="center"/>
          </w:tcPr>
          <w:p w14:paraId="3739BCCF">
            <w:pPr>
              <w:keepNext w:val="0"/>
              <w:keepLines w:val="0"/>
              <w:widowControl/>
              <w:suppressLineNumbers w:val="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911" w:type="dxa"/>
            <w:vAlign w:val="center"/>
          </w:tcPr>
          <w:p w14:paraId="5F7B8BA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3366A2BC">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56B012B1">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239ED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511054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2476" w:type="dxa"/>
            <w:vAlign w:val="center"/>
          </w:tcPr>
          <w:p w14:paraId="20A4D2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书桌</w:t>
            </w:r>
          </w:p>
        </w:tc>
        <w:tc>
          <w:tcPr>
            <w:tcW w:w="774" w:type="dxa"/>
            <w:vAlign w:val="center"/>
          </w:tcPr>
          <w:p w14:paraId="5D513A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911" w:type="dxa"/>
            <w:vAlign w:val="center"/>
          </w:tcPr>
          <w:p w14:paraId="7D468F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366CA27A">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6795583D">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514CE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40C5FB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2476" w:type="dxa"/>
            <w:vAlign w:val="center"/>
          </w:tcPr>
          <w:p w14:paraId="4016F3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书柜</w:t>
            </w:r>
          </w:p>
        </w:tc>
        <w:tc>
          <w:tcPr>
            <w:tcW w:w="774" w:type="dxa"/>
            <w:vAlign w:val="center"/>
          </w:tcPr>
          <w:p w14:paraId="45D219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911" w:type="dxa"/>
            <w:vAlign w:val="center"/>
          </w:tcPr>
          <w:p w14:paraId="388594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6FC5E278">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1C5E7697">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242CA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71D31B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2476" w:type="dxa"/>
            <w:vAlign w:val="center"/>
          </w:tcPr>
          <w:p w14:paraId="4D3C93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椅子</w:t>
            </w:r>
          </w:p>
        </w:tc>
        <w:tc>
          <w:tcPr>
            <w:tcW w:w="774" w:type="dxa"/>
            <w:vAlign w:val="center"/>
          </w:tcPr>
          <w:p w14:paraId="08ECCD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911" w:type="dxa"/>
            <w:vAlign w:val="center"/>
          </w:tcPr>
          <w:p w14:paraId="195753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5FDC44B9">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32BF6D79">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572E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36F61D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2476" w:type="dxa"/>
            <w:vAlign w:val="center"/>
          </w:tcPr>
          <w:p w14:paraId="370C55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饮水机</w:t>
            </w:r>
          </w:p>
        </w:tc>
        <w:tc>
          <w:tcPr>
            <w:tcW w:w="774" w:type="dxa"/>
            <w:vAlign w:val="center"/>
          </w:tcPr>
          <w:p w14:paraId="6CC828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3FDB1C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1D11FF9C">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39C3965A">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69F14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37B35A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2476" w:type="dxa"/>
            <w:vAlign w:val="center"/>
          </w:tcPr>
          <w:p w14:paraId="59B274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电视机</w:t>
            </w:r>
          </w:p>
        </w:tc>
        <w:tc>
          <w:tcPr>
            <w:tcW w:w="774" w:type="dxa"/>
            <w:vAlign w:val="center"/>
          </w:tcPr>
          <w:p w14:paraId="423C20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0D872D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3177AC2E">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564F6399">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w:t>
            </w:r>
          </w:p>
        </w:tc>
      </w:tr>
      <w:tr w14:paraId="78862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7C7A9F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2476" w:type="dxa"/>
            <w:vAlign w:val="center"/>
          </w:tcPr>
          <w:p w14:paraId="2A8BAE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组合沙发</w:t>
            </w:r>
          </w:p>
        </w:tc>
        <w:tc>
          <w:tcPr>
            <w:tcW w:w="774" w:type="dxa"/>
            <w:vAlign w:val="center"/>
          </w:tcPr>
          <w:p w14:paraId="4D3C53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7BE17D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48" w:type="dxa"/>
            <w:vAlign w:val="center"/>
          </w:tcPr>
          <w:p w14:paraId="047CEAFE">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44E76A33">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20E1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5C264B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2476" w:type="dxa"/>
            <w:vAlign w:val="center"/>
          </w:tcPr>
          <w:p w14:paraId="7FF8A6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移动音响</w:t>
            </w:r>
          </w:p>
        </w:tc>
        <w:tc>
          <w:tcPr>
            <w:tcW w:w="774" w:type="dxa"/>
            <w:vAlign w:val="center"/>
          </w:tcPr>
          <w:p w14:paraId="3065C8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911" w:type="dxa"/>
            <w:vAlign w:val="center"/>
          </w:tcPr>
          <w:p w14:paraId="22699C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093136CB">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543DF5E6">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3085C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2342D4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2476" w:type="dxa"/>
            <w:vAlign w:val="center"/>
          </w:tcPr>
          <w:p w14:paraId="7ED70C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图书</w:t>
            </w:r>
          </w:p>
        </w:tc>
        <w:tc>
          <w:tcPr>
            <w:tcW w:w="774" w:type="dxa"/>
            <w:vAlign w:val="center"/>
          </w:tcPr>
          <w:p w14:paraId="01FCFF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2000</w:t>
            </w:r>
          </w:p>
        </w:tc>
        <w:tc>
          <w:tcPr>
            <w:tcW w:w="911" w:type="dxa"/>
            <w:vAlign w:val="center"/>
          </w:tcPr>
          <w:p w14:paraId="4EC9C4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w:t>
            </w:r>
          </w:p>
        </w:tc>
        <w:tc>
          <w:tcPr>
            <w:tcW w:w="1548" w:type="dxa"/>
            <w:vAlign w:val="center"/>
          </w:tcPr>
          <w:p w14:paraId="0F0F1607">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2AEE54E6">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26A8D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65" w:type="dxa"/>
            <w:vAlign w:val="center"/>
          </w:tcPr>
          <w:p w14:paraId="46842A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w:t>
            </w:r>
          </w:p>
        </w:tc>
        <w:tc>
          <w:tcPr>
            <w:tcW w:w="2476" w:type="dxa"/>
            <w:vAlign w:val="center"/>
          </w:tcPr>
          <w:p w14:paraId="23CE39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智能告知牌</w:t>
            </w:r>
          </w:p>
        </w:tc>
        <w:tc>
          <w:tcPr>
            <w:tcW w:w="774" w:type="dxa"/>
            <w:vAlign w:val="center"/>
          </w:tcPr>
          <w:p w14:paraId="2617A6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4D20B1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5EBA6FEE">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1398C312">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775C2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5E70E5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2476" w:type="dxa"/>
            <w:vAlign w:val="center"/>
          </w:tcPr>
          <w:p w14:paraId="70C14E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智能双位钟摆器</w:t>
            </w:r>
          </w:p>
        </w:tc>
        <w:tc>
          <w:tcPr>
            <w:tcW w:w="774" w:type="dxa"/>
            <w:vAlign w:val="center"/>
          </w:tcPr>
          <w:p w14:paraId="6CD186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07FA36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095DE440">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15DE9371">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59019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76418B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w:t>
            </w:r>
          </w:p>
        </w:tc>
        <w:tc>
          <w:tcPr>
            <w:tcW w:w="2476" w:type="dxa"/>
            <w:vAlign w:val="center"/>
          </w:tcPr>
          <w:p w14:paraId="25624D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智能双位骑马机</w:t>
            </w:r>
          </w:p>
        </w:tc>
        <w:tc>
          <w:tcPr>
            <w:tcW w:w="774" w:type="dxa"/>
            <w:vAlign w:val="center"/>
          </w:tcPr>
          <w:p w14:paraId="6E7F73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0105B2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54B7C58C">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16AA69B3">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50F50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0D22EF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2476" w:type="dxa"/>
            <w:vAlign w:val="center"/>
          </w:tcPr>
          <w:p w14:paraId="0F78C2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智能双位漫步机</w:t>
            </w:r>
          </w:p>
        </w:tc>
        <w:tc>
          <w:tcPr>
            <w:tcW w:w="774" w:type="dxa"/>
            <w:vAlign w:val="center"/>
          </w:tcPr>
          <w:p w14:paraId="623DAF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0E77E5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0DFFF035">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375A44CC">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21AAD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354D1F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2476" w:type="dxa"/>
            <w:vAlign w:val="center"/>
          </w:tcPr>
          <w:p w14:paraId="7E4494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智能双位背部按摩器</w:t>
            </w:r>
          </w:p>
        </w:tc>
        <w:tc>
          <w:tcPr>
            <w:tcW w:w="774" w:type="dxa"/>
            <w:vAlign w:val="center"/>
          </w:tcPr>
          <w:p w14:paraId="6A04A9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0AE8D3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6C1626DB">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116C4909">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1E5C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26B432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2476" w:type="dxa"/>
            <w:vAlign w:val="center"/>
          </w:tcPr>
          <w:p w14:paraId="576337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智能双位大转轮</w:t>
            </w:r>
          </w:p>
        </w:tc>
        <w:tc>
          <w:tcPr>
            <w:tcW w:w="774" w:type="dxa"/>
            <w:vAlign w:val="center"/>
          </w:tcPr>
          <w:p w14:paraId="17BD0C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2F55AD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384093F4">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65A4F7B5">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401D0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339979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2476" w:type="dxa"/>
            <w:vAlign w:val="center"/>
          </w:tcPr>
          <w:p w14:paraId="5E0F52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智能双位揉推器</w:t>
            </w:r>
          </w:p>
        </w:tc>
        <w:tc>
          <w:tcPr>
            <w:tcW w:w="774" w:type="dxa"/>
            <w:vAlign w:val="center"/>
          </w:tcPr>
          <w:p w14:paraId="254475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7FFE5D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74F52A50">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4750B1C2">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182F0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4CE984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w:t>
            </w:r>
          </w:p>
        </w:tc>
        <w:tc>
          <w:tcPr>
            <w:tcW w:w="2476" w:type="dxa"/>
            <w:vAlign w:val="center"/>
          </w:tcPr>
          <w:p w14:paraId="3B773C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智能双位蹬力器</w:t>
            </w:r>
          </w:p>
        </w:tc>
        <w:tc>
          <w:tcPr>
            <w:tcW w:w="774" w:type="dxa"/>
            <w:vAlign w:val="center"/>
          </w:tcPr>
          <w:p w14:paraId="7C89F7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3936EE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340C3775">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4C6ACD39">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5E815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1735B3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2476" w:type="dxa"/>
            <w:vAlign w:val="center"/>
          </w:tcPr>
          <w:p w14:paraId="14974E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智能双位划船器</w:t>
            </w:r>
          </w:p>
        </w:tc>
        <w:tc>
          <w:tcPr>
            <w:tcW w:w="774" w:type="dxa"/>
            <w:vAlign w:val="center"/>
          </w:tcPr>
          <w:p w14:paraId="58586C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2C339A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5601C649">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13B00911">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06AF7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16CF24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w:t>
            </w:r>
          </w:p>
        </w:tc>
        <w:tc>
          <w:tcPr>
            <w:tcW w:w="2476" w:type="dxa"/>
            <w:vAlign w:val="center"/>
          </w:tcPr>
          <w:p w14:paraId="6BC10D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智能双位扭腰器</w:t>
            </w:r>
          </w:p>
        </w:tc>
        <w:tc>
          <w:tcPr>
            <w:tcW w:w="774" w:type="dxa"/>
            <w:vAlign w:val="center"/>
          </w:tcPr>
          <w:p w14:paraId="0F9B7D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47D4A8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445D9A89">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2E743EFB">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75C7E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1B6C17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w:t>
            </w:r>
          </w:p>
        </w:tc>
        <w:tc>
          <w:tcPr>
            <w:tcW w:w="2476" w:type="dxa"/>
            <w:vAlign w:val="center"/>
          </w:tcPr>
          <w:p w14:paraId="1CD1C4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智能双位跷跷板</w:t>
            </w:r>
          </w:p>
        </w:tc>
        <w:tc>
          <w:tcPr>
            <w:tcW w:w="774" w:type="dxa"/>
            <w:vAlign w:val="center"/>
          </w:tcPr>
          <w:p w14:paraId="073FED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7838A5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2DD807C3">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2C6558F9">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316FF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1BA6BC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w:t>
            </w:r>
          </w:p>
        </w:tc>
        <w:tc>
          <w:tcPr>
            <w:tcW w:w="2476" w:type="dxa"/>
            <w:vAlign w:val="center"/>
          </w:tcPr>
          <w:p w14:paraId="6628C3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智能双位推举器</w:t>
            </w:r>
          </w:p>
        </w:tc>
        <w:tc>
          <w:tcPr>
            <w:tcW w:w="774" w:type="dxa"/>
            <w:vAlign w:val="center"/>
          </w:tcPr>
          <w:p w14:paraId="419496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608328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703D49C1">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7B65C288">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1C0F7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0F3123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w:t>
            </w:r>
          </w:p>
        </w:tc>
        <w:tc>
          <w:tcPr>
            <w:tcW w:w="2476" w:type="dxa"/>
            <w:vAlign w:val="center"/>
          </w:tcPr>
          <w:p w14:paraId="48ABA5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智能双位椭圆机</w:t>
            </w:r>
          </w:p>
        </w:tc>
        <w:tc>
          <w:tcPr>
            <w:tcW w:w="774" w:type="dxa"/>
            <w:vAlign w:val="center"/>
          </w:tcPr>
          <w:p w14:paraId="6F29E0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2A4D91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0D0A7853">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6844938A">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1595D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2CF0ED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2476" w:type="dxa"/>
            <w:vAlign w:val="center"/>
          </w:tcPr>
          <w:p w14:paraId="28ACDE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智能双位下压器</w:t>
            </w:r>
          </w:p>
        </w:tc>
        <w:tc>
          <w:tcPr>
            <w:tcW w:w="774" w:type="dxa"/>
            <w:vAlign w:val="center"/>
          </w:tcPr>
          <w:p w14:paraId="0C0734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148B41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2BF38FFA">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6D50B31A">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4D736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31EC67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w:t>
            </w:r>
          </w:p>
        </w:tc>
        <w:tc>
          <w:tcPr>
            <w:tcW w:w="2476" w:type="dxa"/>
            <w:vAlign w:val="center"/>
          </w:tcPr>
          <w:p w14:paraId="4F1EA1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智能双位健身车</w:t>
            </w:r>
          </w:p>
        </w:tc>
        <w:tc>
          <w:tcPr>
            <w:tcW w:w="774" w:type="dxa"/>
            <w:vAlign w:val="center"/>
          </w:tcPr>
          <w:p w14:paraId="02483C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73EDC5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6C9DDEAD">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694F5E4C">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19D6A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35B85F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2476" w:type="dxa"/>
            <w:vAlign w:val="center"/>
          </w:tcPr>
          <w:p w14:paraId="17DD5D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智能双位坐拉训练器</w:t>
            </w:r>
          </w:p>
        </w:tc>
        <w:tc>
          <w:tcPr>
            <w:tcW w:w="774" w:type="dxa"/>
            <w:vAlign w:val="center"/>
          </w:tcPr>
          <w:p w14:paraId="46B137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dxa"/>
            <w:vAlign w:val="center"/>
          </w:tcPr>
          <w:p w14:paraId="1F09C0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5DE82CDF">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551ACCF0">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2058A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719170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w:t>
            </w:r>
          </w:p>
        </w:tc>
        <w:tc>
          <w:tcPr>
            <w:tcW w:w="2476" w:type="dxa"/>
            <w:vAlign w:val="center"/>
          </w:tcPr>
          <w:p w14:paraId="758CDF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智能组合健身驿站</w:t>
            </w:r>
          </w:p>
        </w:tc>
        <w:tc>
          <w:tcPr>
            <w:tcW w:w="774" w:type="dxa"/>
            <w:vAlign w:val="center"/>
          </w:tcPr>
          <w:p w14:paraId="652EBA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911" w:type="dxa"/>
            <w:vAlign w:val="center"/>
          </w:tcPr>
          <w:p w14:paraId="506F64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3D10F69F">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1582EFE9">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3D06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356497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29</w:t>
            </w:r>
          </w:p>
        </w:tc>
        <w:tc>
          <w:tcPr>
            <w:tcW w:w="2476" w:type="dxa"/>
            <w:vAlign w:val="center"/>
          </w:tcPr>
          <w:p w14:paraId="594B3B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单杠</w:t>
            </w:r>
          </w:p>
        </w:tc>
        <w:tc>
          <w:tcPr>
            <w:tcW w:w="774" w:type="dxa"/>
            <w:vAlign w:val="center"/>
          </w:tcPr>
          <w:p w14:paraId="59837A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911" w:type="dxa"/>
            <w:vAlign w:val="center"/>
          </w:tcPr>
          <w:p w14:paraId="56B2A5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7DDF4E06">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0EC0BEAD">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1A01F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242C0E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2476" w:type="dxa"/>
            <w:vAlign w:val="center"/>
          </w:tcPr>
          <w:p w14:paraId="0F5671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天梯</w:t>
            </w:r>
          </w:p>
        </w:tc>
        <w:tc>
          <w:tcPr>
            <w:tcW w:w="774" w:type="dxa"/>
            <w:vAlign w:val="center"/>
          </w:tcPr>
          <w:p w14:paraId="45A380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911" w:type="dxa"/>
            <w:vAlign w:val="center"/>
          </w:tcPr>
          <w:p w14:paraId="0DE800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02690AF7">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604F0198">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20C28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636B2F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2476" w:type="dxa"/>
            <w:vAlign w:val="center"/>
          </w:tcPr>
          <w:p w14:paraId="7B517A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国标户外乒乓球案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（加厚面板加厚钢材）</w:t>
            </w:r>
          </w:p>
        </w:tc>
        <w:tc>
          <w:tcPr>
            <w:tcW w:w="774" w:type="dxa"/>
            <w:vAlign w:val="center"/>
          </w:tcPr>
          <w:p w14:paraId="4C1AE3B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911" w:type="dxa"/>
            <w:vAlign w:val="center"/>
          </w:tcPr>
          <w:p w14:paraId="7E2476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2CE26474">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5BCD0882">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74795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3D66C5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w:t>
            </w:r>
          </w:p>
        </w:tc>
        <w:tc>
          <w:tcPr>
            <w:tcW w:w="2476" w:type="dxa"/>
            <w:vAlign w:val="center"/>
          </w:tcPr>
          <w:p w14:paraId="289AE8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太极柔力球</w:t>
            </w:r>
          </w:p>
        </w:tc>
        <w:tc>
          <w:tcPr>
            <w:tcW w:w="774" w:type="dxa"/>
            <w:vAlign w:val="center"/>
          </w:tcPr>
          <w:p w14:paraId="58BF0F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911" w:type="dxa"/>
            <w:vAlign w:val="center"/>
          </w:tcPr>
          <w:p w14:paraId="329BCB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5BA45302">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0BC1AD73">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46770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6401AC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2476" w:type="dxa"/>
            <w:vAlign w:val="center"/>
          </w:tcPr>
          <w:p w14:paraId="6BEA06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太极扇</w:t>
            </w:r>
          </w:p>
        </w:tc>
        <w:tc>
          <w:tcPr>
            <w:tcW w:w="774" w:type="dxa"/>
            <w:vAlign w:val="center"/>
          </w:tcPr>
          <w:p w14:paraId="665F4A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911" w:type="dxa"/>
            <w:vAlign w:val="center"/>
          </w:tcPr>
          <w:p w14:paraId="3A4DD0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4D7B1FE3">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488F43BA">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213F0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34A45B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w:t>
            </w:r>
          </w:p>
        </w:tc>
        <w:tc>
          <w:tcPr>
            <w:tcW w:w="2476" w:type="dxa"/>
            <w:vAlign w:val="center"/>
          </w:tcPr>
          <w:p w14:paraId="565F64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舞龙彩带</w:t>
            </w:r>
          </w:p>
        </w:tc>
        <w:tc>
          <w:tcPr>
            <w:tcW w:w="774" w:type="dxa"/>
            <w:vAlign w:val="center"/>
          </w:tcPr>
          <w:p w14:paraId="17D3FC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911" w:type="dxa"/>
            <w:vAlign w:val="center"/>
          </w:tcPr>
          <w:p w14:paraId="403A62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0EDC10EC">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483FF7C9">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2763C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4C23CB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2476" w:type="dxa"/>
            <w:vAlign w:val="center"/>
          </w:tcPr>
          <w:p w14:paraId="3253F8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园内主题元素、标识</w:t>
            </w:r>
          </w:p>
        </w:tc>
        <w:tc>
          <w:tcPr>
            <w:tcW w:w="774" w:type="dxa"/>
            <w:vAlign w:val="center"/>
          </w:tcPr>
          <w:p w14:paraId="29AD8C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200</w:t>
            </w:r>
          </w:p>
        </w:tc>
        <w:tc>
          <w:tcPr>
            <w:tcW w:w="911" w:type="dxa"/>
            <w:vAlign w:val="center"/>
          </w:tcPr>
          <w:p w14:paraId="1BB7D2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548" w:type="dxa"/>
            <w:vAlign w:val="center"/>
          </w:tcPr>
          <w:p w14:paraId="6838D140">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1B3951ED">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57A42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516384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w:t>
            </w:r>
          </w:p>
        </w:tc>
        <w:tc>
          <w:tcPr>
            <w:tcW w:w="2476" w:type="dxa"/>
            <w:vAlign w:val="center"/>
          </w:tcPr>
          <w:p w14:paraId="7AE4D3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户外组合音响设备</w:t>
            </w:r>
          </w:p>
          <w:p w14:paraId="6B267B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（详见下列表）</w:t>
            </w:r>
          </w:p>
        </w:tc>
        <w:tc>
          <w:tcPr>
            <w:tcW w:w="774" w:type="dxa"/>
            <w:vAlign w:val="center"/>
          </w:tcPr>
          <w:p w14:paraId="0B03DF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11C884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48" w:type="dxa"/>
            <w:vAlign w:val="center"/>
          </w:tcPr>
          <w:p w14:paraId="234551B9">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1E166A4A">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4EF5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04AACC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37</w:t>
            </w:r>
          </w:p>
        </w:tc>
        <w:tc>
          <w:tcPr>
            <w:tcW w:w="2476" w:type="dxa"/>
            <w:vAlign w:val="center"/>
          </w:tcPr>
          <w:p w14:paraId="030933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户外组合灯光设备</w:t>
            </w:r>
          </w:p>
          <w:p w14:paraId="4E3A92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（详见下列表）</w:t>
            </w:r>
          </w:p>
        </w:tc>
        <w:tc>
          <w:tcPr>
            <w:tcW w:w="774" w:type="dxa"/>
            <w:vAlign w:val="center"/>
          </w:tcPr>
          <w:p w14:paraId="0181A4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55DB02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48" w:type="dxa"/>
            <w:vAlign w:val="center"/>
          </w:tcPr>
          <w:p w14:paraId="375F4022">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66490A2F">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62564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19FC06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w:t>
            </w:r>
          </w:p>
        </w:tc>
        <w:tc>
          <w:tcPr>
            <w:tcW w:w="2476" w:type="dxa"/>
            <w:vAlign w:val="center"/>
          </w:tcPr>
          <w:p w14:paraId="56168C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户外大型广场显示屏（详见下列表）</w:t>
            </w:r>
          </w:p>
        </w:tc>
        <w:tc>
          <w:tcPr>
            <w:tcW w:w="774" w:type="dxa"/>
            <w:vAlign w:val="center"/>
          </w:tcPr>
          <w:p w14:paraId="36E45A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697C1B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451A32FD">
            <w:pPr>
              <w:spacing w:before="115" w:line="221" w:lineRule="auto"/>
              <w:ind w:left="586"/>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否</w:t>
            </w:r>
          </w:p>
        </w:tc>
        <w:tc>
          <w:tcPr>
            <w:tcW w:w="2184" w:type="dxa"/>
            <w:vAlign w:val="center"/>
          </w:tcPr>
          <w:p w14:paraId="4F2BDA6F">
            <w:pPr>
              <w:spacing w:before="115" w:line="224" w:lineRule="auto"/>
              <w:ind w:left="87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否</w:t>
            </w:r>
          </w:p>
        </w:tc>
      </w:tr>
      <w:tr w14:paraId="48325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79380A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w:t>
            </w:r>
          </w:p>
        </w:tc>
        <w:tc>
          <w:tcPr>
            <w:tcW w:w="2476" w:type="dxa"/>
            <w:vAlign w:val="center"/>
          </w:tcPr>
          <w:p w14:paraId="507E9E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盘鼓</w:t>
            </w:r>
          </w:p>
        </w:tc>
        <w:tc>
          <w:tcPr>
            <w:tcW w:w="774" w:type="dxa"/>
            <w:vAlign w:val="center"/>
          </w:tcPr>
          <w:p w14:paraId="604418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911" w:type="dxa"/>
            <w:vAlign w:val="center"/>
          </w:tcPr>
          <w:p w14:paraId="56A016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2C159C25">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080440B4">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0F305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507819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w:t>
            </w:r>
          </w:p>
        </w:tc>
        <w:tc>
          <w:tcPr>
            <w:tcW w:w="2476" w:type="dxa"/>
            <w:vAlign w:val="center"/>
          </w:tcPr>
          <w:p w14:paraId="005D37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腰鼓</w:t>
            </w:r>
          </w:p>
        </w:tc>
        <w:tc>
          <w:tcPr>
            <w:tcW w:w="774" w:type="dxa"/>
            <w:vAlign w:val="center"/>
          </w:tcPr>
          <w:p w14:paraId="37E603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911" w:type="dxa"/>
            <w:vAlign w:val="center"/>
          </w:tcPr>
          <w:p w14:paraId="0A28B6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03E7D7E5">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210EF535">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3968B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50C1E7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w:t>
            </w:r>
          </w:p>
        </w:tc>
        <w:tc>
          <w:tcPr>
            <w:tcW w:w="2476" w:type="dxa"/>
            <w:vAlign w:val="center"/>
          </w:tcPr>
          <w:p w14:paraId="0C3D5F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室外象棋桌</w:t>
            </w:r>
          </w:p>
        </w:tc>
        <w:tc>
          <w:tcPr>
            <w:tcW w:w="774" w:type="dxa"/>
            <w:vAlign w:val="center"/>
          </w:tcPr>
          <w:p w14:paraId="0D0A4B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911" w:type="dxa"/>
            <w:vAlign w:val="center"/>
          </w:tcPr>
          <w:p w14:paraId="47E14F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48" w:type="dxa"/>
            <w:vAlign w:val="center"/>
          </w:tcPr>
          <w:p w14:paraId="3801ECF9">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67FB59C7">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3F33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658" w:type="dxa"/>
            <w:gridSpan w:val="6"/>
            <w:vAlign w:val="center"/>
          </w:tcPr>
          <w:p w14:paraId="3BB27AF3">
            <w:pPr>
              <w:spacing w:before="115" w:line="224"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户外组合音响设备</w:t>
            </w:r>
          </w:p>
        </w:tc>
      </w:tr>
      <w:tr w14:paraId="753E4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7FA884FF">
            <w:pPr>
              <w:spacing w:before="75" w:line="229"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pacing w:val="6"/>
                <w:sz w:val="22"/>
                <w:szCs w:val="22"/>
                <w:highlight w:val="none"/>
              </w:rPr>
              <w:t>序</w:t>
            </w:r>
            <w:r>
              <w:rPr>
                <w:rFonts w:hint="eastAsia" w:ascii="宋体" w:hAnsi="宋体" w:eastAsia="宋体" w:cs="宋体"/>
                <w:color w:val="auto"/>
                <w:spacing w:val="5"/>
                <w:sz w:val="22"/>
                <w:szCs w:val="22"/>
                <w:highlight w:val="none"/>
              </w:rPr>
              <w:t>号</w:t>
            </w:r>
          </w:p>
        </w:tc>
        <w:tc>
          <w:tcPr>
            <w:tcW w:w="2476" w:type="dxa"/>
            <w:vAlign w:val="top"/>
          </w:tcPr>
          <w:p w14:paraId="0BCE50CF">
            <w:pPr>
              <w:spacing w:line="255" w:lineRule="auto"/>
              <w:rPr>
                <w:rFonts w:hint="eastAsia" w:ascii="宋体" w:hAnsi="宋体" w:eastAsia="宋体" w:cs="宋体"/>
                <w:color w:val="auto"/>
                <w:sz w:val="22"/>
                <w:szCs w:val="22"/>
                <w:highlight w:val="none"/>
              </w:rPr>
            </w:pPr>
          </w:p>
          <w:p w14:paraId="2DE2B671">
            <w:pPr>
              <w:spacing w:before="91" w:line="219" w:lineRule="auto"/>
              <w:ind w:left="585" w:left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pacing w:val="-5"/>
                <w:sz w:val="22"/>
                <w:szCs w:val="22"/>
                <w:highlight w:val="none"/>
              </w:rPr>
              <w:t>货</w:t>
            </w:r>
            <w:r>
              <w:rPr>
                <w:rFonts w:hint="eastAsia" w:ascii="宋体" w:hAnsi="宋体" w:eastAsia="宋体" w:cs="宋体"/>
                <w:color w:val="auto"/>
                <w:spacing w:val="-4"/>
                <w:sz w:val="22"/>
                <w:szCs w:val="22"/>
                <w:highlight w:val="none"/>
              </w:rPr>
              <w:t>物名称</w:t>
            </w:r>
          </w:p>
        </w:tc>
        <w:tc>
          <w:tcPr>
            <w:tcW w:w="774" w:type="dxa"/>
            <w:textDirection w:val="tbRlV"/>
            <w:vAlign w:val="top"/>
          </w:tcPr>
          <w:p w14:paraId="4CA320F9">
            <w:pPr>
              <w:spacing w:before="210" w:line="208" w:lineRule="auto"/>
              <w:ind w:left="165" w:leftChars="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pacing w:val="-19"/>
                <w:sz w:val="22"/>
                <w:szCs w:val="22"/>
                <w:highlight w:val="none"/>
              </w:rPr>
              <w:t>数 量</w:t>
            </w:r>
          </w:p>
        </w:tc>
        <w:tc>
          <w:tcPr>
            <w:tcW w:w="911" w:type="dxa"/>
            <w:vAlign w:val="top"/>
          </w:tcPr>
          <w:p w14:paraId="409973DE">
            <w:pPr>
              <w:spacing w:before="91" w:line="221"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pacing w:val="-7"/>
                <w:sz w:val="22"/>
                <w:szCs w:val="22"/>
                <w:highlight w:val="none"/>
              </w:rPr>
              <w:t>单</w:t>
            </w:r>
            <w:r>
              <w:rPr>
                <w:rFonts w:hint="eastAsia" w:ascii="宋体" w:hAnsi="宋体" w:eastAsia="宋体" w:cs="宋体"/>
                <w:color w:val="auto"/>
                <w:spacing w:val="-5"/>
                <w:sz w:val="22"/>
                <w:szCs w:val="22"/>
                <w:highlight w:val="none"/>
              </w:rPr>
              <w:t>位</w:t>
            </w:r>
          </w:p>
        </w:tc>
        <w:tc>
          <w:tcPr>
            <w:tcW w:w="1548" w:type="dxa"/>
            <w:vAlign w:val="top"/>
          </w:tcPr>
          <w:p w14:paraId="05108252">
            <w:pPr>
              <w:spacing w:before="164" w:line="254" w:lineRule="auto"/>
              <w:ind w:right="143" w:rightChars="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是否</w:t>
            </w:r>
            <w:r>
              <w:rPr>
                <w:rFonts w:hint="eastAsia" w:ascii="宋体" w:hAnsi="宋体" w:eastAsia="宋体" w:cs="宋体"/>
                <w:color w:val="auto"/>
                <w:spacing w:val="-5"/>
                <w:sz w:val="22"/>
                <w:szCs w:val="22"/>
                <w:highlight w:val="none"/>
              </w:rPr>
              <w:t>核</w:t>
            </w:r>
            <w:r>
              <w:rPr>
                <w:rFonts w:hint="eastAsia" w:ascii="宋体" w:hAnsi="宋体" w:eastAsia="宋体" w:cs="宋体"/>
                <w:color w:val="auto"/>
                <w:spacing w:val="-3"/>
                <w:sz w:val="22"/>
                <w:szCs w:val="22"/>
                <w:highlight w:val="none"/>
              </w:rPr>
              <w:t>心产品</w:t>
            </w:r>
          </w:p>
        </w:tc>
        <w:tc>
          <w:tcPr>
            <w:tcW w:w="2184" w:type="dxa"/>
            <w:vAlign w:val="top"/>
          </w:tcPr>
          <w:p w14:paraId="52EF3DF8">
            <w:pPr>
              <w:spacing w:before="166" w:line="253" w:lineRule="auto"/>
              <w:ind w:left="443" w:leftChars="0" w:right="155" w:rightChars="0" w:hanging="272" w:firstLineChars="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是否政府强制采购的节能产品</w:t>
            </w:r>
          </w:p>
        </w:tc>
      </w:tr>
      <w:tr w14:paraId="630AF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64FFBDCF">
            <w:pPr>
              <w:spacing w:before="74" w:line="192"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1</w:t>
            </w:r>
          </w:p>
        </w:tc>
        <w:tc>
          <w:tcPr>
            <w:tcW w:w="2476" w:type="dxa"/>
            <w:vAlign w:val="center"/>
          </w:tcPr>
          <w:p w14:paraId="7E80D2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音箱</w:t>
            </w:r>
          </w:p>
        </w:tc>
        <w:tc>
          <w:tcPr>
            <w:tcW w:w="774" w:type="dxa"/>
            <w:vAlign w:val="center"/>
          </w:tcPr>
          <w:p w14:paraId="26172C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11" w:type="dxa"/>
            <w:vAlign w:val="center"/>
          </w:tcPr>
          <w:p w14:paraId="4DBE3B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w:t>
            </w:r>
          </w:p>
        </w:tc>
        <w:tc>
          <w:tcPr>
            <w:tcW w:w="1548" w:type="dxa"/>
            <w:vAlign w:val="center"/>
          </w:tcPr>
          <w:p w14:paraId="314407CE">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043CB36C">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5EB42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70B96887">
            <w:pPr>
              <w:spacing w:before="75" w:line="19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2</w:t>
            </w:r>
          </w:p>
        </w:tc>
        <w:tc>
          <w:tcPr>
            <w:tcW w:w="2476" w:type="dxa"/>
            <w:vAlign w:val="center"/>
          </w:tcPr>
          <w:p w14:paraId="22F6D8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功放</w:t>
            </w:r>
          </w:p>
        </w:tc>
        <w:tc>
          <w:tcPr>
            <w:tcW w:w="774" w:type="dxa"/>
            <w:vAlign w:val="center"/>
          </w:tcPr>
          <w:p w14:paraId="1FD625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11" w:type="dxa"/>
            <w:vAlign w:val="center"/>
          </w:tcPr>
          <w:p w14:paraId="1AEF6C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7B33C878">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00EE25CC">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6896B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34875DEA">
            <w:pPr>
              <w:spacing w:before="234" w:line="192"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3</w:t>
            </w:r>
          </w:p>
        </w:tc>
        <w:tc>
          <w:tcPr>
            <w:tcW w:w="2476" w:type="dxa"/>
            <w:vAlign w:val="center"/>
          </w:tcPr>
          <w:p w14:paraId="3DAE94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返听音箱</w:t>
            </w:r>
          </w:p>
        </w:tc>
        <w:tc>
          <w:tcPr>
            <w:tcW w:w="774" w:type="dxa"/>
            <w:vAlign w:val="center"/>
          </w:tcPr>
          <w:p w14:paraId="141712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11" w:type="dxa"/>
            <w:vAlign w:val="center"/>
          </w:tcPr>
          <w:p w14:paraId="2C1D15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w:t>
            </w:r>
          </w:p>
        </w:tc>
        <w:tc>
          <w:tcPr>
            <w:tcW w:w="1548" w:type="dxa"/>
            <w:vAlign w:val="center"/>
          </w:tcPr>
          <w:p w14:paraId="76DB1A60">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437E9244">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0DDF0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5B10183A">
            <w:pPr>
              <w:spacing w:before="236" w:line="189"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4</w:t>
            </w:r>
          </w:p>
        </w:tc>
        <w:tc>
          <w:tcPr>
            <w:tcW w:w="2476" w:type="dxa"/>
            <w:vAlign w:val="center"/>
          </w:tcPr>
          <w:p w14:paraId="2A2EDA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返听音响功放</w:t>
            </w:r>
          </w:p>
        </w:tc>
        <w:tc>
          <w:tcPr>
            <w:tcW w:w="774" w:type="dxa"/>
            <w:vAlign w:val="center"/>
          </w:tcPr>
          <w:p w14:paraId="2F9DE6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11" w:type="dxa"/>
            <w:vAlign w:val="center"/>
          </w:tcPr>
          <w:p w14:paraId="0685C3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55105309">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2F7BC39A">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649EA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3DB891B6">
            <w:pPr>
              <w:spacing w:before="236" w:line="189"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5</w:t>
            </w:r>
          </w:p>
        </w:tc>
        <w:tc>
          <w:tcPr>
            <w:tcW w:w="2476" w:type="dxa"/>
            <w:vAlign w:val="center"/>
          </w:tcPr>
          <w:p w14:paraId="10E161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调音台</w:t>
            </w:r>
          </w:p>
        </w:tc>
        <w:tc>
          <w:tcPr>
            <w:tcW w:w="774" w:type="dxa"/>
            <w:vAlign w:val="center"/>
          </w:tcPr>
          <w:p w14:paraId="1BBA1A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11" w:type="dxa"/>
            <w:vAlign w:val="center"/>
          </w:tcPr>
          <w:p w14:paraId="3DD163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2AA64A9E">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54DC2824">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5629B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405D21E2">
            <w:pPr>
              <w:spacing w:before="236" w:line="189"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6</w:t>
            </w:r>
          </w:p>
        </w:tc>
        <w:tc>
          <w:tcPr>
            <w:tcW w:w="2476" w:type="dxa"/>
            <w:vAlign w:val="center"/>
          </w:tcPr>
          <w:p w14:paraId="6B654A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话筒处理器</w:t>
            </w:r>
          </w:p>
        </w:tc>
        <w:tc>
          <w:tcPr>
            <w:tcW w:w="774" w:type="dxa"/>
            <w:vAlign w:val="center"/>
          </w:tcPr>
          <w:p w14:paraId="53A4C5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11" w:type="dxa"/>
            <w:vAlign w:val="center"/>
          </w:tcPr>
          <w:p w14:paraId="55225A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48" w:type="dxa"/>
            <w:vAlign w:val="center"/>
          </w:tcPr>
          <w:p w14:paraId="67E559D4">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77AA78A1">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26C2C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38760A2F">
            <w:pPr>
              <w:spacing w:before="236" w:line="189"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7</w:t>
            </w:r>
          </w:p>
        </w:tc>
        <w:tc>
          <w:tcPr>
            <w:tcW w:w="2476" w:type="dxa"/>
            <w:vAlign w:val="center"/>
          </w:tcPr>
          <w:p w14:paraId="79DE1F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无线话筒一拖二领夹</w:t>
            </w:r>
          </w:p>
        </w:tc>
        <w:tc>
          <w:tcPr>
            <w:tcW w:w="774" w:type="dxa"/>
            <w:vAlign w:val="center"/>
          </w:tcPr>
          <w:p w14:paraId="3CF3A9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11" w:type="dxa"/>
            <w:vAlign w:val="center"/>
          </w:tcPr>
          <w:p w14:paraId="113516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48" w:type="dxa"/>
            <w:vAlign w:val="center"/>
          </w:tcPr>
          <w:p w14:paraId="4B97BED8">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05B1E120">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52106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5827F7FF">
            <w:pPr>
              <w:spacing w:before="236" w:line="189"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8</w:t>
            </w:r>
          </w:p>
        </w:tc>
        <w:tc>
          <w:tcPr>
            <w:tcW w:w="2476" w:type="dxa"/>
            <w:vAlign w:val="center"/>
          </w:tcPr>
          <w:p w14:paraId="624527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无线话筒一拖二手持</w:t>
            </w:r>
          </w:p>
        </w:tc>
        <w:tc>
          <w:tcPr>
            <w:tcW w:w="774" w:type="dxa"/>
            <w:vAlign w:val="center"/>
          </w:tcPr>
          <w:p w14:paraId="723DE4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11" w:type="dxa"/>
            <w:vAlign w:val="center"/>
          </w:tcPr>
          <w:p w14:paraId="0E4C10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48" w:type="dxa"/>
            <w:vAlign w:val="center"/>
          </w:tcPr>
          <w:p w14:paraId="3374BA12">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50DF2EF6">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471DA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6EF91569">
            <w:pPr>
              <w:spacing w:before="236" w:line="189"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9</w:t>
            </w:r>
          </w:p>
        </w:tc>
        <w:tc>
          <w:tcPr>
            <w:tcW w:w="2476" w:type="dxa"/>
            <w:vAlign w:val="center"/>
          </w:tcPr>
          <w:p w14:paraId="22DC1B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音箱线</w:t>
            </w:r>
          </w:p>
        </w:tc>
        <w:tc>
          <w:tcPr>
            <w:tcW w:w="774" w:type="dxa"/>
            <w:vAlign w:val="center"/>
          </w:tcPr>
          <w:p w14:paraId="463A1F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911" w:type="dxa"/>
            <w:vAlign w:val="center"/>
          </w:tcPr>
          <w:p w14:paraId="1535F7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1548" w:type="dxa"/>
            <w:vAlign w:val="center"/>
          </w:tcPr>
          <w:p w14:paraId="3D195420">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1565297E">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0B3FC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64FCC5C7">
            <w:pPr>
              <w:spacing w:before="236" w:line="189"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10</w:t>
            </w:r>
          </w:p>
        </w:tc>
        <w:tc>
          <w:tcPr>
            <w:tcW w:w="2476" w:type="dxa"/>
            <w:vAlign w:val="center"/>
          </w:tcPr>
          <w:p w14:paraId="509771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卡农线</w:t>
            </w:r>
          </w:p>
        </w:tc>
        <w:tc>
          <w:tcPr>
            <w:tcW w:w="774" w:type="dxa"/>
            <w:vAlign w:val="center"/>
          </w:tcPr>
          <w:p w14:paraId="0DE37B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911" w:type="dxa"/>
            <w:vAlign w:val="center"/>
          </w:tcPr>
          <w:p w14:paraId="63C74C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1548" w:type="dxa"/>
            <w:vAlign w:val="center"/>
          </w:tcPr>
          <w:p w14:paraId="47EA4BB1">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37686729">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04E2E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708975FB">
            <w:pPr>
              <w:spacing w:before="236" w:line="189"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2476" w:type="dxa"/>
            <w:vAlign w:val="center"/>
          </w:tcPr>
          <w:p w14:paraId="0A2905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机柜</w:t>
            </w:r>
          </w:p>
        </w:tc>
        <w:tc>
          <w:tcPr>
            <w:tcW w:w="774" w:type="dxa"/>
            <w:vAlign w:val="center"/>
          </w:tcPr>
          <w:p w14:paraId="0E8F57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11" w:type="dxa"/>
            <w:vAlign w:val="center"/>
          </w:tcPr>
          <w:p w14:paraId="2A524C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48" w:type="dxa"/>
            <w:vAlign w:val="center"/>
          </w:tcPr>
          <w:p w14:paraId="1273C791">
            <w:pPr>
              <w:spacing w:before="115" w:line="221" w:lineRule="auto"/>
              <w:ind w:left="586"/>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2184" w:type="dxa"/>
            <w:vAlign w:val="center"/>
          </w:tcPr>
          <w:p w14:paraId="1AF9D0CD">
            <w:pPr>
              <w:spacing w:before="115" w:line="224" w:lineRule="auto"/>
              <w:ind w:left="87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40FD0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658" w:type="dxa"/>
            <w:gridSpan w:val="6"/>
            <w:vAlign w:val="top"/>
          </w:tcPr>
          <w:p w14:paraId="4AD0F245">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4"/>
                <w:szCs w:val="24"/>
                <w:highlight w:val="none"/>
                <w:u w:val="none"/>
                <w:lang w:val="en-US" w:eastAsia="zh-CN" w:bidi="ar"/>
              </w:rPr>
              <w:t>户外组合灯光设备</w:t>
            </w:r>
          </w:p>
        </w:tc>
      </w:tr>
      <w:tr w14:paraId="2FD1F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47DB74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序号</w:t>
            </w:r>
          </w:p>
        </w:tc>
        <w:tc>
          <w:tcPr>
            <w:tcW w:w="2476" w:type="dxa"/>
            <w:vAlign w:val="top"/>
          </w:tcPr>
          <w:p w14:paraId="34FAC4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货物名称</w:t>
            </w:r>
          </w:p>
        </w:tc>
        <w:tc>
          <w:tcPr>
            <w:tcW w:w="774" w:type="dxa"/>
            <w:textDirection w:val="tbRlV"/>
            <w:vAlign w:val="top"/>
          </w:tcPr>
          <w:p w14:paraId="7ADD61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 量</w:t>
            </w:r>
          </w:p>
        </w:tc>
        <w:tc>
          <w:tcPr>
            <w:tcW w:w="911" w:type="dxa"/>
            <w:vAlign w:val="top"/>
          </w:tcPr>
          <w:p w14:paraId="078A61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单位</w:t>
            </w:r>
          </w:p>
        </w:tc>
        <w:tc>
          <w:tcPr>
            <w:tcW w:w="1548" w:type="dxa"/>
            <w:vAlign w:val="top"/>
          </w:tcPr>
          <w:p w14:paraId="04FFA20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是否核心产品</w:t>
            </w:r>
          </w:p>
        </w:tc>
        <w:tc>
          <w:tcPr>
            <w:tcW w:w="2184" w:type="dxa"/>
            <w:vAlign w:val="top"/>
          </w:tcPr>
          <w:p w14:paraId="0F75E2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是否政府强制采购的节能产品</w:t>
            </w:r>
          </w:p>
        </w:tc>
      </w:tr>
      <w:tr w14:paraId="4D7C7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43E58B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2476" w:type="dxa"/>
            <w:vAlign w:val="center"/>
          </w:tcPr>
          <w:p w14:paraId="75D144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面光灯</w:t>
            </w:r>
          </w:p>
        </w:tc>
        <w:tc>
          <w:tcPr>
            <w:tcW w:w="774" w:type="dxa"/>
            <w:vAlign w:val="center"/>
          </w:tcPr>
          <w:p w14:paraId="5F0B5A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911" w:type="dxa"/>
            <w:vAlign w:val="center"/>
          </w:tcPr>
          <w:p w14:paraId="1FBC90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1548" w:type="dxa"/>
            <w:vAlign w:val="center"/>
          </w:tcPr>
          <w:p w14:paraId="719A6D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center"/>
          </w:tcPr>
          <w:p w14:paraId="09B8FF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4C37D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0AAE31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2476" w:type="dxa"/>
            <w:vAlign w:val="center"/>
          </w:tcPr>
          <w:p w14:paraId="13012C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一顶染色</w:t>
            </w:r>
          </w:p>
        </w:tc>
        <w:tc>
          <w:tcPr>
            <w:tcW w:w="774" w:type="dxa"/>
            <w:vAlign w:val="center"/>
          </w:tcPr>
          <w:p w14:paraId="356DF0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911" w:type="dxa"/>
            <w:vAlign w:val="center"/>
          </w:tcPr>
          <w:p w14:paraId="29F727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1548" w:type="dxa"/>
            <w:vAlign w:val="center"/>
          </w:tcPr>
          <w:p w14:paraId="6CA6FD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center"/>
          </w:tcPr>
          <w:p w14:paraId="359063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61E0A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7D38FD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2476" w:type="dxa"/>
            <w:vAlign w:val="center"/>
          </w:tcPr>
          <w:p w14:paraId="5DEF69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光束灯</w:t>
            </w:r>
          </w:p>
        </w:tc>
        <w:tc>
          <w:tcPr>
            <w:tcW w:w="774" w:type="dxa"/>
            <w:vAlign w:val="center"/>
          </w:tcPr>
          <w:p w14:paraId="1EA0B4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911" w:type="dxa"/>
            <w:vAlign w:val="center"/>
          </w:tcPr>
          <w:p w14:paraId="62680F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1548" w:type="dxa"/>
            <w:vAlign w:val="center"/>
          </w:tcPr>
          <w:p w14:paraId="0A52B8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center"/>
          </w:tcPr>
          <w:p w14:paraId="19E2B4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094E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29FF4F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2476" w:type="dxa"/>
            <w:vAlign w:val="center"/>
          </w:tcPr>
          <w:p w14:paraId="251EE2C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信号放大器</w:t>
            </w:r>
          </w:p>
        </w:tc>
        <w:tc>
          <w:tcPr>
            <w:tcW w:w="774" w:type="dxa"/>
            <w:vAlign w:val="center"/>
          </w:tcPr>
          <w:p w14:paraId="637E5C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00F21F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1548" w:type="dxa"/>
            <w:vAlign w:val="center"/>
          </w:tcPr>
          <w:p w14:paraId="12B715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center"/>
          </w:tcPr>
          <w:p w14:paraId="593E67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661F2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586320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2476" w:type="dxa"/>
            <w:vAlign w:val="center"/>
          </w:tcPr>
          <w:p w14:paraId="0ACA760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灯光控制台</w:t>
            </w:r>
          </w:p>
        </w:tc>
        <w:tc>
          <w:tcPr>
            <w:tcW w:w="774" w:type="dxa"/>
            <w:vAlign w:val="center"/>
          </w:tcPr>
          <w:p w14:paraId="626819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618768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1548" w:type="dxa"/>
            <w:vAlign w:val="center"/>
          </w:tcPr>
          <w:p w14:paraId="1EF2E0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center"/>
          </w:tcPr>
          <w:p w14:paraId="1A18B7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3DAB0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634190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2476" w:type="dxa"/>
            <w:vAlign w:val="center"/>
          </w:tcPr>
          <w:p w14:paraId="6CFE5F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灯钩</w:t>
            </w:r>
          </w:p>
        </w:tc>
        <w:tc>
          <w:tcPr>
            <w:tcW w:w="774" w:type="dxa"/>
            <w:vAlign w:val="center"/>
          </w:tcPr>
          <w:p w14:paraId="65C5B00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w:t>
            </w:r>
          </w:p>
        </w:tc>
        <w:tc>
          <w:tcPr>
            <w:tcW w:w="911" w:type="dxa"/>
            <w:vAlign w:val="center"/>
          </w:tcPr>
          <w:p w14:paraId="4BF2A0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48" w:type="dxa"/>
            <w:vAlign w:val="center"/>
          </w:tcPr>
          <w:p w14:paraId="044813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center"/>
          </w:tcPr>
          <w:p w14:paraId="3F45D4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1BC9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7550D4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2476" w:type="dxa"/>
            <w:vAlign w:val="center"/>
          </w:tcPr>
          <w:p w14:paraId="6E8650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保险绳</w:t>
            </w:r>
          </w:p>
        </w:tc>
        <w:tc>
          <w:tcPr>
            <w:tcW w:w="774" w:type="dxa"/>
            <w:vAlign w:val="center"/>
          </w:tcPr>
          <w:p w14:paraId="0F151EA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w:t>
            </w:r>
          </w:p>
        </w:tc>
        <w:tc>
          <w:tcPr>
            <w:tcW w:w="911" w:type="dxa"/>
            <w:vAlign w:val="center"/>
          </w:tcPr>
          <w:p w14:paraId="42E8DD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48" w:type="dxa"/>
            <w:vAlign w:val="center"/>
          </w:tcPr>
          <w:p w14:paraId="2321CB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center"/>
          </w:tcPr>
          <w:p w14:paraId="115B75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43957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3C102D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2476" w:type="dxa"/>
            <w:vAlign w:val="center"/>
          </w:tcPr>
          <w:p w14:paraId="2B27B91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信号线</w:t>
            </w:r>
          </w:p>
        </w:tc>
        <w:tc>
          <w:tcPr>
            <w:tcW w:w="774" w:type="dxa"/>
            <w:vAlign w:val="center"/>
          </w:tcPr>
          <w:p w14:paraId="41B0E1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w:t>
            </w:r>
          </w:p>
        </w:tc>
        <w:tc>
          <w:tcPr>
            <w:tcW w:w="911" w:type="dxa"/>
            <w:vAlign w:val="center"/>
          </w:tcPr>
          <w:p w14:paraId="24FED0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1548" w:type="dxa"/>
            <w:vAlign w:val="center"/>
          </w:tcPr>
          <w:p w14:paraId="30D1F4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center"/>
          </w:tcPr>
          <w:p w14:paraId="2CF325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1FD2B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48E6E4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2476" w:type="dxa"/>
            <w:vAlign w:val="center"/>
          </w:tcPr>
          <w:p w14:paraId="0EF764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电源线</w:t>
            </w:r>
          </w:p>
        </w:tc>
        <w:tc>
          <w:tcPr>
            <w:tcW w:w="774" w:type="dxa"/>
            <w:vAlign w:val="center"/>
          </w:tcPr>
          <w:p w14:paraId="38BBFE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200</w:t>
            </w:r>
          </w:p>
        </w:tc>
        <w:tc>
          <w:tcPr>
            <w:tcW w:w="911" w:type="dxa"/>
            <w:vAlign w:val="center"/>
          </w:tcPr>
          <w:p w14:paraId="636790E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1548" w:type="dxa"/>
            <w:vAlign w:val="center"/>
          </w:tcPr>
          <w:p w14:paraId="5EF281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center"/>
          </w:tcPr>
          <w:p w14:paraId="70A08E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2C2F9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658" w:type="dxa"/>
            <w:gridSpan w:val="6"/>
            <w:vAlign w:val="center"/>
          </w:tcPr>
          <w:p w14:paraId="5811660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户外大型广场显示屏</w:t>
            </w:r>
          </w:p>
        </w:tc>
      </w:tr>
      <w:tr w14:paraId="70B2A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top"/>
          </w:tcPr>
          <w:p w14:paraId="251A0F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序号</w:t>
            </w:r>
          </w:p>
        </w:tc>
        <w:tc>
          <w:tcPr>
            <w:tcW w:w="2476" w:type="dxa"/>
            <w:vAlign w:val="top"/>
          </w:tcPr>
          <w:p w14:paraId="4A4ECF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货物名称</w:t>
            </w:r>
          </w:p>
        </w:tc>
        <w:tc>
          <w:tcPr>
            <w:tcW w:w="774" w:type="dxa"/>
            <w:textDirection w:val="tbRlV"/>
            <w:vAlign w:val="top"/>
          </w:tcPr>
          <w:p w14:paraId="00C062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 量</w:t>
            </w:r>
          </w:p>
        </w:tc>
        <w:tc>
          <w:tcPr>
            <w:tcW w:w="911" w:type="dxa"/>
            <w:vAlign w:val="top"/>
          </w:tcPr>
          <w:p w14:paraId="0DBDDCC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单位</w:t>
            </w:r>
          </w:p>
        </w:tc>
        <w:tc>
          <w:tcPr>
            <w:tcW w:w="1548" w:type="dxa"/>
            <w:vAlign w:val="top"/>
          </w:tcPr>
          <w:p w14:paraId="4A4D43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是否核心产品</w:t>
            </w:r>
          </w:p>
        </w:tc>
        <w:tc>
          <w:tcPr>
            <w:tcW w:w="2184" w:type="dxa"/>
            <w:vAlign w:val="top"/>
          </w:tcPr>
          <w:p w14:paraId="1C2DE2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是否政府强制采购的节能产品</w:t>
            </w:r>
          </w:p>
        </w:tc>
      </w:tr>
      <w:tr w14:paraId="04303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6914AD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2476" w:type="dxa"/>
            <w:vAlign w:val="top"/>
          </w:tcPr>
          <w:p w14:paraId="5C87360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户外LED大屏幕</w:t>
            </w:r>
          </w:p>
        </w:tc>
        <w:tc>
          <w:tcPr>
            <w:tcW w:w="774" w:type="dxa"/>
            <w:vAlign w:val="center"/>
          </w:tcPr>
          <w:p w14:paraId="5272BD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24.32</w:t>
            </w:r>
          </w:p>
        </w:tc>
        <w:tc>
          <w:tcPr>
            <w:tcW w:w="911" w:type="dxa"/>
            <w:vAlign w:val="center"/>
          </w:tcPr>
          <w:p w14:paraId="3C4CE70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p>
        </w:tc>
        <w:tc>
          <w:tcPr>
            <w:tcW w:w="1548" w:type="dxa"/>
            <w:vAlign w:val="top"/>
          </w:tcPr>
          <w:p w14:paraId="7A356E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top"/>
          </w:tcPr>
          <w:p w14:paraId="45AA50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47768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3339712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2476" w:type="dxa"/>
            <w:vAlign w:val="top"/>
          </w:tcPr>
          <w:p w14:paraId="451E96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处理器</w:t>
            </w:r>
          </w:p>
        </w:tc>
        <w:tc>
          <w:tcPr>
            <w:tcW w:w="774" w:type="dxa"/>
            <w:vAlign w:val="center"/>
          </w:tcPr>
          <w:p w14:paraId="2254F8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68B50C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1548" w:type="dxa"/>
            <w:vAlign w:val="top"/>
          </w:tcPr>
          <w:p w14:paraId="6CE9C80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top"/>
          </w:tcPr>
          <w:p w14:paraId="7C6AC3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694D0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18CE91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2476" w:type="dxa"/>
            <w:vAlign w:val="top"/>
          </w:tcPr>
          <w:p w14:paraId="38BBF0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接收卡</w:t>
            </w:r>
          </w:p>
        </w:tc>
        <w:tc>
          <w:tcPr>
            <w:tcW w:w="774" w:type="dxa"/>
            <w:vAlign w:val="center"/>
          </w:tcPr>
          <w:p w14:paraId="375330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081756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1548" w:type="dxa"/>
            <w:vAlign w:val="top"/>
          </w:tcPr>
          <w:p w14:paraId="6CE4B3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top"/>
          </w:tcPr>
          <w:p w14:paraId="08A415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0F0BE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576A35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2476" w:type="dxa"/>
            <w:vAlign w:val="center"/>
          </w:tcPr>
          <w:p w14:paraId="01614C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控制软件（定制）</w:t>
            </w:r>
          </w:p>
        </w:tc>
        <w:tc>
          <w:tcPr>
            <w:tcW w:w="774" w:type="dxa"/>
            <w:vAlign w:val="center"/>
          </w:tcPr>
          <w:p w14:paraId="61C1CA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5FE5EE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1548" w:type="dxa"/>
            <w:vAlign w:val="top"/>
          </w:tcPr>
          <w:p w14:paraId="75FD6B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top"/>
          </w:tcPr>
          <w:p w14:paraId="2B11F0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336D4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5766A9B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2476" w:type="dxa"/>
            <w:vAlign w:val="center"/>
          </w:tcPr>
          <w:p w14:paraId="309C6F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电源</w:t>
            </w:r>
          </w:p>
        </w:tc>
        <w:tc>
          <w:tcPr>
            <w:tcW w:w="774" w:type="dxa"/>
            <w:vAlign w:val="center"/>
          </w:tcPr>
          <w:p w14:paraId="6004CC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118.75</w:t>
            </w:r>
          </w:p>
        </w:tc>
        <w:tc>
          <w:tcPr>
            <w:tcW w:w="911" w:type="dxa"/>
            <w:vAlign w:val="center"/>
          </w:tcPr>
          <w:p w14:paraId="37D959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548" w:type="dxa"/>
            <w:vAlign w:val="top"/>
          </w:tcPr>
          <w:p w14:paraId="18855E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top"/>
          </w:tcPr>
          <w:p w14:paraId="4EB3B4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4BFC3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09FE6C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2476" w:type="dxa"/>
            <w:vAlign w:val="center"/>
          </w:tcPr>
          <w:p w14:paraId="6A81D1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定制户外箱体</w:t>
            </w:r>
          </w:p>
        </w:tc>
        <w:tc>
          <w:tcPr>
            <w:tcW w:w="774" w:type="dxa"/>
            <w:vAlign w:val="center"/>
          </w:tcPr>
          <w:p w14:paraId="3EADE80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26.376</w:t>
            </w:r>
          </w:p>
        </w:tc>
        <w:tc>
          <w:tcPr>
            <w:tcW w:w="911" w:type="dxa"/>
            <w:vAlign w:val="center"/>
          </w:tcPr>
          <w:p w14:paraId="1A48ED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p>
        </w:tc>
        <w:tc>
          <w:tcPr>
            <w:tcW w:w="1548" w:type="dxa"/>
            <w:vAlign w:val="top"/>
          </w:tcPr>
          <w:p w14:paraId="36EF13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top"/>
          </w:tcPr>
          <w:p w14:paraId="1C801A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19DBA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2EA097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2476" w:type="dxa"/>
            <w:vAlign w:val="center"/>
          </w:tcPr>
          <w:p w14:paraId="649A5C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钢架结构</w:t>
            </w:r>
          </w:p>
        </w:tc>
        <w:tc>
          <w:tcPr>
            <w:tcW w:w="774" w:type="dxa"/>
            <w:vAlign w:val="center"/>
          </w:tcPr>
          <w:p w14:paraId="671BD4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26.376</w:t>
            </w:r>
          </w:p>
        </w:tc>
        <w:tc>
          <w:tcPr>
            <w:tcW w:w="911" w:type="dxa"/>
            <w:vAlign w:val="center"/>
          </w:tcPr>
          <w:p w14:paraId="2ED6118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1548" w:type="dxa"/>
            <w:vAlign w:val="top"/>
          </w:tcPr>
          <w:p w14:paraId="7F76A9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top"/>
          </w:tcPr>
          <w:p w14:paraId="1B416F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6AF5D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7D81A5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2476" w:type="dxa"/>
            <w:vAlign w:val="center"/>
          </w:tcPr>
          <w:p w14:paraId="413DB2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散热空调</w:t>
            </w:r>
          </w:p>
        </w:tc>
        <w:tc>
          <w:tcPr>
            <w:tcW w:w="774" w:type="dxa"/>
            <w:vAlign w:val="center"/>
          </w:tcPr>
          <w:p w14:paraId="07312FA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4B43F5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1548" w:type="dxa"/>
            <w:vAlign w:val="top"/>
          </w:tcPr>
          <w:p w14:paraId="1B4AF3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top"/>
          </w:tcPr>
          <w:p w14:paraId="3BE9BA9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shd w:val="clear"/>
                <w:lang w:val="en-US" w:eastAsia="zh-CN" w:bidi="ar"/>
              </w:rPr>
              <w:t>是</w:t>
            </w:r>
          </w:p>
        </w:tc>
      </w:tr>
      <w:tr w14:paraId="0C46E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60925F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2476" w:type="dxa"/>
            <w:vAlign w:val="center"/>
          </w:tcPr>
          <w:p w14:paraId="0D3BFD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配电柜</w:t>
            </w:r>
          </w:p>
        </w:tc>
        <w:tc>
          <w:tcPr>
            <w:tcW w:w="774" w:type="dxa"/>
            <w:vAlign w:val="center"/>
          </w:tcPr>
          <w:p w14:paraId="0B2430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6B96A6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1548" w:type="dxa"/>
            <w:vAlign w:val="top"/>
          </w:tcPr>
          <w:p w14:paraId="6044C2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top"/>
          </w:tcPr>
          <w:p w14:paraId="02DE40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1D6B3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1798E3E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2476" w:type="dxa"/>
            <w:vAlign w:val="center"/>
          </w:tcPr>
          <w:p w14:paraId="6C325C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安装调试费</w:t>
            </w:r>
          </w:p>
        </w:tc>
        <w:tc>
          <w:tcPr>
            <w:tcW w:w="774" w:type="dxa"/>
            <w:vAlign w:val="center"/>
          </w:tcPr>
          <w:p w14:paraId="38E28F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26.376</w:t>
            </w:r>
          </w:p>
        </w:tc>
        <w:tc>
          <w:tcPr>
            <w:tcW w:w="911" w:type="dxa"/>
            <w:vAlign w:val="center"/>
          </w:tcPr>
          <w:p w14:paraId="01F1DB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1548" w:type="dxa"/>
            <w:vAlign w:val="top"/>
          </w:tcPr>
          <w:p w14:paraId="518141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top"/>
          </w:tcPr>
          <w:p w14:paraId="639256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45A1F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5" w:type="dxa"/>
            <w:vAlign w:val="center"/>
          </w:tcPr>
          <w:p w14:paraId="1811F39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2476" w:type="dxa"/>
            <w:vAlign w:val="center"/>
          </w:tcPr>
          <w:p w14:paraId="03670A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自备工程布线</w:t>
            </w:r>
          </w:p>
        </w:tc>
        <w:tc>
          <w:tcPr>
            <w:tcW w:w="774" w:type="dxa"/>
            <w:vAlign w:val="center"/>
          </w:tcPr>
          <w:p w14:paraId="42BDF4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dxa"/>
            <w:vAlign w:val="center"/>
          </w:tcPr>
          <w:p w14:paraId="4A1073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1548" w:type="dxa"/>
            <w:vAlign w:val="top"/>
          </w:tcPr>
          <w:p w14:paraId="30CA04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2184" w:type="dxa"/>
            <w:vAlign w:val="top"/>
          </w:tcPr>
          <w:p w14:paraId="777765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bl>
    <w:p w14:paraId="3ED407F0">
      <w:pPr>
        <w:spacing w:before="100" w:line="227" w:lineRule="auto"/>
        <w:ind w:firstLine="422" w:firstLineChars="200"/>
        <w:outlineLvl w:val="9"/>
        <w:rPr>
          <w:rFonts w:hint="eastAsia" w:ascii="宋体" w:hAnsi="宋体" w:eastAsia="宋体" w:cs="宋体"/>
          <w:b/>
          <w:bCs/>
          <w:color w:val="auto"/>
          <w:spacing w:val="7"/>
          <w:sz w:val="28"/>
          <w:szCs w:val="28"/>
          <w:highlight w:val="none"/>
          <w:lang w:val="en-US" w:eastAsia="zh-CN"/>
        </w:rPr>
        <w:sectPr>
          <w:headerReference r:id="rId6" w:type="default"/>
          <w:footerReference r:id="rId7" w:type="default"/>
          <w:pgSz w:w="11906" w:h="16839"/>
          <w:pgMar w:top="1265" w:right="1785" w:bottom="1215" w:left="1785" w:header="995" w:footer="997" w:gutter="0"/>
          <w:pgNumType w:fmt="decimal"/>
          <w:cols w:space="720" w:num="1"/>
        </w:sectPr>
      </w:pPr>
      <w:r>
        <w:rPr>
          <w:rFonts w:hint="eastAsia" w:ascii="宋体" w:hAnsi="宋体" w:eastAsia="宋体" w:cs="宋体"/>
          <w:b/>
          <w:bCs/>
          <w:color w:val="auto"/>
          <w:kern w:val="0"/>
          <w:sz w:val="21"/>
          <w:szCs w:val="21"/>
          <w:highlight w:val="none"/>
          <w:lang w:val="en-US" w:eastAsia="zh-CN" w:bidi="ar"/>
        </w:rPr>
        <w:t>注：以上列表中属于政府强制采购的节能产品，必须填写在《政府采购节能、环保产品汇总表》中，且必须提供有效期内的“节能产品认证证书及相关附件扫描件”</w:t>
      </w:r>
    </w:p>
    <w:p w14:paraId="03200BAC">
      <w:pPr>
        <w:spacing w:line="424" w:lineRule="auto"/>
        <w:rPr>
          <w:rFonts w:hint="eastAsia" w:ascii="宋体" w:hAnsi="宋体" w:eastAsia="宋体" w:cs="宋体"/>
          <w:color w:val="auto"/>
          <w:sz w:val="22"/>
          <w:szCs w:val="22"/>
          <w:highlight w:val="none"/>
        </w:rPr>
      </w:pPr>
    </w:p>
    <w:p w14:paraId="5F068EF9">
      <w:pPr>
        <w:spacing w:before="100" w:line="227" w:lineRule="auto"/>
        <w:jc w:val="center"/>
        <w:outlineLvl w:val="1"/>
        <w:rPr>
          <w:rFonts w:hint="eastAsia" w:ascii="宋体" w:hAnsi="宋体" w:eastAsia="宋体" w:cs="宋体"/>
          <w:color w:val="auto"/>
          <w:spacing w:val="4"/>
          <w:sz w:val="22"/>
          <w:szCs w:val="22"/>
          <w:highlight w:val="none"/>
          <w:lang w:val="en-US" w:eastAsia="zh-CN"/>
          <w14:textOutline w14:w="4694" w14:cap="flat" w14:cmpd="sng">
            <w14:solidFill>
              <w14:srgbClr w14:val="000000"/>
            </w14:solidFill>
            <w14:prstDash w14:val="solid"/>
            <w14:miter w14:val="0"/>
          </w14:textOutline>
        </w:rPr>
      </w:pPr>
      <w:r>
        <w:rPr>
          <w:rFonts w:hint="eastAsia" w:ascii="宋体" w:hAnsi="宋体" w:eastAsia="宋体" w:cs="宋体"/>
          <w:b/>
          <w:bCs/>
          <w:color w:val="auto"/>
          <w:spacing w:val="7"/>
          <w:sz w:val="28"/>
          <w:szCs w:val="28"/>
          <w:highlight w:val="none"/>
        </w:rPr>
        <w:t>二</w:t>
      </w:r>
      <w:r>
        <w:rPr>
          <w:rFonts w:hint="eastAsia" w:ascii="宋体" w:hAnsi="宋体" w:eastAsia="宋体" w:cs="宋体"/>
          <w:b/>
          <w:bCs/>
          <w:color w:val="auto"/>
          <w:spacing w:val="7"/>
          <w:sz w:val="28"/>
          <w:szCs w:val="28"/>
          <w:highlight w:val="none"/>
          <w:lang w:eastAsia="zh-CN"/>
        </w:rPr>
        <w:t>、</w:t>
      </w:r>
      <w:r>
        <w:rPr>
          <w:rFonts w:hint="eastAsia" w:ascii="宋体" w:hAnsi="宋体" w:eastAsia="宋体" w:cs="宋体"/>
          <w:b/>
          <w:bCs/>
          <w:color w:val="auto"/>
          <w:spacing w:val="7"/>
          <w:sz w:val="28"/>
          <w:szCs w:val="28"/>
          <w:highlight w:val="none"/>
        </w:rPr>
        <w:t>具体参数要求</w:t>
      </w:r>
      <w:bookmarkStart w:id="80" w:name="_bookmark14"/>
      <w:bookmarkEnd w:id="80"/>
    </w:p>
    <w:p w14:paraId="0D0BAA2B">
      <w:pPr>
        <w:spacing w:before="302" w:line="227" w:lineRule="auto"/>
        <w:outlineLvl w:val="1"/>
        <w:rPr>
          <w:rFonts w:hint="eastAsia" w:ascii="宋体" w:hAnsi="宋体" w:eastAsia="宋体" w:cs="宋体"/>
          <w:color w:val="auto"/>
          <w:spacing w:val="8"/>
          <w:sz w:val="22"/>
          <w:szCs w:val="22"/>
          <w:highlight w:val="none"/>
          <w:lang w:val="en-US" w:eastAsia="zh-CN"/>
          <w14:textOutline w14:w="4693" w14:cap="flat" w14:cmpd="sng">
            <w14:solidFill>
              <w14:srgbClr w14:val="000000"/>
            </w14:solidFill>
            <w14:prstDash w14:val="solid"/>
            <w14:miter w14:val="0"/>
          </w14:textOutline>
        </w:rPr>
      </w:pPr>
      <w:r>
        <w:rPr>
          <w:rFonts w:hint="eastAsia" w:ascii="宋体" w:hAnsi="宋体" w:eastAsia="宋体" w:cs="宋体"/>
          <w:color w:val="auto"/>
          <w:spacing w:val="8"/>
          <w:sz w:val="22"/>
          <w:szCs w:val="22"/>
          <w:highlight w:val="none"/>
          <w:lang w:val="en-US" w:eastAsia="zh-CN"/>
          <w14:textOutline w14:w="4693" w14:cap="flat" w14:cmpd="sng">
            <w14:solidFill>
              <w14:srgbClr w14:val="000000"/>
            </w14:solidFill>
            <w14:prstDash w14:val="solid"/>
            <w14:miter w14:val="0"/>
          </w14:textOutline>
        </w:rPr>
        <w:t>二标段：</w:t>
      </w:r>
    </w:p>
    <w:tbl>
      <w:tblPr>
        <w:tblStyle w:val="152"/>
        <w:tblW w:w="97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637"/>
        <w:gridCol w:w="7238"/>
      </w:tblGrid>
      <w:tr w14:paraId="14FB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923" w:type="dxa"/>
            <w:vAlign w:val="top"/>
          </w:tcPr>
          <w:p w14:paraId="28377313">
            <w:pPr>
              <w:spacing w:line="274" w:lineRule="auto"/>
              <w:rPr>
                <w:rFonts w:hint="eastAsia" w:ascii="宋体" w:hAnsi="宋体" w:eastAsia="宋体" w:cs="宋体"/>
                <w:color w:val="auto"/>
                <w:sz w:val="21"/>
                <w:szCs w:val="21"/>
                <w:highlight w:val="none"/>
              </w:rPr>
            </w:pPr>
          </w:p>
          <w:p w14:paraId="31407E48">
            <w:pPr>
              <w:spacing w:before="75" w:line="229" w:lineRule="auto"/>
              <w:ind w:left="30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序</w:t>
            </w:r>
            <w:r>
              <w:rPr>
                <w:rFonts w:hint="eastAsia" w:ascii="宋体" w:hAnsi="宋体" w:eastAsia="宋体" w:cs="宋体"/>
                <w:color w:val="auto"/>
                <w:spacing w:val="5"/>
                <w:sz w:val="21"/>
                <w:szCs w:val="21"/>
                <w:highlight w:val="none"/>
              </w:rPr>
              <w:t>号</w:t>
            </w:r>
          </w:p>
        </w:tc>
        <w:tc>
          <w:tcPr>
            <w:tcW w:w="1637" w:type="dxa"/>
            <w:vAlign w:val="top"/>
          </w:tcPr>
          <w:p w14:paraId="073BFF9E">
            <w:pPr>
              <w:spacing w:line="274" w:lineRule="auto"/>
              <w:rPr>
                <w:rFonts w:hint="eastAsia" w:ascii="宋体" w:hAnsi="宋体" w:eastAsia="宋体" w:cs="宋体"/>
                <w:color w:val="auto"/>
                <w:sz w:val="21"/>
                <w:szCs w:val="21"/>
                <w:highlight w:val="none"/>
              </w:rPr>
            </w:pPr>
          </w:p>
          <w:p w14:paraId="120D7E7A">
            <w:pPr>
              <w:spacing w:before="75" w:line="227"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货物名称</w:t>
            </w:r>
          </w:p>
        </w:tc>
        <w:tc>
          <w:tcPr>
            <w:tcW w:w="7238" w:type="dxa"/>
            <w:vAlign w:val="top"/>
          </w:tcPr>
          <w:p w14:paraId="132D29FC">
            <w:pPr>
              <w:spacing w:line="275" w:lineRule="auto"/>
              <w:rPr>
                <w:rFonts w:hint="eastAsia" w:ascii="宋体" w:hAnsi="宋体" w:eastAsia="宋体" w:cs="宋体"/>
                <w:color w:val="auto"/>
                <w:sz w:val="21"/>
                <w:szCs w:val="21"/>
                <w:highlight w:val="none"/>
              </w:rPr>
            </w:pPr>
          </w:p>
          <w:p w14:paraId="5B1A031A">
            <w:pPr>
              <w:spacing w:before="74" w:line="227" w:lineRule="auto"/>
              <w:ind w:left="189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参数要求</w:t>
            </w:r>
          </w:p>
        </w:tc>
      </w:tr>
      <w:tr w14:paraId="324FA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923" w:type="dxa"/>
            <w:vAlign w:val="center"/>
          </w:tcPr>
          <w:p w14:paraId="1B9BF89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637" w:type="dxa"/>
            <w:vAlign w:val="center"/>
          </w:tcPr>
          <w:p w14:paraId="4702944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空调</w:t>
            </w:r>
          </w:p>
        </w:tc>
        <w:tc>
          <w:tcPr>
            <w:tcW w:w="7238" w:type="dxa"/>
            <w:vAlign w:val="center"/>
          </w:tcPr>
          <w:p w14:paraId="3D8B05E3">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5P冷暖空调，三相电。制冷量≥12000W，制热量≥14000W。</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制热功率≥3650W，电辅热功率≥3650W。</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内机循环风量≥2100立方米/小时。质保六年。</w:t>
            </w:r>
          </w:p>
        </w:tc>
      </w:tr>
      <w:tr w14:paraId="723D5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23" w:type="dxa"/>
            <w:vAlign w:val="center"/>
          </w:tcPr>
          <w:p w14:paraId="41198D2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637" w:type="dxa"/>
            <w:vAlign w:val="center"/>
          </w:tcPr>
          <w:p w14:paraId="6C759BA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麻将桌</w:t>
            </w:r>
          </w:p>
        </w:tc>
        <w:tc>
          <w:tcPr>
            <w:tcW w:w="7238" w:type="dxa"/>
            <w:vAlign w:val="center"/>
          </w:tcPr>
          <w:p w14:paraId="2AEEF8C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规格尺寸：950*950*780mm（±50mm）；材质：实木或钢木</w:t>
            </w:r>
          </w:p>
        </w:tc>
      </w:tr>
      <w:tr w14:paraId="71780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23" w:type="dxa"/>
            <w:vAlign w:val="center"/>
          </w:tcPr>
          <w:p w14:paraId="50D57F4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1637" w:type="dxa"/>
            <w:vAlign w:val="center"/>
          </w:tcPr>
          <w:p w14:paraId="59BA480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象棋桌</w:t>
            </w:r>
          </w:p>
        </w:tc>
        <w:tc>
          <w:tcPr>
            <w:tcW w:w="7238" w:type="dxa"/>
            <w:vAlign w:val="center"/>
          </w:tcPr>
          <w:p w14:paraId="2FFDF9CA">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规格尺寸：900*900*800mm（±50mm）；材质：实木或钢木</w:t>
            </w:r>
          </w:p>
        </w:tc>
      </w:tr>
      <w:tr w14:paraId="49C75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23" w:type="dxa"/>
            <w:vAlign w:val="center"/>
          </w:tcPr>
          <w:p w14:paraId="7BC69F1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1637" w:type="dxa"/>
            <w:vAlign w:val="center"/>
          </w:tcPr>
          <w:p w14:paraId="191F8A1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书桌</w:t>
            </w:r>
          </w:p>
        </w:tc>
        <w:tc>
          <w:tcPr>
            <w:tcW w:w="7238" w:type="dxa"/>
            <w:vAlign w:val="center"/>
          </w:tcPr>
          <w:p w14:paraId="36369D08">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1.2m*2.4m（±50mm）木质面板，钢材架构阅览桌</w:t>
            </w:r>
          </w:p>
        </w:tc>
      </w:tr>
      <w:tr w14:paraId="42836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23AD0DC1">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1637" w:type="dxa"/>
            <w:vAlign w:val="center"/>
          </w:tcPr>
          <w:p w14:paraId="2B88E158">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书柜</w:t>
            </w:r>
          </w:p>
        </w:tc>
        <w:tc>
          <w:tcPr>
            <w:tcW w:w="7238" w:type="dxa"/>
            <w:vAlign w:val="center"/>
          </w:tcPr>
          <w:p w14:paraId="5C0523F1">
            <w:pPr>
              <w:keepNext w:val="0"/>
              <w:keepLines w:val="0"/>
              <w:widowControl/>
              <w:suppressLineNumbers w:val="0"/>
              <w:jc w:val="left"/>
              <w:textAlignment w:val="center"/>
              <w:rPr>
                <w:rFonts w:hint="default"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80cm*200cm*40cm（±50mm）木质结构书柜</w:t>
            </w:r>
          </w:p>
        </w:tc>
      </w:tr>
      <w:tr w14:paraId="44E15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4FC781F0">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1637" w:type="dxa"/>
            <w:vAlign w:val="center"/>
          </w:tcPr>
          <w:p w14:paraId="40990DD7">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椅子</w:t>
            </w:r>
          </w:p>
        </w:tc>
        <w:tc>
          <w:tcPr>
            <w:tcW w:w="7238" w:type="dxa"/>
            <w:vAlign w:val="center"/>
          </w:tcPr>
          <w:p w14:paraId="1DCAF4A7">
            <w:pPr>
              <w:keepNext w:val="0"/>
              <w:keepLines w:val="0"/>
              <w:widowControl/>
              <w:suppressLineNumbers w:val="0"/>
              <w:jc w:val="left"/>
              <w:textAlignment w:val="center"/>
              <w:rPr>
                <w:rFonts w:hint="default"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钢构网布带扶手阅览椅，可升降范围39-59CM</w:t>
            </w:r>
          </w:p>
        </w:tc>
      </w:tr>
      <w:tr w14:paraId="70564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0C7F6E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w:t>
            </w:r>
          </w:p>
        </w:tc>
        <w:tc>
          <w:tcPr>
            <w:tcW w:w="1637" w:type="dxa"/>
            <w:vAlign w:val="center"/>
          </w:tcPr>
          <w:p w14:paraId="07845AC6">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饮水机</w:t>
            </w:r>
          </w:p>
        </w:tc>
        <w:tc>
          <w:tcPr>
            <w:tcW w:w="7238" w:type="dxa"/>
            <w:vAlign w:val="center"/>
          </w:tcPr>
          <w:p w14:paraId="57CCBF67">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下置水桶，自抽水，独立双出水口，推杯取水，总高≥900mm。</w:t>
            </w:r>
          </w:p>
        </w:tc>
      </w:tr>
      <w:tr w14:paraId="6440B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7A6E077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w:t>
            </w:r>
          </w:p>
        </w:tc>
        <w:tc>
          <w:tcPr>
            <w:tcW w:w="1637" w:type="dxa"/>
            <w:vAlign w:val="center"/>
          </w:tcPr>
          <w:p w14:paraId="5DC4C1EA">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电视机</w:t>
            </w:r>
          </w:p>
        </w:tc>
        <w:tc>
          <w:tcPr>
            <w:tcW w:w="7238" w:type="dxa"/>
            <w:vAlign w:val="center"/>
          </w:tcPr>
          <w:p w14:paraId="25A38168">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85寸，120HZ超高刷新率，3+64GB内存。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DTSV-X环绕音效，U+超画质引擎。</w:t>
            </w:r>
          </w:p>
        </w:tc>
      </w:tr>
      <w:tr w14:paraId="0CFDC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D001BE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w:t>
            </w:r>
          </w:p>
        </w:tc>
        <w:tc>
          <w:tcPr>
            <w:tcW w:w="1637" w:type="dxa"/>
            <w:vAlign w:val="center"/>
          </w:tcPr>
          <w:p w14:paraId="48EA2E9B">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组合沙发</w:t>
            </w:r>
          </w:p>
        </w:tc>
        <w:tc>
          <w:tcPr>
            <w:tcW w:w="7238" w:type="dxa"/>
            <w:vAlign w:val="center"/>
          </w:tcPr>
          <w:p w14:paraId="1BA0E768">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材质：科技布；颜色：纯色；沙发总长≥3.1米，另包括脚踏。</w:t>
            </w:r>
          </w:p>
        </w:tc>
      </w:tr>
      <w:tr w14:paraId="6B420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6422A1F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1637" w:type="dxa"/>
            <w:vAlign w:val="center"/>
          </w:tcPr>
          <w:p w14:paraId="3C9E9D10">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移动音响</w:t>
            </w:r>
          </w:p>
        </w:tc>
        <w:tc>
          <w:tcPr>
            <w:tcW w:w="7238" w:type="dxa"/>
            <w:vAlign w:val="center"/>
          </w:tcPr>
          <w:p w14:paraId="67A23408">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移动式音响：峰值功率≥800W；续航时间5-8小时。外壳材质：金属+木。</w:t>
            </w:r>
          </w:p>
        </w:tc>
      </w:tr>
      <w:tr w14:paraId="20F12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2FA05D0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11</w:t>
            </w:r>
          </w:p>
        </w:tc>
        <w:tc>
          <w:tcPr>
            <w:tcW w:w="1637" w:type="dxa"/>
            <w:vAlign w:val="center"/>
          </w:tcPr>
          <w:p w14:paraId="37811BFD">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图书</w:t>
            </w:r>
          </w:p>
        </w:tc>
        <w:tc>
          <w:tcPr>
            <w:tcW w:w="7238" w:type="dxa"/>
            <w:vAlign w:val="center"/>
          </w:tcPr>
          <w:p w14:paraId="3E674AD6">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中老年健康养生类、日常疾病防御及治疗、中医类、中老年养生运动类、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国外名著、国内名著、历史人物传记、园林培育等适合中老年群体阅读的书目，正版图书。</w:t>
            </w:r>
          </w:p>
        </w:tc>
      </w:tr>
      <w:tr w14:paraId="1B1B3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A10516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w:t>
            </w:r>
          </w:p>
        </w:tc>
        <w:tc>
          <w:tcPr>
            <w:tcW w:w="1637" w:type="dxa"/>
            <w:vAlign w:val="center"/>
          </w:tcPr>
          <w:p w14:paraId="488BEFF0">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智能告知牌</w:t>
            </w:r>
          </w:p>
        </w:tc>
        <w:tc>
          <w:tcPr>
            <w:tcW w:w="7238" w:type="dxa"/>
            <w:vAlign w:val="center"/>
          </w:tcPr>
          <w:p w14:paraId="2662070B">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1230×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3.器材主要承载立柱： Φ 114mm×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4.告示牌采用不锈钢材质，板材厚度1.2mm、图样及字样蚀刻处理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5.不锈钢板边缘及尖角不外漏，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6.安装方式：预埋+直埋 预埋深度：700mm 直埋深度：500mm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7.坑基尺寸：（长×宽×高） 600× 600× 800mm 500×500×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9.太阳能电池板：规格： DC12V/80W 多晶太阳能电池板（670× 820× 30mm），方向可调节，方便采光、快速吸收太阳光能量。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10.锂电池：规格： 400× 150× 100mm 容量： DC12V50Ah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显示功能：心率、电压显示、温度显示、 时间日期、天气、空气质量</w:t>
            </w:r>
          </w:p>
        </w:tc>
      </w:tr>
      <w:tr w14:paraId="1B91F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752581B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w:t>
            </w:r>
          </w:p>
        </w:tc>
        <w:tc>
          <w:tcPr>
            <w:tcW w:w="1637" w:type="dxa"/>
            <w:vAlign w:val="center"/>
          </w:tcPr>
          <w:p w14:paraId="6D16996E">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智能双位钟摆器</w:t>
            </w:r>
          </w:p>
        </w:tc>
        <w:tc>
          <w:tcPr>
            <w:tcW w:w="7238" w:type="dxa"/>
            <w:vAlign w:val="center"/>
          </w:tcPr>
          <w:p w14:paraId="018AAA3E">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1230×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3.器材主要承载立柱： Φ 114×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4.器材摆杆： Φ 60×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5.摆杆有限位装置，且单侧摆动幅度不大于 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6.摆杆与主立柱内侧的最小距离 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7.踏板采用 4mm 钢板冲压成形，且有防滑凸出，摩擦系数 0.6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9.坑基尺寸：（长×宽×高） 600× 600× 800mm  500×500×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11.太阳能电池板：规格： DC12V/80W 多晶太阳能电池板（670× 820× 30mm），方向可调节，方便采光、快速吸收太阳光能量。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13.显示屏：尺寸/分辨率： 5.0 英寸/800× 480（高清全彩液晶屏）背光类型/寿命/亮度：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显示功能：心率、运动时间、运动次数、频率、卡路里、电压显示、温度显示、日期时间</w:t>
            </w:r>
          </w:p>
        </w:tc>
      </w:tr>
      <w:tr w14:paraId="081E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7A20A8E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w:t>
            </w:r>
          </w:p>
        </w:tc>
        <w:tc>
          <w:tcPr>
            <w:tcW w:w="1637" w:type="dxa"/>
            <w:vAlign w:val="center"/>
          </w:tcPr>
          <w:p w14:paraId="5D8588D4">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智能双位骑马机</w:t>
            </w:r>
          </w:p>
        </w:tc>
        <w:tc>
          <w:tcPr>
            <w:tcW w:w="7238" w:type="dxa"/>
            <w:vAlign w:val="center"/>
          </w:tcPr>
          <w:p w14:paraId="0DCF1F41">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1.器材规格：（长×宽×高）：3136×1220×3211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3.器材主要承载横梁： Φ 76× 3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4.器材摆杆规格： Φ 60× 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5.座椅、靠背采用环保聚乙烯材质，具有抗紫外线耐衰老功能，上表面边缘大于 3mm 的弧度过渡；座椅下部、靠背后侧棱角圆滑过渡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6.摆杆有限制摆幅的限位装置，摆杆管材规格： Φ 60×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8.坑基尺寸：（长×宽×高） 600× 600× 800mm 500× 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10.太阳能电池板：规格： DC12V/80W 多晶太阳能电池板（670× 820× 30mm）， 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显示功能：卡路里、运动时间、运动次数、频率、电压显示、温度显示、日期时间</w:t>
            </w:r>
          </w:p>
        </w:tc>
      </w:tr>
      <w:tr w14:paraId="25C96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8FBE9D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w:t>
            </w:r>
          </w:p>
        </w:tc>
        <w:tc>
          <w:tcPr>
            <w:tcW w:w="1637" w:type="dxa"/>
            <w:vAlign w:val="center"/>
          </w:tcPr>
          <w:p w14:paraId="317DB621">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智能双位漫步机</w:t>
            </w:r>
          </w:p>
        </w:tc>
        <w:tc>
          <w:tcPr>
            <w:tcW w:w="7238" w:type="dxa"/>
            <w:vAlign w:val="center"/>
          </w:tcPr>
          <w:p w14:paraId="0A36E83D">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 （长×宽×高）： 2822× 1230×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3.器材主要承载立柱： Φ 114mm×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器材摆杆规格： Φ 60mm×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5.摆杆有限位装置，且单侧摆动幅度不大于 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6.摆杆与主立柱内侧的最小距离 63mm；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7.踏板采用 4mm 钢板冲压成形，且有防滑凸出，摩擦系数 0.6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9.坑基尺寸： （长×宽×高） 600× 600× 800mm 500×500×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11.太阳能电池板：规格： DC12V/80W 多晶太阳能电池板（670× 820× 30mm），方向可调节，方便采光、快速吸收太阳光能量。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显示功能：心率、卡路里、运动时间、运动次数、里程、频率、电压显示、温度显示、日期时间</w:t>
            </w:r>
          </w:p>
        </w:tc>
      </w:tr>
      <w:tr w14:paraId="2816F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1E321FA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w:t>
            </w:r>
          </w:p>
        </w:tc>
        <w:tc>
          <w:tcPr>
            <w:tcW w:w="1637" w:type="dxa"/>
            <w:vAlign w:val="center"/>
          </w:tcPr>
          <w:p w14:paraId="48B36356">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智能双位背部按摩器</w:t>
            </w:r>
          </w:p>
        </w:tc>
        <w:tc>
          <w:tcPr>
            <w:tcW w:w="7238" w:type="dxa"/>
            <w:vAlign w:val="center"/>
          </w:tcPr>
          <w:p w14:paraId="531149D3">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1342×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3.器材主要承载横梁： Φ 60×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4.器材各支撑人体的表面所有棱边和尖角其半径不小于3.0mm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5.活动部件设有限位装置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6.安装方式：预埋+直埋 预埋深度： 700mm 直埋深度： 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7.坑基尺寸：（长×宽×高） 600× 600× 800mm 500× 500×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9.太阳能电池板：规格： DC12V/80W 多晶太阳能电池板（670× 820× 30mm），方向可调节，方便采光、快速吸收太阳光能量。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显示功能：卡路里、运动时间、运动次数、频率、电压显示、温度显示、日期时间</w:t>
            </w:r>
          </w:p>
        </w:tc>
      </w:tr>
      <w:tr w14:paraId="2A3FC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49E76B2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17</w:t>
            </w:r>
          </w:p>
        </w:tc>
        <w:tc>
          <w:tcPr>
            <w:tcW w:w="1637" w:type="dxa"/>
            <w:vAlign w:val="center"/>
          </w:tcPr>
          <w:p w14:paraId="03F2BF47">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智能双位大转轮</w:t>
            </w:r>
          </w:p>
        </w:tc>
        <w:tc>
          <w:tcPr>
            <w:tcW w:w="7238" w:type="dxa"/>
            <w:vAlign w:val="center"/>
          </w:tcPr>
          <w:p w14:paraId="1BF8B72C">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1230×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3.器材承载横梁： Φ 60mm×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4.设有防止超速转动的阻尼装置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6.坑基尺寸：（长×宽×高） 600× 600× 800mm 500× 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8.太阳能电池板：规格： DC12V/80W 多晶太阳能电池板（670× 820× 30mm）， 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显示功能：卡路里、运动时间、 运动次数、频率、电压显示、温度显示、日期时间</w:t>
            </w:r>
          </w:p>
        </w:tc>
      </w:tr>
      <w:tr w14:paraId="2DB0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11872E1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1637" w:type="dxa"/>
            <w:vAlign w:val="center"/>
          </w:tcPr>
          <w:p w14:paraId="1790BF62">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智能双位揉推器</w:t>
            </w:r>
          </w:p>
        </w:tc>
        <w:tc>
          <w:tcPr>
            <w:tcW w:w="7238" w:type="dxa"/>
            <w:vAlign w:val="center"/>
          </w:tcPr>
          <w:p w14:paraId="3D617E9C">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1230×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3.器材承载横梁： Φ 60mm×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4.设有防止超速转动的阻尼装置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6.坑基尺寸：（长×宽×高） 600× 600× 800mm 500× 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8.太阳能电池板：规格： DC12V/80W 多晶太阳能电池板（670× 820× 30mm）， 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显示功能：卡路里、运动时间、 运动次数、频率、电压显示、温度显示、日期时间</w:t>
            </w:r>
          </w:p>
        </w:tc>
      </w:tr>
      <w:tr w14:paraId="64CB2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5AEEC5D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w:t>
            </w:r>
          </w:p>
        </w:tc>
        <w:tc>
          <w:tcPr>
            <w:tcW w:w="1637" w:type="dxa"/>
            <w:vAlign w:val="center"/>
          </w:tcPr>
          <w:p w14:paraId="4C945BFD">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智能双位蹬力器</w:t>
            </w:r>
          </w:p>
        </w:tc>
        <w:tc>
          <w:tcPr>
            <w:tcW w:w="7238" w:type="dxa"/>
            <w:vAlign w:val="center"/>
          </w:tcPr>
          <w:p w14:paraId="045A5C7B">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1230×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3.器材主要承载横梁： Φ 76× 3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4.器材摆杆规格： Φ 60× 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5.座椅、靠背采用环保聚乙烯材质，具有抗紫外线耐衰老功能，上表面边缘大于 3mm 的弧度过渡；座椅下部、靠背后侧棱角圆滑过渡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6.摆杆有限制摆幅的限位装置，摆杆管材规格： Φ 60×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8.坑基尺寸：（长×宽×高） 600× 600× 800mm 500× 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10.太阳能电池板：规格： DC12V/80W 多晶太阳能电池板（670× 820× 30mm）， 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显示功能：卡路里、运动时间、运动次数、频率、电压显示、温度显示、日期时间</w:t>
            </w:r>
          </w:p>
        </w:tc>
      </w:tr>
      <w:tr w14:paraId="5F966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78E9B50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w:t>
            </w:r>
          </w:p>
        </w:tc>
        <w:tc>
          <w:tcPr>
            <w:tcW w:w="1637" w:type="dxa"/>
            <w:vAlign w:val="center"/>
          </w:tcPr>
          <w:p w14:paraId="0EFC1E70">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智能双位划船器</w:t>
            </w:r>
          </w:p>
        </w:tc>
        <w:tc>
          <w:tcPr>
            <w:tcW w:w="7238" w:type="dxa"/>
            <w:vAlign w:val="center"/>
          </w:tcPr>
          <w:p w14:paraId="291120B1">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1482×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3.器材主要承载横梁： Φ 60×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4.活动部件设有限位装置，部件下底面距地面最小高度 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5.座椅、靠背采用环保聚乙烯材质，具有抗紫外线耐衰老功能；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6.安装方式：预埋+直埋 预埋深度： 700mm 直埋深度： 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地基尺寸：（长×宽×高） 600× 600× 800mm 500× 500×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9.太阳能电池板：规格： DC12V/80W 多晶太阳能电池板（670× 820× 30mm）， 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显示功能：卡路里、运动时间、运动次数、里程、频率、电压显示、温度显示、日期时间</w:t>
            </w:r>
          </w:p>
        </w:tc>
      </w:tr>
      <w:tr w14:paraId="179CB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4BA1AD5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21</w:t>
            </w:r>
          </w:p>
        </w:tc>
        <w:tc>
          <w:tcPr>
            <w:tcW w:w="1637" w:type="dxa"/>
            <w:vAlign w:val="center"/>
          </w:tcPr>
          <w:p w14:paraId="1C472FBC">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智能双位扭腰器</w:t>
            </w:r>
          </w:p>
        </w:tc>
        <w:tc>
          <w:tcPr>
            <w:tcW w:w="7238" w:type="dxa"/>
            <w:vAlign w:val="center"/>
          </w:tcPr>
          <w:p w14:paraId="667098CE">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1230×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3.器材主要承载横梁： Φ 60×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4.器材各支撑人体的表面所有棱边和尖角半径不小于 3.0mm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5.扭腰盘使用金属材质； Q235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6.扭腰盘有防止超速转动的阻尼装置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7.安装方式：预埋+直埋 预埋深度： 700mm 直埋深度： 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8.地基尺寸：（长×宽×高） 600× 600× 800mm 500× 500×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10.太阳能电池板：规格： DC12V/80W 多晶太阳能电池板（670× 820× 30mm），方向可调节，方便采光、快速吸收太阳光能量。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显示功能：心率、卡路里、运动时间、运动次数、频率、电压显示、温度显示、日期时间</w:t>
            </w:r>
          </w:p>
        </w:tc>
      </w:tr>
      <w:tr w14:paraId="421FF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923" w:type="dxa"/>
            <w:vAlign w:val="center"/>
          </w:tcPr>
          <w:p w14:paraId="479BC1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22</w:t>
            </w:r>
          </w:p>
        </w:tc>
        <w:tc>
          <w:tcPr>
            <w:tcW w:w="1637" w:type="dxa"/>
            <w:vAlign w:val="center"/>
          </w:tcPr>
          <w:p w14:paraId="5B73B4FC">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智能双位跷跷板</w:t>
            </w:r>
          </w:p>
        </w:tc>
        <w:tc>
          <w:tcPr>
            <w:tcW w:w="7238" w:type="dxa"/>
            <w:vAlign w:val="center"/>
          </w:tcPr>
          <w:p w14:paraId="613302E2">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1230×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3.器材主要承载立柱： Φ 114×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4.主要承载横梁:Φ 89×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5.使用者在器材上面，运动至下极限位置时，活动杆件底部距离地面 295mm，有前扶手，最大跌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落高度 823mm，倾斜角度 11°。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6.座椅上面边缘以 R3mm 的圆弧过渡；单侧偏摆量不大于 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8.坑基尺寸：（长×宽×高） 600 × 600× 800mm 500× 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10.太阳能电池板：规格： DC12V/80W 多晶太阳能电池板（670× 820× 30mm），方向可调节，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显示功能：运动时间、运动次数、卡路里、频率、电压显示、温度显示、日期时间</w:t>
            </w:r>
          </w:p>
        </w:tc>
      </w:tr>
      <w:tr w14:paraId="1B06C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0DBE736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23</w:t>
            </w:r>
          </w:p>
        </w:tc>
        <w:tc>
          <w:tcPr>
            <w:tcW w:w="1637" w:type="dxa"/>
            <w:vAlign w:val="center"/>
          </w:tcPr>
          <w:p w14:paraId="58244D68">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智能双位推举器</w:t>
            </w:r>
          </w:p>
        </w:tc>
        <w:tc>
          <w:tcPr>
            <w:tcW w:w="7238" w:type="dxa"/>
            <w:vAlign w:val="center"/>
          </w:tcPr>
          <w:p w14:paraId="0355DCA6">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1294×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3.器材主要承载立柱： Φ 114×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4.器材承载横梁尺寸： Φ 60×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5.座椅、靠背采用环保聚乙烯材质，具有抗紫外线耐衰老功能，上表面边缘大于 3mm 的弧度过渡；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座椅下部、靠背后侧棱角圆滑过渡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6.支撑座椅部件处设有限位装置；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7.活动部件的下低面距地面的最小高度为 440mm；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9.坑基尺寸：（长×宽×高） 600× 600× 800mm 500×500×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11.太阳能电池板：规格： DC12V/80W 多晶太阳能电池板（670× 820× 30mm），方向可调节，方便采光、快速吸收太阳光能量。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显示功能：卡路里、运动时间、运动次数、频率、电压显示、温度显示、日期时间</w:t>
            </w:r>
          </w:p>
        </w:tc>
      </w:tr>
      <w:tr w14:paraId="5451C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62FC58C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24</w:t>
            </w:r>
          </w:p>
        </w:tc>
        <w:tc>
          <w:tcPr>
            <w:tcW w:w="1637" w:type="dxa"/>
            <w:vAlign w:val="center"/>
          </w:tcPr>
          <w:p w14:paraId="7D29267F">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智能双位椭圆机</w:t>
            </w:r>
          </w:p>
        </w:tc>
        <w:tc>
          <w:tcPr>
            <w:tcW w:w="7238" w:type="dxa"/>
            <w:vAlign w:val="center"/>
          </w:tcPr>
          <w:p w14:paraId="037902B2">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1230×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3.器材主要承载立柱： Φ 114×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4.器材主要承载横梁： Φ 60× 40×3mm。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5.摆杆与主立柱的最小距离 104mm；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6.踏板采用 4mm 钢板冲压成形，且有防滑凸出，摩擦系数 0.6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8.坑基尺寸：（长×宽×高） 600× 600× 800mm 500× 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10.太阳能电池板：规格： DC12V/80W 多晶太阳能电池板（670× 820× 30mm），方向可调节，方便采光、快速吸收太阳光能量。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显示功能：运动时间、运动次数、里程、频率、卡路里、电压显示、温度显示、日期时间</w:t>
            </w:r>
          </w:p>
        </w:tc>
      </w:tr>
      <w:tr w14:paraId="3ECF5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0303B9F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25</w:t>
            </w:r>
          </w:p>
        </w:tc>
        <w:tc>
          <w:tcPr>
            <w:tcW w:w="1637" w:type="dxa"/>
            <w:vAlign w:val="center"/>
          </w:tcPr>
          <w:p w14:paraId="5F89731C">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智能双位下压器</w:t>
            </w:r>
          </w:p>
        </w:tc>
        <w:tc>
          <w:tcPr>
            <w:tcW w:w="7238" w:type="dxa"/>
            <w:vAlign w:val="center"/>
          </w:tcPr>
          <w:p w14:paraId="7BFA4C2A">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1294×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3.器材主要承载立柱： Φ 114×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4.器材承载横梁尺寸： Φ 60×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5.座椅、靠背采用环保聚乙烯材质，具有抗紫外线耐衰老功能，上表面边缘大于 3mm 的弧度过渡；座椅下部、靠背后侧棱角圆滑过渡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6.支撑座椅部件处设有限位装置；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7.活动部件的下低面距地面的最小高度为 440mm；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9.坑基尺寸：（长×宽×高） 600× 600× 800mm 500×500×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11.太阳能电池板：规格： DC12V/80W 多晶太阳能电池板（670× 820× 30mm），方向可调节，方便采光、快速吸收太阳光能量。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显示功能：卡路里、运动时间、运动次数、频率、电压显示、温度显示、日期时间</w:t>
            </w:r>
          </w:p>
        </w:tc>
      </w:tr>
      <w:tr w14:paraId="6A222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3" w:type="dxa"/>
            <w:vAlign w:val="center"/>
          </w:tcPr>
          <w:p w14:paraId="35A1C76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26</w:t>
            </w:r>
          </w:p>
        </w:tc>
        <w:tc>
          <w:tcPr>
            <w:tcW w:w="1637" w:type="dxa"/>
            <w:vAlign w:val="center"/>
          </w:tcPr>
          <w:p w14:paraId="3B7E7402">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智能双位健身车</w:t>
            </w:r>
          </w:p>
        </w:tc>
        <w:tc>
          <w:tcPr>
            <w:tcW w:w="7238" w:type="dxa"/>
            <w:vAlign w:val="center"/>
          </w:tcPr>
          <w:p w14:paraId="369E9A4C">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1230×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3.器材主要承载立柱： Φ 114mm×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4.器材承载横梁： Φ 60mm×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5.器材设有阻尼装置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6.曲杆与支架式护罩间满足 GB19272-2011 安全标准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7.两人使用自动激活互动竞赛模式（竞赛结果显示屏有数据显示）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9.坑基尺寸：（长×宽×高） 600× 600× 800mm 500×500×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11.太阳能电池板：规格： DC12V/80W 多晶太阳能电池板（670× 820× 30mm），方向可调节，方便采光、快速吸收太阳光能量。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12.锂电池：规格： 400× 150× 100mm 容量： 12V50Ah 使用寿命：六年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显示功能：心率、卡路里、运动时间、运动次数、里程、频率、电压显示、温度显示、日期时间</w:t>
            </w:r>
          </w:p>
        </w:tc>
      </w:tr>
      <w:tr w14:paraId="703E1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2CC6D67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27</w:t>
            </w:r>
          </w:p>
        </w:tc>
        <w:tc>
          <w:tcPr>
            <w:tcW w:w="1637" w:type="dxa"/>
            <w:vAlign w:val="center"/>
          </w:tcPr>
          <w:p w14:paraId="411D2CE0">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智能双位坐拉训练器</w:t>
            </w:r>
          </w:p>
        </w:tc>
        <w:tc>
          <w:tcPr>
            <w:tcW w:w="7238" w:type="dxa"/>
            <w:vAlign w:val="center"/>
          </w:tcPr>
          <w:p w14:paraId="38F7A5A6">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1.器材规格：（长×宽×高）： 2822× 1230× 3026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3.器材主要承载横梁： Φ 76× 3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4.器材摆杆规格： Φ 60× 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5.座椅、靠背采用环保聚乙烯材质，具有抗紫外线耐衰老功能，上表面边缘大于 3mm 的弧度过渡；座椅下部、靠背后侧棱角圆滑过渡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6.摆杆有限制摆幅的限位装置，摆杆管材规格： Φ 60×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7.安装方式：预埋+直埋 预埋深度： 700mm 直埋深度： 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8.坑基尺寸：（长×宽×高） 600× 600× 800mm 500× 500× 600mm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10.太阳能电池板：规格： DC12V/80W 多晶太阳能电池板（670× 820× 30mm）， 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显示功能：卡路里、运动时间、运动次数、频率、电压显示、温度显示、日期时间</w:t>
            </w:r>
          </w:p>
        </w:tc>
      </w:tr>
      <w:tr w14:paraId="26C49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61C83F4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28</w:t>
            </w:r>
          </w:p>
        </w:tc>
        <w:tc>
          <w:tcPr>
            <w:tcW w:w="1637" w:type="dxa"/>
            <w:vAlign w:val="center"/>
          </w:tcPr>
          <w:p w14:paraId="129E5C62">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智能组合健身驿站</w:t>
            </w:r>
          </w:p>
        </w:tc>
        <w:tc>
          <w:tcPr>
            <w:tcW w:w="7238" w:type="dxa"/>
            <w:vAlign w:val="center"/>
          </w:tcPr>
          <w:p w14:paraId="254C2820">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1.器材规格：（长高）：5200*4050 ㎜（±10mm）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2.主要承载立柱： 150× 150× 3 ㎜ 钢管、 立柱两侧采用环保 PVC 共挤塑木+铝合金。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3.器材主要承载横梁： Φ 60× 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4.活动部件设有限位装置，部件下底面距地面最小高度 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5.座椅、靠背采用环保聚乙烯材质，具有抗紫外线耐衰老功能；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6.安装方式：预埋+直埋 预埋深度： 700mm 直埋深度： 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7. 单件立柱地基尺寸：（长×宽×高） 600× 600× 800mm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8.器材顶部采用环保耐力板（聚碳酸脂）遮阳棚，新能源太阳能板发电及配套电池存储装置，LED 智能照明系统。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9.太阳能电池板：规格： DC12V/80W 多晶太阳能电池板（670× 820× 30mm）， 方向可调节，方便采光、快速吸收太阳光能量。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10.锂电池：规格： 400× 150× 100mm 容量： 12V50Ah 使用寿命： 六年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锂电池外部采用一次性钢板折弯保护箱保护，防水防晒防腐蚀，充满电后不间断使用可达到28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11.显示屏：尺寸/分辨率： 5.0 英寸/800× 480（高清全彩液晶屏）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背光类型/寿命/亮度： LED/20.000Hrs/400cd/㎡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工作温度： -40~+80℃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供电压： 6V~35V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防水系数： 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显示功能：卡路里、运动时间、运动次数、里程、频率、电压显示、温度显示、日期时间</w:t>
            </w:r>
          </w:p>
        </w:tc>
      </w:tr>
      <w:tr w14:paraId="079FE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299E2ED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29</w:t>
            </w:r>
          </w:p>
        </w:tc>
        <w:tc>
          <w:tcPr>
            <w:tcW w:w="1637" w:type="dxa"/>
            <w:vAlign w:val="center"/>
          </w:tcPr>
          <w:p w14:paraId="32640414">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单杠</w:t>
            </w:r>
          </w:p>
        </w:tc>
        <w:tc>
          <w:tcPr>
            <w:tcW w:w="7238" w:type="dxa"/>
            <w:vAlign w:val="center"/>
          </w:tcPr>
          <w:p w14:paraId="1E63EE11">
            <w:pPr>
              <w:keepNext w:val="0"/>
              <w:keepLines w:val="0"/>
              <w:widowControl/>
              <w:suppressLineNumbers w:val="0"/>
              <w:jc w:val="left"/>
              <w:textAlignment w:val="center"/>
              <w:rPr>
                <w:rFonts w:hint="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1、主要承载立柱采用直径114mm、厚度3mm标准钢管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2、焊接前采用喷丸除锈和震动除锈，与器材的负载强度和安全使用期限相匹配。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3、立柱地埋深度为400mm，地基尺寸为400*400*400mm                                                                           器材规格：3000*114*2800mm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4、功能：拉伸腿部韧带、伸展腰部、消除下肢和腰部疲劳。</w:t>
            </w:r>
          </w:p>
        </w:tc>
      </w:tr>
      <w:tr w14:paraId="32AA5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15224C3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30</w:t>
            </w:r>
          </w:p>
        </w:tc>
        <w:tc>
          <w:tcPr>
            <w:tcW w:w="1637" w:type="dxa"/>
            <w:vAlign w:val="center"/>
          </w:tcPr>
          <w:p w14:paraId="06906727">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天梯</w:t>
            </w:r>
          </w:p>
        </w:tc>
        <w:tc>
          <w:tcPr>
            <w:tcW w:w="7238" w:type="dxa"/>
            <w:vAlign w:val="center"/>
          </w:tcPr>
          <w:p w14:paraId="74DB716D">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器材规格：3000*860*2800mm;1、立柱规格：∮114×3mm国标钢管；2.副管32*2.5mm圆管；安装采用直埋方式，混凝土基坑不小于400×400×400mm，混凝土强度为C25，更加坚固牢靠。.产品符合（GB19272-2011）健身器材安全标准。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功能：增强上肢、肩部、胸、力量和柔韧性。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锻炼方法：攀爬</w:t>
            </w:r>
          </w:p>
        </w:tc>
      </w:tr>
      <w:tr w14:paraId="07C6B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67DEC53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31</w:t>
            </w:r>
          </w:p>
        </w:tc>
        <w:tc>
          <w:tcPr>
            <w:tcW w:w="1637" w:type="dxa"/>
            <w:vAlign w:val="center"/>
          </w:tcPr>
          <w:p w14:paraId="5F44743C">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国标户外乒乓球案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（加厚面板加厚钢材）</w:t>
            </w:r>
          </w:p>
        </w:tc>
        <w:tc>
          <w:tcPr>
            <w:tcW w:w="7238" w:type="dxa"/>
            <w:vAlign w:val="center"/>
          </w:tcPr>
          <w:p w14:paraId="2BFB8176">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室外使用，球台由台面、支架、网架、连接杆组成。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球台规格为：2740*1525*760mm，台面采用SMC片状膜材料，由不饱和树脂、增稠剂、引发剂、低收缩添加剂、脱模剂、着色剂、交联剂组成，整体高温模压一次成型，台面面板厚度5mm，翻边宽度50mm，翻边厚度7mm，台面背部应采用不小于20*30*0.8mm的钢管支撑架连接，每半块板面支撑框架应不少于4横4纵支架管连接；台面喷深蓝色氟碳漆，四周有白线、宽度应不大于20mm，中间有白色中线，宽度3mm，白线手摸无凸起感，褪色率达3年以上，台面耐磨性强、防腐、防晒、防雨、防风、阻燃、环保、不易变形、零收缩、耐老化程度可达8年（非人为破坏），弹性230-260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支架为φ60*1.8mm的优质钢管，用自动弯管机一次性弯制成彩虹式，中间连接杆采用φ32*1.2mm的优质钢管支撑，网架采用φ16*1.5mm的钢管精悍而成，网架高度152.5mm。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台脚与端面距离＞150mm，,台脚与两侧距离＞100mm，端部和侧面撑档与地面距离＞250mm，所有支架金属外表经喷砂抛丸、酸洗磷化后静电喷涂。所有紧固件均采用放退热镀锌螺栓、螺母、垫片，防锈防松。</w:t>
            </w:r>
          </w:p>
        </w:tc>
      </w:tr>
      <w:tr w14:paraId="795A6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7FBA403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32</w:t>
            </w:r>
          </w:p>
        </w:tc>
        <w:tc>
          <w:tcPr>
            <w:tcW w:w="1637" w:type="dxa"/>
            <w:vAlign w:val="center"/>
          </w:tcPr>
          <w:p w14:paraId="693437D9">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太极柔力球</w:t>
            </w:r>
          </w:p>
        </w:tc>
        <w:tc>
          <w:tcPr>
            <w:tcW w:w="7238" w:type="dxa"/>
            <w:vAlign w:val="center"/>
          </w:tcPr>
          <w:p w14:paraId="5A403198">
            <w:pPr>
              <w:keepNext w:val="0"/>
              <w:keepLines w:val="0"/>
              <w:widowControl/>
              <w:suppressLineNumbers w:val="0"/>
              <w:jc w:val="center"/>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球拍+球（1套）</w:t>
            </w:r>
          </w:p>
        </w:tc>
      </w:tr>
      <w:tr w14:paraId="3C737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1685D2C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33</w:t>
            </w:r>
          </w:p>
        </w:tc>
        <w:tc>
          <w:tcPr>
            <w:tcW w:w="1637" w:type="dxa"/>
            <w:vAlign w:val="center"/>
          </w:tcPr>
          <w:p w14:paraId="2A7F07A8">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太极扇</w:t>
            </w:r>
          </w:p>
        </w:tc>
        <w:tc>
          <w:tcPr>
            <w:tcW w:w="7238" w:type="dxa"/>
            <w:vAlign w:val="center"/>
          </w:tcPr>
          <w:p w14:paraId="1FA672B5">
            <w:pPr>
              <w:keepNext w:val="0"/>
              <w:keepLines w:val="0"/>
              <w:widowControl/>
              <w:suppressLineNumbers w:val="0"/>
              <w:jc w:val="center"/>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33cm黑竹骨</w:t>
            </w:r>
          </w:p>
        </w:tc>
      </w:tr>
      <w:tr w14:paraId="3E634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020F60F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w:t>
            </w:r>
          </w:p>
        </w:tc>
        <w:tc>
          <w:tcPr>
            <w:tcW w:w="1637" w:type="dxa"/>
            <w:vAlign w:val="center"/>
          </w:tcPr>
          <w:p w14:paraId="134C2CE9">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舞龙彩带</w:t>
            </w:r>
          </w:p>
        </w:tc>
        <w:tc>
          <w:tcPr>
            <w:tcW w:w="7238" w:type="dxa"/>
            <w:vAlign w:val="center"/>
          </w:tcPr>
          <w:p w14:paraId="6DD8E7F4">
            <w:pPr>
              <w:keepNext w:val="0"/>
              <w:keepLines w:val="0"/>
              <w:widowControl/>
              <w:suppressLineNumbers w:val="0"/>
              <w:jc w:val="center"/>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长度：3m</w:t>
            </w:r>
          </w:p>
        </w:tc>
      </w:tr>
      <w:tr w14:paraId="7268C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B3BA55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35</w:t>
            </w:r>
          </w:p>
        </w:tc>
        <w:tc>
          <w:tcPr>
            <w:tcW w:w="1637" w:type="dxa"/>
            <w:vAlign w:val="center"/>
          </w:tcPr>
          <w:p w14:paraId="691CB56F">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园内主题元素、标识</w:t>
            </w:r>
          </w:p>
        </w:tc>
        <w:tc>
          <w:tcPr>
            <w:tcW w:w="7238" w:type="dxa"/>
            <w:vAlign w:val="center"/>
          </w:tcPr>
          <w:p w14:paraId="479B7E33">
            <w:pPr>
              <w:keepNext w:val="0"/>
              <w:keepLines w:val="0"/>
              <w:widowControl/>
              <w:suppressLineNumbers w:val="0"/>
              <w:jc w:val="center"/>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需协商方案，设计内容，最终价格以实际工程量为准</w:t>
            </w:r>
          </w:p>
        </w:tc>
      </w:tr>
      <w:tr w14:paraId="4C56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2C67FCC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36</w:t>
            </w:r>
          </w:p>
        </w:tc>
        <w:tc>
          <w:tcPr>
            <w:tcW w:w="1637" w:type="dxa"/>
            <w:vAlign w:val="center"/>
          </w:tcPr>
          <w:p w14:paraId="2516AF75">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户外组合音响设备</w:t>
            </w:r>
          </w:p>
        </w:tc>
        <w:tc>
          <w:tcPr>
            <w:tcW w:w="7238" w:type="dxa"/>
            <w:vAlign w:val="center"/>
          </w:tcPr>
          <w:p w14:paraId="4128F130">
            <w:pPr>
              <w:keepNext w:val="0"/>
              <w:keepLines w:val="0"/>
              <w:widowControl/>
              <w:suppressLineNumbers w:val="0"/>
              <w:jc w:val="center"/>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后附详细方案及清单</w:t>
            </w:r>
          </w:p>
        </w:tc>
      </w:tr>
      <w:tr w14:paraId="7C6D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7FF092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37</w:t>
            </w:r>
          </w:p>
        </w:tc>
        <w:tc>
          <w:tcPr>
            <w:tcW w:w="1637" w:type="dxa"/>
            <w:vAlign w:val="center"/>
          </w:tcPr>
          <w:p w14:paraId="355F00BC">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户外组合灯光设备</w:t>
            </w:r>
          </w:p>
        </w:tc>
        <w:tc>
          <w:tcPr>
            <w:tcW w:w="7238" w:type="dxa"/>
            <w:vAlign w:val="center"/>
          </w:tcPr>
          <w:p w14:paraId="6B949CB1">
            <w:pPr>
              <w:keepNext w:val="0"/>
              <w:keepLines w:val="0"/>
              <w:widowControl/>
              <w:suppressLineNumbers w:val="0"/>
              <w:jc w:val="center"/>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后附详细方案及清单</w:t>
            </w:r>
          </w:p>
        </w:tc>
      </w:tr>
      <w:tr w14:paraId="29E47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0B0001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38</w:t>
            </w:r>
          </w:p>
        </w:tc>
        <w:tc>
          <w:tcPr>
            <w:tcW w:w="1637" w:type="dxa"/>
            <w:vAlign w:val="center"/>
          </w:tcPr>
          <w:p w14:paraId="19BF1757">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户外大型广场显示屏</w:t>
            </w:r>
          </w:p>
        </w:tc>
        <w:tc>
          <w:tcPr>
            <w:tcW w:w="7238" w:type="dxa"/>
            <w:vAlign w:val="center"/>
          </w:tcPr>
          <w:p w14:paraId="6E9FA0B3">
            <w:pPr>
              <w:keepNext w:val="0"/>
              <w:keepLines w:val="0"/>
              <w:widowControl/>
              <w:suppressLineNumbers w:val="0"/>
              <w:jc w:val="center"/>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后附详细方案及清单</w:t>
            </w:r>
          </w:p>
        </w:tc>
      </w:tr>
      <w:tr w14:paraId="5BF31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008D939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39</w:t>
            </w:r>
          </w:p>
        </w:tc>
        <w:tc>
          <w:tcPr>
            <w:tcW w:w="1637" w:type="dxa"/>
            <w:vAlign w:val="center"/>
          </w:tcPr>
          <w:p w14:paraId="1DC49C45">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盘鼓</w:t>
            </w:r>
          </w:p>
        </w:tc>
        <w:tc>
          <w:tcPr>
            <w:tcW w:w="7238" w:type="dxa"/>
            <w:vAlign w:val="center"/>
          </w:tcPr>
          <w:p w14:paraId="1B9CC1F9">
            <w:pPr>
              <w:keepNext w:val="0"/>
              <w:keepLines w:val="0"/>
              <w:widowControl/>
              <w:suppressLineNumbers w:val="0"/>
              <w:jc w:val="center"/>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8寸（26*8.5cm）配木棒</w:t>
            </w:r>
          </w:p>
        </w:tc>
      </w:tr>
      <w:tr w14:paraId="3200C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65A870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40</w:t>
            </w:r>
          </w:p>
        </w:tc>
        <w:tc>
          <w:tcPr>
            <w:tcW w:w="1637" w:type="dxa"/>
            <w:vAlign w:val="center"/>
          </w:tcPr>
          <w:p w14:paraId="4B0567DE">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腰鼓</w:t>
            </w:r>
          </w:p>
        </w:tc>
        <w:tc>
          <w:tcPr>
            <w:tcW w:w="7238" w:type="dxa"/>
            <w:vAlign w:val="center"/>
          </w:tcPr>
          <w:p w14:paraId="06F43CC9">
            <w:pPr>
              <w:keepNext w:val="0"/>
              <w:keepLines w:val="0"/>
              <w:widowControl/>
              <w:suppressLineNumbers w:val="0"/>
              <w:jc w:val="center"/>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15cm*32cm腰鼓（整套）</w:t>
            </w:r>
          </w:p>
        </w:tc>
      </w:tr>
      <w:tr w14:paraId="2DA98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6EF12E3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41</w:t>
            </w:r>
          </w:p>
        </w:tc>
        <w:tc>
          <w:tcPr>
            <w:tcW w:w="1637" w:type="dxa"/>
            <w:vAlign w:val="center"/>
          </w:tcPr>
          <w:p w14:paraId="467BE1EA">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室外象棋桌</w:t>
            </w:r>
          </w:p>
        </w:tc>
        <w:tc>
          <w:tcPr>
            <w:tcW w:w="7238" w:type="dxa"/>
            <w:vAlign w:val="center"/>
          </w:tcPr>
          <w:p w14:paraId="28130EA0">
            <w:pPr>
              <w:keepNext w:val="0"/>
              <w:keepLines w:val="0"/>
              <w:widowControl/>
              <w:suppressLineNumbers w:val="0"/>
              <w:jc w:val="left"/>
              <w:textAlignment w:val="center"/>
              <w:rPr>
                <w:rFonts w:hint="eastAsia" w:ascii="宋体" w:hAnsi="宋体" w:eastAsia="宋体" w:cs="宋体"/>
                <w:color w:val="auto"/>
                <w:spacing w:val="25"/>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产品规格：1500×1500×1200mm（±10mm）。主立柱为（φ114×3）mm的标准焊管，桌面材质为不锈钢尺寸：620*620*20mm，不锈钢桌面盖在框架上，并用不锈钢拉铆钉加以固定；桌面采用腐蚀印刷，腐蚀印刷后使用纯聚酯罩光粉进行二次喷涂。座子采用4mm冲压铁座，直径φ300；安装采用直埋方式，立柱下埋深度400mm,立柱地基尺寸（400×400×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功能：休闲娱乐之用</w:t>
            </w:r>
          </w:p>
        </w:tc>
      </w:tr>
      <w:tr w14:paraId="33DE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98" w:type="dxa"/>
            <w:gridSpan w:val="3"/>
            <w:vAlign w:val="top"/>
          </w:tcPr>
          <w:p w14:paraId="16297E75">
            <w:pPr>
              <w:spacing w:before="42" w:line="249" w:lineRule="auto"/>
              <w:ind w:left="385" w:right="134" w:hanging="23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户外组合音响设备</w:t>
            </w:r>
            <w:r>
              <w:rPr>
                <w:rFonts w:hint="eastAsia" w:ascii="宋体" w:hAnsi="宋体" w:eastAsia="宋体" w:cs="宋体"/>
                <w:color w:val="auto"/>
                <w:sz w:val="21"/>
                <w:szCs w:val="21"/>
                <w:highlight w:val="none"/>
                <w:lang w:eastAsia="zh-CN"/>
              </w:rPr>
              <w:t>（详细方案及清单）</w:t>
            </w:r>
          </w:p>
        </w:tc>
      </w:tr>
      <w:tr w14:paraId="6585A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923" w:type="dxa"/>
            <w:vAlign w:val="top"/>
          </w:tcPr>
          <w:p w14:paraId="74D9DF56">
            <w:pPr>
              <w:spacing w:line="274" w:lineRule="auto"/>
              <w:rPr>
                <w:rFonts w:hint="eastAsia" w:ascii="宋体" w:hAnsi="宋体" w:eastAsia="宋体" w:cs="宋体"/>
                <w:color w:val="auto"/>
                <w:sz w:val="21"/>
                <w:szCs w:val="21"/>
                <w:highlight w:val="none"/>
              </w:rPr>
            </w:pPr>
          </w:p>
          <w:p w14:paraId="55C30244">
            <w:pPr>
              <w:spacing w:before="75" w:line="229" w:lineRule="auto"/>
              <w:ind w:left="303" w:leftChars="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序</w:t>
            </w:r>
            <w:r>
              <w:rPr>
                <w:rFonts w:hint="eastAsia" w:ascii="宋体" w:hAnsi="宋体" w:eastAsia="宋体" w:cs="宋体"/>
                <w:color w:val="auto"/>
                <w:spacing w:val="5"/>
                <w:sz w:val="21"/>
                <w:szCs w:val="21"/>
                <w:highlight w:val="none"/>
              </w:rPr>
              <w:t>号</w:t>
            </w:r>
          </w:p>
        </w:tc>
        <w:tc>
          <w:tcPr>
            <w:tcW w:w="1637" w:type="dxa"/>
            <w:vAlign w:val="top"/>
          </w:tcPr>
          <w:p w14:paraId="62A6E834">
            <w:pPr>
              <w:spacing w:line="274" w:lineRule="auto"/>
              <w:rPr>
                <w:rFonts w:hint="eastAsia" w:ascii="宋体" w:hAnsi="宋体" w:eastAsia="宋体" w:cs="宋体"/>
                <w:color w:val="auto"/>
                <w:sz w:val="21"/>
                <w:szCs w:val="21"/>
                <w:highlight w:val="none"/>
              </w:rPr>
            </w:pPr>
          </w:p>
          <w:p w14:paraId="72C58674">
            <w:pPr>
              <w:spacing w:before="75" w:line="227" w:lineRule="auto"/>
              <w:ind w:left="327" w:leftChars="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货物名称</w:t>
            </w:r>
          </w:p>
        </w:tc>
        <w:tc>
          <w:tcPr>
            <w:tcW w:w="7238" w:type="dxa"/>
            <w:vAlign w:val="top"/>
          </w:tcPr>
          <w:p w14:paraId="73725B09">
            <w:pPr>
              <w:spacing w:line="275" w:lineRule="auto"/>
              <w:rPr>
                <w:rFonts w:hint="eastAsia" w:ascii="宋体" w:hAnsi="宋体" w:eastAsia="宋体" w:cs="宋体"/>
                <w:color w:val="auto"/>
                <w:sz w:val="21"/>
                <w:szCs w:val="21"/>
                <w:highlight w:val="none"/>
              </w:rPr>
            </w:pPr>
          </w:p>
          <w:p w14:paraId="485D3BFC">
            <w:pPr>
              <w:spacing w:before="74" w:line="227" w:lineRule="auto"/>
              <w:ind w:left="1898"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参数要求</w:t>
            </w:r>
          </w:p>
        </w:tc>
      </w:tr>
      <w:tr w14:paraId="2F6F9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923" w:type="dxa"/>
            <w:vAlign w:val="top"/>
          </w:tcPr>
          <w:p w14:paraId="35E1CC1D">
            <w:pPr>
              <w:spacing w:before="74" w:line="19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37" w:type="dxa"/>
            <w:vAlign w:val="center"/>
          </w:tcPr>
          <w:p w14:paraId="1EA841C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音箱</w:t>
            </w:r>
          </w:p>
        </w:tc>
        <w:tc>
          <w:tcPr>
            <w:tcW w:w="7238" w:type="dxa"/>
            <w:vAlign w:val="center"/>
          </w:tcPr>
          <w:p w14:paraId="350D5BD8">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Components单元  LF: 2x15" HF: 1x3"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Frequency Response频响  40Hz-20kHz)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Sensitivity(1W/1M)灵敏度  100dB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Maximum Peak SPL最大声压级  130dB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Rated Power(RMS)额定功率  800W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Peak Power(PEAK)峰值功率  1600W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Impedance(Ohm)标称阻抗  4 Ohm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Crossover分频点  1.9KHz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Dispersion Angle(-6dB)指向性  90⁰H × 60⁰V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Connectors链接插座  2xNL4 Speakon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Riggings吊挂硬件  9×M8吊点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Enclosure Material板材材质  高强度加厚夹板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Cabinet Finish表面处理  德国励宝环保加硬水性漆Protective Grille面罩  黑色钢网内加防水声学网布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Dimensions (mm)箱体尺寸不小于 W:550mm*H:1240mm*D602mm*</w:t>
            </w:r>
          </w:p>
        </w:tc>
      </w:tr>
      <w:tr w14:paraId="27961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23" w:type="dxa"/>
            <w:vAlign w:val="top"/>
          </w:tcPr>
          <w:p w14:paraId="245EA0B0">
            <w:pPr>
              <w:spacing w:before="75" w:line="19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37" w:type="dxa"/>
            <w:vAlign w:val="center"/>
          </w:tcPr>
          <w:p w14:paraId="6215289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功放</w:t>
            </w:r>
          </w:p>
        </w:tc>
        <w:tc>
          <w:tcPr>
            <w:tcW w:w="7238" w:type="dxa"/>
            <w:vAlign w:val="center"/>
          </w:tcPr>
          <w:p w14:paraId="48AFDEF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1、独立的左右音量增益控制旋钮；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2、面板带LED显示其工作状态（电源.信号.过载.保护）；                                                                                                                                                                                        3. 独特的外观设计解决的设备长时间工作散热不良的情况：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3、电源采用二级防浪涌冲击电路控制，避免音箱瞬间产生电流冲击异响.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4、内置自动限幅压限器；高频自激检测电路.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5、立体声功率：8Ω（1500W*2）, 4Ω（2700W*2）；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6、桥接功率:8Ω(5400W）；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7、频率响应：20Hz-20KHz（+/-0.25dB)；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8、输入灵敏度：0dB-32dB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9、总谐波失真：&lt;0.025%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10、输入阻抗：10KΩ；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11、信号信噪比：〉105dB；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12、信道分离度：〉90dB；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13、阻尼系数：〉1000；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14、转换速率：85V/μS；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15、保护：短路、过载、过流、低阻、直流失调、过热、开机防浪涌冲击；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16、冷却：根据机器内部温升自动调节风扇转速（无极调速）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电源：220V/50Hz；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18、尺寸</w:t>
            </w:r>
            <w:r>
              <w:rPr>
                <w:rFonts w:hint="eastAsia" w:ascii="宋体" w:hAnsi="宋体" w:eastAsia="宋体" w:cs="宋体"/>
                <w:b/>
                <w:bCs/>
                <w:i w:val="0"/>
                <w:iCs w:val="0"/>
                <w:color w:val="auto"/>
                <w:kern w:val="0"/>
                <w:sz w:val="21"/>
                <w:szCs w:val="21"/>
                <w:highlight w:val="none"/>
                <w:u w:val="none"/>
                <w:lang w:val="en-US" w:eastAsia="zh-CN" w:bidi="ar"/>
              </w:rPr>
              <w:t>不小于</w:t>
            </w:r>
            <w:r>
              <w:rPr>
                <w:rFonts w:hint="eastAsia" w:ascii="宋体" w:hAnsi="宋体" w:eastAsia="宋体" w:cs="宋体"/>
                <w:i w:val="0"/>
                <w:iCs w:val="0"/>
                <w:color w:val="auto"/>
                <w:kern w:val="0"/>
                <w:sz w:val="21"/>
                <w:szCs w:val="21"/>
                <w:highlight w:val="none"/>
                <w:u w:val="none"/>
                <w:lang w:val="en-US" w:eastAsia="zh-CN" w:bidi="ar"/>
              </w:rPr>
              <w:t>（长*高*宽）：482*400*88（mm)；</w:t>
            </w:r>
          </w:p>
        </w:tc>
      </w:tr>
      <w:tr w14:paraId="7404A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23" w:type="dxa"/>
            <w:vAlign w:val="top"/>
          </w:tcPr>
          <w:p w14:paraId="5DB69C85">
            <w:pPr>
              <w:spacing w:before="234" w:line="192"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37" w:type="dxa"/>
            <w:vAlign w:val="center"/>
          </w:tcPr>
          <w:p w14:paraId="3CAE546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返听音箱</w:t>
            </w:r>
          </w:p>
        </w:tc>
        <w:tc>
          <w:tcPr>
            <w:tcW w:w="7238" w:type="dxa"/>
            <w:vAlign w:val="center"/>
          </w:tcPr>
          <w:p w14:paraId="2958ABC1">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Components单元  LF: 1 x 12"   HF: 1 x 1.73"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Frequency Response频响  55Hz-20kHz(±3dB)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Sensitivity(1W/1M)灵敏度  98dB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Maximum Peak SPL最大声压级  122dB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Rated Power(RMS)额定功率  350W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Peak Power(PEAK)峰值功率  700W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Impedance(Ohm)标称阻抗  8 Ohm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Crossover分频点  2.1 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Dispersion Angle(-6dB)指向性  90⁰H × 50⁰V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Connectors链接插座  2xNL4 Speakon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Riggings吊挂硬件  17×M8吊点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Enclosure Material板材材质  高强度加厚夹板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Cabinet Finish表面处理  德国励宝环保加硬水性漆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Protective Grille面罩  黑色钢网内加防水声学网布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Dimensions (mm)箱体尺寸不小于W:600mm*H:408mm*D:429mm</w:t>
            </w:r>
          </w:p>
        </w:tc>
      </w:tr>
      <w:tr w14:paraId="3D667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23" w:type="dxa"/>
            <w:vAlign w:val="top"/>
          </w:tcPr>
          <w:p w14:paraId="3142018E">
            <w:pPr>
              <w:spacing w:before="236" w:line="18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37" w:type="dxa"/>
            <w:vAlign w:val="center"/>
          </w:tcPr>
          <w:p w14:paraId="5E2D831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返听音响功放</w:t>
            </w:r>
          </w:p>
        </w:tc>
        <w:tc>
          <w:tcPr>
            <w:tcW w:w="7238" w:type="dxa"/>
            <w:vAlign w:val="center"/>
          </w:tcPr>
          <w:p w14:paraId="55FD279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1.全铝1.3mm冲压成型机箱、功放板整板设计方式。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2.采用功放管作电路电流放大。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3.采用AB类设计,纯模拟电路。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4.采用专业音频电容对整流后的电源进行滤波。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5.步进式电位器，使两通道的一致性更好，避免电位器在使用一段时间后出现的接触不良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6.加入限幅电路，保证存在前级输入过载时有效保护功放及喇叭。保护电路安全。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7.超低失真，高信噪比，宽频带放大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8.完善的输出保护电路，需要配备过流、中点漂移、过热、欠压、软启动保护作用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AB类高效率设计，动态大低频力度好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8Ω*：850w;4Ω*：1360w;8Ω频响：20~20kHz(-0.5dB);总谐波失真：&lt;0.05;信噪比：&gt;104dB;阻尼系数：&gt;600;分离度：&gt;60dB;转换速率：&gt;13v/ μs;输入灵敏度：32dB/1v/1.4v;输入阻抗：20k/10k;电压增益：32dB;产品尺寸不小于：470x430x88;供电要求：~220V/50Hz, ±10%，</w:t>
            </w:r>
          </w:p>
        </w:tc>
      </w:tr>
      <w:tr w14:paraId="1011B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top"/>
          </w:tcPr>
          <w:p w14:paraId="001DAE53">
            <w:pPr>
              <w:spacing w:before="236" w:line="18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37" w:type="dxa"/>
            <w:vAlign w:val="center"/>
          </w:tcPr>
          <w:p w14:paraId="0EC38021">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调音台</w:t>
            </w:r>
          </w:p>
        </w:tc>
        <w:tc>
          <w:tcPr>
            <w:tcW w:w="7238" w:type="dxa"/>
            <w:vAlign w:val="center"/>
          </w:tcPr>
          <w:p w14:paraId="394C7D68">
            <w:pPr>
              <w:keepNext w:val="0"/>
              <w:keepLines w:val="0"/>
              <w:widowControl/>
              <w:suppressLineNumbers w:val="0"/>
              <w:jc w:val="left"/>
              <w:textAlignment w:val="center"/>
              <w:rPr>
                <w:rFonts w:hint="default"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●2编12路组调音台    (可上机柜)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●12路输入通道（4路话筒输入+4组立体声线路输入）                                                                                          ●4路外接输入，每路独立幻象供电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●1-4通道3段均衡+中频扫频和高通滤波器，1-4通道设有压限功能                                                                       ●2编组，2AUX (AUX,EFFECT),可分推子前后调节，60mm行程推子                                                                             ●高清电平显示（ST/G1-2//PFL 输出电平，监听电平）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●内置32种最新数字效果器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●内置交流电80V-240V宽电压智能数字供电电源，（满足不同地区的使用）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●分路独立快捷像胶耐用型静音开关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●内置多格式蓝牙MP3播放器（适用mp3/wmv/mav/flacetc)歌曲可选循环播放，蓝牙信号连接，电脑声卡连接播放，U盘无限时录音功能。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●MP3，蓝牙，电脑声卡任一信号输入本机的11/12立体声通道进行调音操作</w:t>
            </w:r>
          </w:p>
        </w:tc>
      </w:tr>
      <w:tr w14:paraId="60A33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top"/>
          </w:tcPr>
          <w:p w14:paraId="6B5CA357">
            <w:pPr>
              <w:spacing w:before="236" w:line="18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37" w:type="dxa"/>
            <w:vAlign w:val="center"/>
          </w:tcPr>
          <w:p w14:paraId="37718497">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话筒处理器</w:t>
            </w:r>
          </w:p>
        </w:tc>
        <w:tc>
          <w:tcPr>
            <w:tcW w:w="7238" w:type="dxa"/>
            <w:vAlign w:val="center"/>
          </w:tcPr>
          <w:p w14:paraId="499893FE">
            <w:pPr>
              <w:keepNext w:val="0"/>
              <w:keepLines w:val="0"/>
              <w:widowControl/>
              <w:suppressLineNumbers w:val="0"/>
              <w:jc w:val="left"/>
              <w:textAlignment w:val="center"/>
              <w:rPr>
                <w:rFonts w:hint="default"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专业数字音频处理器，采用第四代SHARC ADSP-21489高性能浮点DSP芯片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●96Khz采样频率保障捕捉声音细节，AD/DA动态范围达118dB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●采用进口ELNA电容，精选音频专用器件，保障处理器对声染色的影响降低到最小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●高性能指标：动态范围&gt;110dB，THD+N&lt;0.0025%，设备最小固定延时&lt;2ms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●内置粉红/白噪声/正弦发生器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●参量均衡器类型：PEQ/Lo-Shelf/Hi-Shelf/Allpass1/Apass2（全通滤波器可用作相位调节）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●高低通滤波器：Bessel/Butterworth/Link-Riley的斜率从6~48dB/Oct范围内可选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●输入输出可调延时达1000ms，精度0.02ms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●输入通道：噪声门、反馈抑制器、10段参量均衡、3段动态均衡器、高低通、压缩器、延时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●输出通道功能：矩阵混音，10段参量均衡、高低通、压缩器、限幅器、延时器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●以太网+USB+RS232/485控制接口，开放TCP/IP及串口协议实现第三方控制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●灵活的GPIO端口（输入输出各2个）便于系统集成联控[可选GPIO扩展盒]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●PC 软件搜索发现处理器，支持23组场景预设，可灵活调用</w:t>
            </w:r>
          </w:p>
        </w:tc>
      </w:tr>
      <w:tr w14:paraId="2EBD3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top"/>
          </w:tcPr>
          <w:p w14:paraId="220CFF9A">
            <w:pPr>
              <w:spacing w:before="236" w:line="18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637" w:type="dxa"/>
            <w:vAlign w:val="center"/>
          </w:tcPr>
          <w:p w14:paraId="42B0DA86">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无线话筒一拖二领夹</w:t>
            </w:r>
          </w:p>
        </w:tc>
        <w:tc>
          <w:tcPr>
            <w:tcW w:w="7238" w:type="dxa"/>
            <w:vAlign w:val="center"/>
          </w:tcPr>
          <w:p w14:paraId="6191C3FC">
            <w:pPr>
              <w:keepNext w:val="0"/>
              <w:keepLines w:val="0"/>
              <w:widowControl/>
              <w:suppressLineNumbers w:val="0"/>
              <w:jc w:val="left"/>
              <w:textAlignment w:val="center"/>
              <w:rPr>
                <w:rFonts w:hint="default"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•分集接收器实现最佳接收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•采用红外对频与手动调频方式实现传送器无线同步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•无线接收距离远近可调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•频率可锁定控制功能按钮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•智能ID识别技术，实现多套同时分布使用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•具有平衡和非平衡音频输出，方便和各种音响设备连接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•发射机采用两节1.5V电池供电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•发射器采用50MHz频宽，方便各频率段互换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•发射机采用高强度合金材料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•易读照明式液晶显示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接收机参数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载波频率范围：580-630MHz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震荡方式：PLL锁相环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可用带宽：每通道30MHz（一共60MHz）中频频率：第一中频：110MHz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第二中频：10.7MHz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调制方式：FM调频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信道数目：红外自动对频200信道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天线接口：TNC座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使用温度：-18℃到50℃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显示方式：LCD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偏移度：45KHz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灵敏度：-100dBm（40dBS/N）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动态范围：&gt;110dB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杂散抑制：&gt;80dB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音频响应：60Hz-17KHz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音频输出：非平衡：+4dB（1.25v)/5K 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综合信噪比：&lt;0.5%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平衡：+10dB（1.5v)/600Ω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接收方式：二次变频超外差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供电电流：250mA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手持参数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震荡方式：PLL锁相环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输出功率：3dBm-10dBm(LO/H转换)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电池：2节1.5v5号电池   电流：&lt;100mA(AF), &lt;80A(LF)</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使用时间（碱性电池）：大功率时不低于8小时小功率时不低于16小时</w:t>
            </w:r>
          </w:p>
        </w:tc>
      </w:tr>
      <w:tr w14:paraId="4095E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top"/>
          </w:tcPr>
          <w:p w14:paraId="20E2041A">
            <w:pPr>
              <w:spacing w:before="236" w:line="18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637" w:type="dxa"/>
            <w:vAlign w:val="center"/>
          </w:tcPr>
          <w:p w14:paraId="7EBB2673">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无线话筒一拖二手持</w:t>
            </w:r>
          </w:p>
        </w:tc>
        <w:tc>
          <w:tcPr>
            <w:tcW w:w="7238" w:type="dxa"/>
            <w:vAlign w:val="center"/>
          </w:tcPr>
          <w:p w14:paraId="295E3665">
            <w:pPr>
              <w:keepNext w:val="0"/>
              <w:keepLines w:val="0"/>
              <w:widowControl/>
              <w:suppressLineNumbers w:val="0"/>
              <w:jc w:val="left"/>
              <w:textAlignment w:val="center"/>
              <w:rPr>
                <w:rFonts w:hint="default"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•分集接收器实现最佳接收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•采用红外对频与手动调频方式实现传送器无线同步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•无线接收距离远近可调、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•频率可锁定控制功能按钮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•智能ID识别技术，实现多套同时分布使用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•具有平衡和非平衡音频输出，方便和各种音响设备连接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•发射机采用两节1.5V电池供电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•发射器采用50MHz频宽，方便各频率段互换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•发射机采用高强度合金材料制造，经久耐用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•易读照明式液晶显示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接收机参数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载波频率范围：780-830MHz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震荡方式：PLL锁相环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可用带宽：每通道30MHz（一共60MHz）中频频率：第一中频：110MHz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第二中频：10.7MHz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调制方式：FM调频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信道数目：红外自动对频200信道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天线接口：TNC座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使用温度：-18℃到50℃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显示方式：LCD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偏移度：45KHz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灵敏度：-100dBm（40dBS/N）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动态范围：&gt;110dB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杂散抑制：&gt;80dB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音频响应：60Hz-17KHz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音频输出：非平衡：+4dB（1.25v)/5K 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综合信噪比：&lt;0.5%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平衡：+10dB（1.5v)/600Ω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接收方式：二次变频超外差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供电电流：250mA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手持参数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震荡方式：PLL锁相环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输出功率：3dBm-10dBm(LO/H转换)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电池：2节1.5v5号电池  电流：&lt;100mA(AF), &lt;80A(LF)</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使用时间（碱性电池）：大功率时不低于8小时小功率时不低于16小时</w:t>
            </w:r>
          </w:p>
        </w:tc>
      </w:tr>
      <w:tr w14:paraId="523F3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top"/>
          </w:tcPr>
          <w:p w14:paraId="4549074C">
            <w:pPr>
              <w:spacing w:before="236" w:line="18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637" w:type="dxa"/>
            <w:vAlign w:val="center"/>
          </w:tcPr>
          <w:p w14:paraId="7DE92717">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音箱线</w:t>
            </w:r>
          </w:p>
        </w:tc>
        <w:tc>
          <w:tcPr>
            <w:tcW w:w="7238" w:type="dxa"/>
            <w:vAlign w:val="center"/>
          </w:tcPr>
          <w:p w14:paraId="5EC784C0">
            <w:pPr>
              <w:keepNext w:val="0"/>
              <w:keepLines w:val="0"/>
              <w:widowControl/>
              <w:suppressLineNumbers w:val="0"/>
              <w:jc w:val="left"/>
              <w:textAlignment w:val="center"/>
              <w:rPr>
                <w:rFonts w:hint="default"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无氧铜双护套</w:t>
            </w:r>
          </w:p>
        </w:tc>
      </w:tr>
      <w:tr w14:paraId="1CE12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top"/>
          </w:tcPr>
          <w:p w14:paraId="44D7EE0A">
            <w:pPr>
              <w:spacing w:before="236" w:line="18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637" w:type="dxa"/>
            <w:vAlign w:val="center"/>
          </w:tcPr>
          <w:p w14:paraId="45F55DD5">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卡农线</w:t>
            </w:r>
          </w:p>
        </w:tc>
        <w:tc>
          <w:tcPr>
            <w:tcW w:w="7238" w:type="dxa"/>
            <w:vAlign w:val="center"/>
          </w:tcPr>
          <w:p w14:paraId="1F4B314F">
            <w:pPr>
              <w:keepNext w:val="0"/>
              <w:keepLines w:val="0"/>
              <w:widowControl/>
              <w:suppressLineNumbers w:val="0"/>
              <w:jc w:val="left"/>
              <w:textAlignment w:val="center"/>
              <w:rPr>
                <w:rFonts w:hint="default"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卡农公对母</w:t>
            </w:r>
          </w:p>
        </w:tc>
      </w:tr>
      <w:tr w14:paraId="4B464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top"/>
          </w:tcPr>
          <w:p w14:paraId="57E7F9CF">
            <w:pPr>
              <w:spacing w:before="236" w:line="189"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637" w:type="dxa"/>
            <w:vAlign w:val="center"/>
          </w:tcPr>
          <w:p w14:paraId="4F801CC7">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机柜</w:t>
            </w:r>
          </w:p>
        </w:tc>
        <w:tc>
          <w:tcPr>
            <w:tcW w:w="7238" w:type="dxa"/>
            <w:vAlign w:val="center"/>
          </w:tcPr>
          <w:p w14:paraId="17687207">
            <w:pPr>
              <w:keepNext w:val="0"/>
              <w:keepLines w:val="0"/>
              <w:widowControl/>
              <w:suppressLineNumbers w:val="0"/>
              <w:jc w:val="left"/>
              <w:textAlignment w:val="center"/>
              <w:rPr>
                <w:rFonts w:hint="default"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16U航空机柜</w:t>
            </w:r>
          </w:p>
        </w:tc>
      </w:tr>
      <w:tr w14:paraId="74BE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98" w:type="dxa"/>
            <w:gridSpan w:val="3"/>
            <w:vAlign w:val="top"/>
          </w:tcPr>
          <w:p w14:paraId="62AAB313">
            <w:pPr>
              <w:spacing w:before="197" w:line="231"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户外组合灯光设备</w:t>
            </w:r>
          </w:p>
        </w:tc>
      </w:tr>
      <w:tr w14:paraId="2F58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E7C66D6">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bidi="ar"/>
              </w:rPr>
              <w:t>1</w:t>
            </w:r>
          </w:p>
        </w:tc>
        <w:tc>
          <w:tcPr>
            <w:tcW w:w="1637" w:type="dxa"/>
            <w:vAlign w:val="center"/>
          </w:tcPr>
          <w:p w14:paraId="4187BBC6">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面光灯</w:t>
            </w:r>
          </w:p>
        </w:tc>
        <w:tc>
          <w:tcPr>
            <w:tcW w:w="7238" w:type="dxa"/>
            <w:vAlign w:val="center"/>
          </w:tcPr>
          <w:p w14:paraId="0749E145">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电压/频率：AC100-240V，50-60Hz。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光源：1颗高亮度大功率200W LED。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灯泡使用寿命：约6万小时。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颜色：暖白色或正白色或二合一可选。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透镜角度：35°，可选配75°。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控制通道：6CH。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运行模式：声控，自走，主从，DMX512。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显示界面：数码显示。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调光：0-100%线性调光。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频闪：1-13次/秒。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灯体设计外型采用高强度压铸铝结构设计，超大散热片+灯体散热，有良好的散热性能。静音设计。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工作环境温度-20~45℃。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防护等级 IP20。</w:t>
            </w:r>
          </w:p>
        </w:tc>
      </w:tr>
      <w:tr w14:paraId="6F052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8" w:hRule="atLeast"/>
        </w:trPr>
        <w:tc>
          <w:tcPr>
            <w:tcW w:w="923" w:type="dxa"/>
            <w:vAlign w:val="center"/>
          </w:tcPr>
          <w:p w14:paraId="7E207363">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bidi="ar"/>
              </w:rPr>
              <w:t>2</w:t>
            </w:r>
          </w:p>
        </w:tc>
        <w:tc>
          <w:tcPr>
            <w:tcW w:w="1637" w:type="dxa"/>
            <w:vAlign w:val="center"/>
          </w:tcPr>
          <w:p w14:paraId="75AC1E5B">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一顶染色</w:t>
            </w:r>
          </w:p>
        </w:tc>
        <w:tc>
          <w:tcPr>
            <w:tcW w:w="7238" w:type="dxa"/>
            <w:vAlign w:val="center"/>
          </w:tcPr>
          <w:p w14:paraId="16D61D98">
            <w:pPr>
              <w:keepNext w:val="0"/>
              <w:keepLines w:val="0"/>
              <w:widowControl/>
              <w:suppressLineNumbers w:val="0"/>
              <w:spacing w:after="160" w:afterAutospacing="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电压/频率：AC100-240V，50-60Hz。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额定功率：180W。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光源：54颗高亮度大功率3W RGB 3合1 LED。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灯泡使用寿命：约6万小时。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颜色：RGB混色，颜色鲜艳，色彩丰富亮丽，可以组合出16，777，216种颜色变化。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透镜角度：25°，可选配45°。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运行模式：声控，自走，主从，DMX512。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显示界面：数码显示。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调光：0-100%线性调光。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频闪：1-13次/秒。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灯体设计外型采用高强度压铸铝结构设计，超大散热片+灯体散热，有良好的散热性能。可选静音设计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工作环境温度-20~45℃。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防护等级 IP20。 </w:t>
            </w:r>
          </w:p>
        </w:tc>
      </w:tr>
      <w:tr w14:paraId="48269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7AADCD60">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bidi="ar"/>
              </w:rPr>
              <w:t>3</w:t>
            </w:r>
          </w:p>
        </w:tc>
        <w:tc>
          <w:tcPr>
            <w:tcW w:w="1637" w:type="dxa"/>
            <w:vAlign w:val="center"/>
          </w:tcPr>
          <w:p w14:paraId="5093D239">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光束灯</w:t>
            </w:r>
          </w:p>
        </w:tc>
        <w:tc>
          <w:tcPr>
            <w:tcW w:w="7238" w:type="dxa"/>
            <w:vAlign w:val="center"/>
          </w:tcPr>
          <w:p w14:paraId="3AA31B8C">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电源:AC100V-240V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频率:50Hz-60Hz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总功率:650W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保险丝:5A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镇流器：电子镇流器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光源: 380W灯泡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色温：7800K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平均寿命：2000H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电机数量：共13个静音电机，XY三相电机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调光：独立的双片式装置，0－14次/秒超高速频闪,0-100%线性调节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固定颜色：14个色片+白光，可实现半色、全色、单双色渐变和正反方向慢快彩虹效果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静态图案：一个（白光+10个图案+3个玻璃图案）金属图案盘，耐高温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棱镜：8+16+24蜂窝棱镜、8棱镜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色片：1个六色片（可做七彩效果）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雾化：1个独立的雾化效果，光斑柔和自然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控制通道：16CH通道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控制信号：国际标准 DMX512/RDM功能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外观：耐高温塑胶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灯体颜色：黑色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防护等级：IP20</w:t>
            </w:r>
          </w:p>
        </w:tc>
      </w:tr>
      <w:tr w14:paraId="647CE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54CE8C8B">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bidi="ar"/>
              </w:rPr>
              <w:t>4</w:t>
            </w:r>
          </w:p>
        </w:tc>
        <w:tc>
          <w:tcPr>
            <w:tcW w:w="1637" w:type="dxa"/>
            <w:vAlign w:val="center"/>
          </w:tcPr>
          <w:p w14:paraId="69C23ED6">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信号放大器</w:t>
            </w:r>
          </w:p>
        </w:tc>
        <w:tc>
          <w:tcPr>
            <w:tcW w:w="7238" w:type="dxa"/>
            <w:vAlign w:val="center"/>
          </w:tcPr>
          <w:p w14:paraId="6C962693">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传输信号：国际标准DMX512/RDM信号.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接口类型：输入信号接口采用三芯卡侬公座母座并接，输出信号接口采用三芯卡侬母座。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输入电源：90-240VAC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频率：50Hz/60Hz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DMX512信号输出，8路DMX信号分配器，二进八出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具有抗高压保护措施，输入与输出信号（包括信号地线）完全隔离，每路具有独立的放大器及信号指示灯</w:t>
            </w:r>
          </w:p>
        </w:tc>
      </w:tr>
      <w:tr w14:paraId="0E426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50883E3A">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c>
          <w:tcPr>
            <w:tcW w:w="1637" w:type="dxa"/>
            <w:vAlign w:val="center"/>
          </w:tcPr>
          <w:p w14:paraId="567B4AFA">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灯光控制台</w:t>
            </w:r>
          </w:p>
        </w:tc>
        <w:tc>
          <w:tcPr>
            <w:tcW w:w="7238" w:type="dxa"/>
            <w:vAlign w:val="center"/>
          </w:tcPr>
          <w:p w14:paraId="39E1C68A">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1.不低于酷睿双核处理器，120G 固态硬盘，4G 内存；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2.内置1个15.6寸高分辩率宽屏触摸屏,并可外接触摸屏；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3.支持中文菜单显示；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4.12个标准DMX512输出端口，6144个DMX通道，支持Artnet网络功能，可扩展至64个DMX输出口，32768个DMX通道；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5.10个宏功能按键，可编辑任何程序；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6.20 个重放推杆，支持1000 个虚拟程序重放，具有属性控制窗口, 强大的CMY/RGB调色板功能；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7.支持涂鸦式手写命名功能；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8.支持CITP协议，可预览服务器或数字灯的内置素材；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9.内置数千种灯库，内置灯库编辑软件，内置Visualiser可视化舞台模拟软件；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10.支持视频播放，支持MIDI时间码声光同步功能，可以在控台里播放音乐发送时间码来控制灯光程序重放；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11.专用的亮度和速度轮；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12.内置不间断UPS电源，可意外断电保护，防止数据丢失；</w:t>
            </w:r>
          </w:p>
        </w:tc>
      </w:tr>
      <w:tr w14:paraId="59D6F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8A5E9E2">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bidi="ar"/>
              </w:rPr>
              <w:t>6</w:t>
            </w:r>
          </w:p>
        </w:tc>
        <w:tc>
          <w:tcPr>
            <w:tcW w:w="1637" w:type="dxa"/>
            <w:vAlign w:val="center"/>
          </w:tcPr>
          <w:p w14:paraId="654011AF">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灯钩</w:t>
            </w:r>
          </w:p>
        </w:tc>
        <w:tc>
          <w:tcPr>
            <w:tcW w:w="7238" w:type="dxa"/>
            <w:vAlign w:val="center"/>
          </w:tcPr>
          <w:p w14:paraId="6D0BABCF">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配套灯钩</w:t>
            </w:r>
          </w:p>
        </w:tc>
      </w:tr>
      <w:tr w14:paraId="4A15A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138E2293">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bidi="ar"/>
              </w:rPr>
              <w:t>7</w:t>
            </w:r>
          </w:p>
        </w:tc>
        <w:tc>
          <w:tcPr>
            <w:tcW w:w="1637" w:type="dxa"/>
            <w:vAlign w:val="center"/>
          </w:tcPr>
          <w:p w14:paraId="2F573AE3">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保险绳</w:t>
            </w:r>
          </w:p>
        </w:tc>
        <w:tc>
          <w:tcPr>
            <w:tcW w:w="7238" w:type="dxa"/>
            <w:vAlign w:val="center"/>
          </w:tcPr>
          <w:p w14:paraId="140C46E7">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金属保险绳，长度满足现场使用情况</w:t>
            </w:r>
          </w:p>
        </w:tc>
      </w:tr>
      <w:tr w14:paraId="69E79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286392C2">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bidi="ar"/>
              </w:rPr>
              <w:t>8</w:t>
            </w:r>
          </w:p>
        </w:tc>
        <w:tc>
          <w:tcPr>
            <w:tcW w:w="1637" w:type="dxa"/>
            <w:vAlign w:val="center"/>
          </w:tcPr>
          <w:p w14:paraId="68309A8C">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信号线</w:t>
            </w:r>
          </w:p>
        </w:tc>
        <w:tc>
          <w:tcPr>
            <w:tcW w:w="7238" w:type="dxa"/>
            <w:vAlign w:val="center"/>
          </w:tcPr>
          <w:p w14:paraId="578057ED">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配套信号线</w:t>
            </w:r>
          </w:p>
        </w:tc>
      </w:tr>
      <w:tr w14:paraId="40FB6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4BE4DE67">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bidi="ar"/>
              </w:rPr>
              <w:t>9</w:t>
            </w:r>
          </w:p>
        </w:tc>
        <w:tc>
          <w:tcPr>
            <w:tcW w:w="1637" w:type="dxa"/>
            <w:vAlign w:val="center"/>
          </w:tcPr>
          <w:p w14:paraId="44473D3E">
            <w:pPr>
              <w:keepNext w:val="0"/>
              <w:keepLines w:val="0"/>
              <w:widowControl/>
              <w:suppressLineNumbers w:val="0"/>
              <w:jc w:val="center"/>
              <w:textAlignment w:val="center"/>
              <w:rPr>
                <w:rFonts w:hint="eastAsia" w:ascii="宋体" w:hAnsi="宋体" w:eastAsia="宋体" w:cs="宋体"/>
                <w:color w:val="auto"/>
                <w:spacing w:val="-31"/>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电源线</w:t>
            </w:r>
          </w:p>
        </w:tc>
        <w:tc>
          <w:tcPr>
            <w:tcW w:w="7238" w:type="dxa"/>
            <w:vAlign w:val="center"/>
          </w:tcPr>
          <w:p w14:paraId="4B4054A4">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RVV2*2.5</w:t>
            </w:r>
          </w:p>
        </w:tc>
      </w:tr>
      <w:tr w14:paraId="2FC76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98" w:type="dxa"/>
            <w:gridSpan w:val="3"/>
            <w:vAlign w:val="center"/>
          </w:tcPr>
          <w:p w14:paraId="6080A457">
            <w:pPr>
              <w:spacing w:before="197" w:line="231"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户外大型广场显示屏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详细方案及清单</w:t>
            </w:r>
            <w:r>
              <w:rPr>
                <w:rFonts w:hint="eastAsia" w:ascii="宋体" w:hAnsi="宋体" w:eastAsia="宋体" w:cs="宋体"/>
                <w:color w:val="auto"/>
                <w:sz w:val="21"/>
                <w:szCs w:val="21"/>
                <w:highlight w:val="none"/>
                <w:lang w:eastAsia="zh-CN"/>
              </w:rPr>
              <w:t>）</w:t>
            </w:r>
          </w:p>
        </w:tc>
      </w:tr>
      <w:tr w14:paraId="0773F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23" w:type="dxa"/>
            <w:vAlign w:val="center"/>
          </w:tcPr>
          <w:p w14:paraId="2307BB33">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37" w:type="dxa"/>
            <w:shd w:val="clear" w:color="auto" w:fill="auto"/>
            <w:vAlign w:val="center"/>
          </w:tcPr>
          <w:p w14:paraId="7FB260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户外LED大屏幕</w:t>
            </w:r>
          </w:p>
        </w:tc>
        <w:tc>
          <w:tcPr>
            <w:tcW w:w="7238" w:type="dxa"/>
            <w:shd w:val="clear" w:color="auto" w:fill="auto"/>
            <w:vAlign w:val="center"/>
          </w:tcPr>
          <w:p w14:paraId="54286371">
            <w:pPr>
              <w:keepNext w:val="0"/>
              <w:keepLines w:val="0"/>
              <w:widowControl/>
              <w:suppressLineNumbers w:val="0"/>
              <w:spacing w:after="120" w:afterAutospacing="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模组技术参数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LED灯种类：SMD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点间距：4mm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 像素点组成： 1R1G1B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 模组分辨率(宽×高)：80像素×40像素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 模组尺寸(宽×高)： (宽)320mm×( 高)160mm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 点密度 62500点/ m²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7 亮度（白场色温6500K） 5500cd/ m²可调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8 水平视角/垂直视角 170°/170°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 平整度 ≥98%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10 色度均匀性 ±0.003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11 最高对比度 9000:1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12 信号颜色处理位数 红、绿、蓝各≥16bit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13 驱动方式 恒流驱动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14 换帧频率 60帧/秒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 刷新率 ≤7680Hz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16 屏体色温 3000K～10000K可调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17 亮度调节 手动/自动/程控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18 像素校正 配备亮度与色度逐点校正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19 控制方式 同步控制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20 控制距离 六类双绞网线, 超过100米使用光纤传输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21 软件接口 Windows XP /7/8/10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22 信号输入 HDMI、DVI（可扩展接口）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23 工作电压 AC：110V~240V、  DC：240V-36V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24 峰值功率 ≤600W/ m²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25 平均功率 100W/ m²～300W/ m²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26 连续工作时间 ≥7×24hrs，支持连续不间断显示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27 平均无故障工作时间 ≥100000小时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28 LED寿命 10万小时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29 离散失控点 ≤0.0001，出厂时为0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30 盲点率 ≤0.0001，出厂时为0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31 屏幕温升（使用运行状态） ≤5度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32 运行环境温度 -10℃～60℃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 运行环境湿度 10％～90％RH，无凝结</w:t>
            </w:r>
          </w:p>
          <w:p w14:paraId="68EFC525">
            <w:pPr>
              <w:keepNext w:val="0"/>
              <w:keepLines w:val="0"/>
              <w:widowControl/>
              <w:suppressLineNumbers w:val="0"/>
              <w:spacing w:after="120" w:afterAutospacing="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采用内置PWM高阶驱动IC,消隐电路，3840刷新，含组装模组到箱体上。 </w:t>
            </w:r>
          </w:p>
        </w:tc>
      </w:tr>
      <w:tr w14:paraId="2B229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139B1D4A">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37" w:type="dxa"/>
            <w:shd w:val="clear" w:color="auto" w:fill="auto"/>
            <w:vAlign w:val="center"/>
          </w:tcPr>
          <w:p w14:paraId="0118C1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处理器</w:t>
            </w:r>
          </w:p>
        </w:tc>
        <w:tc>
          <w:tcPr>
            <w:tcW w:w="7238" w:type="dxa"/>
            <w:vAlign w:val="center"/>
          </w:tcPr>
          <w:p w14:paraId="71E6A7E5">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Style w:val="163"/>
                <w:rFonts w:hint="eastAsia" w:ascii="宋体" w:hAnsi="宋体" w:eastAsia="宋体" w:cs="宋体"/>
                <w:color w:val="auto"/>
                <w:sz w:val="21"/>
                <w:szCs w:val="21"/>
                <w:highlight w:val="none"/>
                <w:lang w:val="en-US" w:eastAsia="zh-CN" w:bidi="ar"/>
              </w:rPr>
              <w:t>支持同/异步双模，即插即播；</w:t>
            </w:r>
            <w:r>
              <w:rPr>
                <w:rStyle w:val="163"/>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Style w:val="163"/>
                <w:rFonts w:hint="eastAsia" w:ascii="宋体" w:hAnsi="宋体" w:eastAsia="宋体" w:cs="宋体"/>
                <w:color w:val="auto"/>
                <w:sz w:val="21"/>
                <w:szCs w:val="21"/>
                <w:highlight w:val="none"/>
                <w:lang w:val="en-US" w:eastAsia="zh-CN" w:bidi="ar"/>
              </w:rPr>
              <w:t>控制范围：230万点；</w:t>
            </w:r>
            <w:r>
              <w:rPr>
                <w:rStyle w:val="163"/>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Style w:val="163"/>
                <w:rFonts w:hint="eastAsia" w:ascii="宋体" w:hAnsi="宋体" w:eastAsia="宋体" w:cs="宋体"/>
                <w:color w:val="auto"/>
                <w:sz w:val="21"/>
                <w:szCs w:val="21"/>
                <w:highlight w:val="none"/>
                <w:lang w:val="en-US" w:eastAsia="zh-CN" w:bidi="ar"/>
              </w:rPr>
              <w:t>支持U盘扩展存储空间；</w:t>
            </w:r>
            <w:r>
              <w:rPr>
                <w:rStyle w:val="163"/>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Style w:val="163"/>
                <w:rFonts w:hint="eastAsia" w:ascii="宋体" w:hAnsi="宋体" w:eastAsia="宋体" w:cs="宋体"/>
                <w:color w:val="auto"/>
                <w:sz w:val="21"/>
                <w:szCs w:val="21"/>
                <w:highlight w:val="none"/>
                <w:lang w:val="en-US" w:eastAsia="zh-CN" w:bidi="ar"/>
              </w:rPr>
              <w:t>HDMI高清视频输入/输出；</w:t>
            </w:r>
            <w:r>
              <w:rPr>
                <w:rStyle w:val="163"/>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Style w:val="163"/>
                <w:rFonts w:hint="eastAsia" w:ascii="宋体" w:hAnsi="宋体" w:eastAsia="宋体" w:cs="宋体"/>
                <w:color w:val="auto"/>
                <w:sz w:val="21"/>
                <w:szCs w:val="21"/>
                <w:highlight w:val="none"/>
                <w:lang w:val="en-US" w:eastAsia="zh-CN" w:bidi="ar"/>
              </w:rPr>
              <w:t>支持高清视频硬解码，60Hz帧频输出；</w:t>
            </w:r>
            <w:r>
              <w:rPr>
                <w:rStyle w:val="163"/>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Style w:val="163"/>
                <w:rFonts w:hint="eastAsia" w:ascii="宋体" w:hAnsi="宋体" w:eastAsia="宋体" w:cs="宋体"/>
                <w:color w:val="auto"/>
                <w:sz w:val="21"/>
                <w:szCs w:val="21"/>
                <w:highlight w:val="none"/>
                <w:lang w:val="en-US" w:eastAsia="zh-CN" w:bidi="ar"/>
              </w:rPr>
              <w:t>支持同步自动缩放（视频处理器）功能；</w:t>
            </w:r>
            <w:r>
              <w:rPr>
                <w:rStyle w:val="163"/>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Style w:val="163"/>
                <w:rFonts w:hint="eastAsia" w:ascii="宋体" w:hAnsi="宋体" w:eastAsia="宋体" w:cs="宋体"/>
                <w:color w:val="auto"/>
                <w:sz w:val="21"/>
                <w:szCs w:val="21"/>
                <w:highlight w:val="none"/>
                <w:lang w:val="en-US" w:eastAsia="zh-CN" w:bidi="ar"/>
              </w:rPr>
              <w:t>支持同步播放最宽3840像素点，最高4096像素点；</w:t>
            </w:r>
            <w:r>
              <w:rPr>
                <w:rStyle w:val="163"/>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Style w:val="163"/>
                <w:rFonts w:hint="eastAsia" w:ascii="宋体" w:hAnsi="宋体" w:eastAsia="宋体" w:cs="宋体"/>
                <w:color w:val="auto"/>
                <w:sz w:val="21"/>
                <w:szCs w:val="21"/>
                <w:highlight w:val="none"/>
                <w:lang w:val="en-US" w:eastAsia="zh-CN" w:bidi="ar"/>
              </w:rPr>
              <w:t>无需复杂网络设置，自动识别设备，即插即用；</w:t>
            </w:r>
            <w:r>
              <w:rPr>
                <w:rStyle w:val="163"/>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Style w:val="163"/>
                <w:rFonts w:hint="eastAsia" w:ascii="宋体" w:hAnsi="宋体" w:eastAsia="宋体" w:cs="宋体"/>
                <w:color w:val="auto"/>
                <w:sz w:val="21"/>
                <w:szCs w:val="21"/>
                <w:highlight w:val="none"/>
                <w:lang w:val="en-US" w:eastAsia="zh-CN" w:bidi="ar"/>
              </w:rPr>
              <w:t>网络（互联网/局域网）集群管理；</w:t>
            </w:r>
            <w:r>
              <w:rPr>
                <w:rStyle w:val="163"/>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Style w:val="163"/>
                <w:rFonts w:hint="eastAsia" w:ascii="宋体" w:hAnsi="宋体" w:eastAsia="宋体" w:cs="宋体"/>
                <w:color w:val="auto"/>
                <w:sz w:val="21"/>
                <w:szCs w:val="21"/>
                <w:highlight w:val="none"/>
                <w:lang w:val="en-US" w:eastAsia="zh-CN" w:bidi="ar"/>
              </w:rPr>
              <w:t>板载Wi-Fi模块（标配），通过手机APP更新内容；</w:t>
            </w:r>
            <w:r>
              <w:rPr>
                <w:rStyle w:val="163"/>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Style w:val="163"/>
                <w:rFonts w:hint="eastAsia" w:ascii="宋体" w:hAnsi="宋体" w:eastAsia="宋体" w:cs="宋体"/>
                <w:color w:val="auto"/>
                <w:sz w:val="21"/>
                <w:szCs w:val="21"/>
                <w:highlight w:val="none"/>
                <w:lang w:val="en-US" w:eastAsia="zh-CN" w:bidi="ar"/>
              </w:rPr>
              <w:t>标配3.5mm标准音频输出接口。</w:t>
            </w:r>
          </w:p>
        </w:tc>
      </w:tr>
      <w:tr w14:paraId="73E72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65A02DFE">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37" w:type="dxa"/>
            <w:shd w:val="clear" w:color="auto" w:fill="auto"/>
            <w:vAlign w:val="center"/>
          </w:tcPr>
          <w:p w14:paraId="4027E7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接收卡</w:t>
            </w:r>
          </w:p>
        </w:tc>
        <w:tc>
          <w:tcPr>
            <w:tcW w:w="7238" w:type="dxa"/>
            <w:vAlign w:val="center"/>
          </w:tcPr>
          <w:p w14:paraId="51088B63">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 集成12个标准HUB75E接口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支持常规芯片和PWM芯片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支持静态模组，1/128扫内任意扫描方式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支持数据组交换和数据组偏移设置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智能设置，抽点、描点等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支持多卡级联，任意排序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推荐带载范围：常规芯片带载160*1024，PWM芯片带载320*1024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4B7BF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23B8301F">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37" w:type="dxa"/>
            <w:shd w:val="clear" w:color="auto" w:fill="auto"/>
            <w:vAlign w:val="center"/>
          </w:tcPr>
          <w:p w14:paraId="3BBFE7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屏控制软件</w:t>
            </w:r>
          </w:p>
        </w:tc>
        <w:tc>
          <w:tcPr>
            <w:tcW w:w="7238" w:type="dxa"/>
            <w:vAlign w:val="center"/>
          </w:tcPr>
          <w:p w14:paraId="24E6F924">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大屏幕设备的设置和日常使用，具备设置预案、开关机、信号切换等功能</w:t>
            </w:r>
          </w:p>
        </w:tc>
      </w:tr>
      <w:tr w14:paraId="310B0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5D1F163B">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37" w:type="dxa"/>
            <w:shd w:val="clear" w:color="auto" w:fill="auto"/>
            <w:vAlign w:val="center"/>
          </w:tcPr>
          <w:p w14:paraId="22E5AC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w:t>
            </w:r>
          </w:p>
        </w:tc>
        <w:tc>
          <w:tcPr>
            <w:tcW w:w="7238" w:type="dxa"/>
            <w:vAlign w:val="center"/>
          </w:tcPr>
          <w:p w14:paraId="381BEE83">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200W户外屏专用定制电源</w:t>
            </w:r>
          </w:p>
        </w:tc>
      </w:tr>
      <w:tr w14:paraId="7A2EA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5F70FE15">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37" w:type="dxa"/>
            <w:shd w:val="clear" w:color="auto" w:fill="auto"/>
            <w:vAlign w:val="center"/>
          </w:tcPr>
          <w:p w14:paraId="6FBEB0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户外简易箱体</w:t>
            </w:r>
          </w:p>
        </w:tc>
        <w:tc>
          <w:tcPr>
            <w:tcW w:w="7238" w:type="dxa"/>
            <w:vAlign w:val="center"/>
          </w:tcPr>
          <w:p w14:paraId="214BEB6E">
            <w:pPr>
              <w:keepNext w:val="0"/>
              <w:keepLines w:val="0"/>
              <w:widowControl/>
              <w:suppressLineNumbers w:val="0"/>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户外屏专用金属材质箱体</w:t>
            </w:r>
          </w:p>
        </w:tc>
      </w:tr>
      <w:tr w14:paraId="2AA41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457C0006">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637" w:type="dxa"/>
            <w:shd w:val="clear" w:color="auto" w:fill="auto"/>
            <w:vAlign w:val="center"/>
          </w:tcPr>
          <w:p w14:paraId="691169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钢架结构</w:t>
            </w:r>
          </w:p>
        </w:tc>
        <w:tc>
          <w:tcPr>
            <w:tcW w:w="7238" w:type="dxa"/>
            <w:vAlign w:val="center"/>
          </w:tcPr>
          <w:p w14:paraId="29047F84">
            <w:pPr>
              <w:keepNext w:val="0"/>
              <w:keepLines w:val="0"/>
              <w:widowControl/>
              <w:suppressLineNumbers w:val="0"/>
              <w:tabs>
                <w:tab w:val="left" w:pos="5599"/>
              </w:tabs>
              <w:jc w:val="left"/>
              <w:textAlignment w:val="center"/>
              <w:rPr>
                <w:rFonts w:hint="eastAsia" w:ascii="宋体" w:hAnsi="宋体" w:eastAsia="宋体" w:cs="宋体"/>
                <w:color w:val="auto"/>
                <w:spacing w:val="25"/>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定制钢架，不锈钢显示屏框，现场焊接结构+立柱+地笼+挖地笼，含吊车安装费。</w:t>
            </w:r>
          </w:p>
        </w:tc>
      </w:tr>
      <w:tr w14:paraId="7AC67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9DE0E97">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637" w:type="dxa"/>
            <w:shd w:val="clear" w:color="auto" w:fill="auto"/>
            <w:vAlign w:val="center"/>
          </w:tcPr>
          <w:p w14:paraId="6A9F308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散热空调</w:t>
            </w:r>
          </w:p>
        </w:tc>
        <w:tc>
          <w:tcPr>
            <w:tcW w:w="7238" w:type="dxa"/>
            <w:vAlign w:val="center"/>
          </w:tcPr>
          <w:p w14:paraId="3161E02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2P散热空调、智能温控、带智能芯片 记忆功能，含铜管安装费用。</w:t>
            </w:r>
          </w:p>
        </w:tc>
      </w:tr>
      <w:tr w14:paraId="5685D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CA510EE">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637" w:type="dxa"/>
            <w:shd w:val="clear" w:color="auto" w:fill="auto"/>
            <w:vAlign w:val="center"/>
          </w:tcPr>
          <w:p w14:paraId="254E4FF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配电柜</w:t>
            </w:r>
          </w:p>
        </w:tc>
        <w:tc>
          <w:tcPr>
            <w:tcW w:w="7238" w:type="dxa"/>
            <w:vAlign w:val="center"/>
          </w:tcPr>
          <w:p w14:paraId="47FFCEB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25KW户外 PLC电箱</w:t>
            </w:r>
          </w:p>
        </w:tc>
      </w:tr>
      <w:tr w14:paraId="56732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354152EC">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637" w:type="dxa"/>
            <w:shd w:val="clear" w:color="auto" w:fill="auto"/>
            <w:vAlign w:val="center"/>
          </w:tcPr>
          <w:p w14:paraId="73962B5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安装调试费</w:t>
            </w:r>
          </w:p>
        </w:tc>
        <w:tc>
          <w:tcPr>
            <w:tcW w:w="7238" w:type="dxa"/>
            <w:vAlign w:val="center"/>
          </w:tcPr>
          <w:p w14:paraId="6698914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安装、调试、培训、质保一年，终生维护</w:t>
            </w:r>
          </w:p>
        </w:tc>
      </w:tr>
      <w:tr w14:paraId="3F765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center"/>
          </w:tcPr>
          <w:p w14:paraId="73EAA41A">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637" w:type="dxa"/>
            <w:shd w:val="clear" w:color="auto" w:fill="auto"/>
            <w:vAlign w:val="center"/>
          </w:tcPr>
          <w:p w14:paraId="057D1D6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工程布线</w:t>
            </w:r>
          </w:p>
        </w:tc>
        <w:tc>
          <w:tcPr>
            <w:tcW w:w="7238" w:type="dxa"/>
            <w:vAlign w:val="center"/>
          </w:tcPr>
          <w:p w14:paraId="4BD5100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电源线：14组2.5平方220v电缆线从配电柜到屏体安装位置后多出13米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网线：3根六类网线从控制室到显示屏位置后多出13米</w:t>
            </w:r>
          </w:p>
        </w:tc>
      </w:tr>
    </w:tbl>
    <w:p w14:paraId="39172EF0">
      <w:pPr>
        <w:rPr>
          <w:rFonts w:hint="eastAsia"/>
          <w:color w:val="auto"/>
          <w:highlight w:val="none"/>
        </w:rPr>
      </w:pPr>
    </w:p>
    <w:p w14:paraId="1CC8F563">
      <w:pPr>
        <w:spacing w:line="240" w:lineRule="auto"/>
        <w:outlineLvl w:val="9"/>
        <w:rPr>
          <w:rFonts w:hint="eastAsia"/>
          <w:color w:val="auto"/>
          <w:highlight w:val="none"/>
        </w:rPr>
      </w:pPr>
    </w:p>
    <w:p w14:paraId="10A88CAA">
      <w:pPr>
        <w:spacing w:before="100" w:line="227" w:lineRule="auto"/>
        <w:jc w:val="center"/>
        <w:outlineLvl w:val="1"/>
        <w:rPr>
          <w:rFonts w:hint="eastAsia" w:ascii="宋体" w:hAnsi="宋体" w:eastAsia="宋体" w:cs="宋体"/>
          <w:b/>
          <w:bCs/>
          <w:color w:val="auto"/>
          <w:spacing w:val="7"/>
          <w:sz w:val="28"/>
          <w:szCs w:val="28"/>
          <w:highlight w:val="none"/>
          <w:lang w:val="en-US" w:eastAsia="zh-CN"/>
        </w:rPr>
      </w:pPr>
      <w:r>
        <w:rPr>
          <w:rFonts w:hint="eastAsia" w:ascii="宋体" w:hAnsi="宋体" w:eastAsia="宋体" w:cs="宋体"/>
          <w:b/>
          <w:bCs/>
          <w:color w:val="auto"/>
          <w:spacing w:val="7"/>
          <w:sz w:val="28"/>
          <w:szCs w:val="28"/>
          <w:highlight w:val="none"/>
        </w:rPr>
        <w:t>三</w:t>
      </w:r>
      <w:r>
        <w:rPr>
          <w:rFonts w:hint="eastAsia" w:ascii="宋体" w:hAnsi="宋体" w:eastAsia="宋体" w:cs="宋体"/>
          <w:b/>
          <w:bCs/>
          <w:color w:val="auto"/>
          <w:spacing w:val="7"/>
          <w:sz w:val="28"/>
          <w:szCs w:val="28"/>
          <w:highlight w:val="none"/>
          <w:lang w:eastAsia="zh-CN"/>
        </w:rPr>
        <w:t>、</w:t>
      </w:r>
      <w:r>
        <w:rPr>
          <w:rFonts w:hint="eastAsia" w:ascii="宋体" w:hAnsi="宋体" w:eastAsia="宋体" w:cs="宋体"/>
          <w:b/>
          <w:bCs/>
          <w:color w:val="auto"/>
          <w:spacing w:val="7"/>
          <w:sz w:val="28"/>
          <w:szCs w:val="28"/>
          <w:highlight w:val="none"/>
        </w:rPr>
        <w:t>货物商务需求</w:t>
      </w:r>
    </w:p>
    <w:p w14:paraId="147A62A3">
      <w:pPr>
        <w:rPr>
          <w:rFonts w:hint="eastAsia" w:ascii="宋体" w:hAnsi="宋体" w:eastAsia="宋体" w:cs="宋体"/>
          <w:color w:val="auto"/>
          <w:sz w:val="22"/>
          <w:szCs w:val="22"/>
          <w:highlight w:val="none"/>
        </w:rPr>
      </w:pPr>
    </w:p>
    <w:tbl>
      <w:tblPr>
        <w:tblStyle w:val="152"/>
        <w:tblW w:w="97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266"/>
        <w:gridCol w:w="8085"/>
      </w:tblGrid>
      <w:tr w14:paraId="2F061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1" w:hRule="atLeast"/>
        </w:trPr>
        <w:tc>
          <w:tcPr>
            <w:tcW w:w="9783" w:type="dxa"/>
            <w:gridSpan w:val="3"/>
            <w:vAlign w:val="bottom"/>
          </w:tcPr>
          <w:p w14:paraId="15DF3957">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bookmarkStart w:id="81" w:name="_Toc17374"/>
            <w:bookmarkStart w:id="82" w:name="_Toc5948"/>
            <w:r>
              <w:rPr>
                <w:rFonts w:hint="eastAsia" w:ascii="宋体" w:hAnsi="宋体" w:eastAsia="宋体" w:cs="宋体"/>
                <w:color w:val="auto"/>
                <w:spacing w:val="-1"/>
                <w:sz w:val="22"/>
                <w:szCs w:val="22"/>
                <w:highlight w:val="none"/>
                <w14:textOutline w14:w="5495" w14:cap="flat" w14:cmpd="sng">
                  <w14:solidFill>
                    <w14:srgbClr w14:val="000000"/>
                  </w14:solidFill>
                  <w14:prstDash w14:val="solid"/>
                  <w14:miter w14:val="0"/>
                </w14:textOutline>
              </w:rPr>
              <w:t>一、售后服务要</w:t>
            </w:r>
            <w:r>
              <w:rPr>
                <w:rFonts w:hint="eastAsia" w:ascii="宋体" w:hAnsi="宋体" w:eastAsia="宋体" w:cs="宋体"/>
                <w:color w:val="auto"/>
                <w:sz w:val="22"/>
                <w:szCs w:val="22"/>
                <w:highlight w:val="none"/>
                <w14:textOutline w14:w="5495" w14:cap="flat" w14:cmpd="sng">
                  <w14:solidFill>
                    <w14:srgbClr w14:val="000000"/>
                  </w14:solidFill>
                  <w14:prstDash w14:val="solid"/>
                  <w14:miter w14:val="0"/>
                </w14:textOutline>
              </w:rPr>
              <w:t>求</w:t>
            </w:r>
          </w:p>
        </w:tc>
      </w:tr>
      <w:tr w14:paraId="3C2B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432" w:type="dxa"/>
            <w:vAlign w:val="center"/>
          </w:tcPr>
          <w:p w14:paraId="4DA7C6CB">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66" w:type="dxa"/>
            <w:vAlign w:val="center"/>
          </w:tcPr>
          <w:p w14:paraId="22A06979">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质</w:t>
            </w:r>
            <w:r>
              <w:rPr>
                <w:rFonts w:hint="eastAsia" w:ascii="宋体" w:hAnsi="宋体" w:eastAsia="宋体" w:cs="宋体"/>
                <w:color w:val="auto"/>
                <w:spacing w:val="-5"/>
                <w:sz w:val="22"/>
                <w:szCs w:val="22"/>
                <w:highlight w:val="none"/>
              </w:rPr>
              <w:t>保及</w:t>
            </w:r>
            <w:r>
              <w:rPr>
                <w:rFonts w:hint="eastAsia" w:ascii="宋体" w:hAnsi="宋体" w:eastAsia="宋体" w:cs="宋体"/>
                <w:color w:val="auto"/>
                <w:spacing w:val="-4"/>
                <w:sz w:val="22"/>
                <w:szCs w:val="22"/>
                <w:highlight w:val="none"/>
              </w:rPr>
              <w:t>售</w:t>
            </w:r>
            <w:r>
              <w:rPr>
                <w:rFonts w:hint="eastAsia" w:ascii="宋体" w:hAnsi="宋体" w:eastAsia="宋体" w:cs="宋体"/>
                <w:color w:val="auto"/>
                <w:spacing w:val="-7"/>
                <w:sz w:val="22"/>
                <w:szCs w:val="22"/>
                <w:highlight w:val="none"/>
              </w:rPr>
              <w:t>后</w:t>
            </w:r>
            <w:r>
              <w:rPr>
                <w:rFonts w:hint="eastAsia" w:ascii="宋体" w:hAnsi="宋体" w:eastAsia="宋体" w:cs="宋体"/>
                <w:color w:val="auto"/>
                <w:spacing w:val="-5"/>
                <w:sz w:val="22"/>
                <w:szCs w:val="22"/>
                <w:highlight w:val="none"/>
              </w:rPr>
              <w:t>服</w:t>
            </w:r>
            <w:r>
              <w:rPr>
                <w:rFonts w:hint="eastAsia" w:ascii="宋体" w:hAnsi="宋体" w:eastAsia="宋体" w:cs="宋体"/>
                <w:color w:val="auto"/>
                <w:spacing w:val="-7"/>
                <w:sz w:val="22"/>
                <w:szCs w:val="22"/>
                <w:highlight w:val="none"/>
              </w:rPr>
              <w:t>务</w:t>
            </w:r>
            <w:r>
              <w:rPr>
                <w:rFonts w:hint="eastAsia" w:ascii="宋体" w:hAnsi="宋体" w:eastAsia="宋体" w:cs="宋体"/>
                <w:color w:val="auto"/>
                <w:spacing w:val="-6"/>
                <w:sz w:val="22"/>
                <w:szCs w:val="22"/>
                <w:highlight w:val="none"/>
              </w:rPr>
              <w:t>期</w:t>
            </w:r>
            <w:r>
              <w:rPr>
                <w:rFonts w:hint="eastAsia" w:ascii="宋体" w:hAnsi="宋体" w:eastAsia="宋体" w:cs="宋体"/>
                <w:color w:val="auto"/>
                <w:sz w:val="22"/>
                <w:szCs w:val="22"/>
                <w:highlight w:val="none"/>
              </w:rPr>
              <w:t>限</w:t>
            </w:r>
          </w:p>
        </w:tc>
        <w:tc>
          <w:tcPr>
            <w:tcW w:w="8085" w:type="dxa"/>
            <w:vAlign w:val="center"/>
          </w:tcPr>
          <w:p w14:paraId="4219C56F">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lang w:val="en-US" w:eastAsia="zh-CN"/>
              </w:rPr>
              <w:t>空调质保期不低于</w:t>
            </w:r>
            <w:r>
              <w:rPr>
                <w:rFonts w:hint="eastAsia" w:ascii="宋体" w:hAnsi="宋体" w:eastAsia="宋体" w:cs="宋体"/>
                <w:color w:val="auto"/>
                <w:spacing w:val="-16"/>
                <w:sz w:val="22"/>
                <w:szCs w:val="22"/>
                <w:highlight w:val="none"/>
                <w:u w:val="single"/>
                <w:lang w:val="en-US" w:eastAsia="zh-CN"/>
              </w:rPr>
              <w:t xml:space="preserve">  6  </w:t>
            </w:r>
            <w:r>
              <w:rPr>
                <w:rFonts w:hint="eastAsia" w:ascii="宋体" w:hAnsi="宋体" w:eastAsia="宋体" w:cs="宋体"/>
                <w:color w:val="auto"/>
                <w:spacing w:val="-16"/>
                <w:sz w:val="22"/>
                <w:szCs w:val="22"/>
                <w:highlight w:val="none"/>
                <w:lang w:val="en-US" w:eastAsia="zh-CN"/>
              </w:rPr>
              <w:t>年，其他</w:t>
            </w:r>
            <w:r>
              <w:rPr>
                <w:rFonts w:hint="eastAsia" w:ascii="宋体" w:hAnsi="宋体" w:eastAsia="宋体" w:cs="宋体"/>
                <w:color w:val="auto"/>
                <w:spacing w:val="-11"/>
                <w:sz w:val="22"/>
                <w:szCs w:val="22"/>
                <w:highlight w:val="none"/>
              </w:rPr>
              <w:t>货</w:t>
            </w:r>
            <w:r>
              <w:rPr>
                <w:rFonts w:hint="eastAsia" w:ascii="宋体" w:hAnsi="宋体" w:eastAsia="宋体" w:cs="宋体"/>
                <w:color w:val="auto"/>
                <w:spacing w:val="-8"/>
                <w:sz w:val="22"/>
                <w:szCs w:val="22"/>
                <w:highlight w:val="none"/>
              </w:rPr>
              <w:t>物质保期均为</w:t>
            </w:r>
            <w:r>
              <w:rPr>
                <w:rFonts w:hint="eastAsia" w:ascii="宋体" w:hAnsi="宋体" w:eastAsia="宋体" w:cs="宋体"/>
                <w:color w:val="auto"/>
                <w:spacing w:val="-8"/>
                <w:sz w:val="22"/>
                <w:szCs w:val="22"/>
                <w:highlight w:val="none"/>
                <w:lang w:val="en-US" w:eastAsia="zh-CN"/>
              </w:rPr>
              <w:t>不低于</w:t>
            </w:r>
            <w:r>
              <w:rPr>
                <w:rFonts w:hint="eastAsia" w:ascii="宋体" w:hAnsi="宋体" w:eastAsia="宋体" w:cs="宋体"/>
                <w:color w:val="auto"/>
                <w:spacing w:val="-8"/>
                <w:sz w:val="22"/>
                <w:szCs w:val="22"/>
                <w:highlight w:val="none"/>
                <w:u w:val="single" w:color="auto"/>
                <w:lang w:val="en-US" w:eastAsia="zh-CN"/>
              </w:rPr>
              <w:t xml:space="preserve"> 1 </w:t>
            </w:r>
            <w:r>
              <w:rPr>
                <w:rFonts w:hint="eastAsia" w:ascii="宋体" w:hAnsi="宋体" w:eastAsia="宋体" w:cs="宋体"/>
                <w:color w:val="auto"/>
                <w:spacing w:val="-8"/>
                <w:sz w:val="22"/>
                <w:szCs w:val="22"/>
                <w:highlight w:val="none"/>
              </w:rPr>
              <w:t>年，期间供应商免费提</w:t>
            </w:r>
            <w:r>
              <w:rPr>
                <w:rFonts w:hint="eastAsia" w:ascii="宋体" w:hAnsi="宋体" w:eastAsia="宋体" w:cs="宋体"/>
                <w:color w:val="auto"/>
                <w:spacing w:val="-6"/>
                <w:sz w:val="22"/>
                <w:szCs w:val="22"/>
                <w:highlight w:val="none"/>
              </w:rPr>
              <w:t>供保修服务，自最终验收合格并交付使用之日起计算。</w:t>
            </w:r>
          </w:p>
        </w:tc>
      </w:tr>
      <w:tr w14:paraId="78B0A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32" w:type="dxa"/>
            <w:vAlign w:val="center"/>
          </w:tcPr>
          <w:p w14:paraId="7FE7AEDC">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266" w:type="dxa"/>
            <w:vAlign w:val="center"/>
          </w:tcPr>
          <w:p w14:paraId="01066429">
            <w:pPr>
              <w:keepNext w:val="0"/>
              <w:keepLines w:val="0"/>
              <w:pageBreakBefore w:val="0"/>
              <w:widowControl w:val="0"/>
              <w:kinsoku/>
              <w:wordWrap/>
              <w:overflowPunct/>
              <w:topLinePunct w:val="0"/>
              <w:autoSpaceDE/>
              <w:autoSpaceDN/>
              <w:bidi w:val="0"/>
              <w:adjustRightInd/>
              <w:snapToGrid/>
              <w:spacing w:line="440" w:lineRule="exact"/>
              <w:ind w:left="0" w:right="0" w:firstLine="2"/>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交</w:t>
            </w:r>
            <w:r>
              <w:rPr>
                <w:rFonts w:hint="eastAsia" w:ascii="宋体" w:hAnsi="宋体" w:eastAsia="宋体" w:cs="宋体"/>
                <w:color w:val="auto"/>
                <w:spacing w:val="-7"/>
                <w:sz w:val="22"/>
                <w:szCs w:val="22"/>
                <w:highlight w:val="none"/>
              </w:rPr>
              <w:t>货期</w:t>
            </w:r>
            <w:r>
              <w:rPr>
                <w:rFonts w:hint="eastAsia" w:ascii="宋体" w:hAnsi="宋体" w:eastAsia="宋体" w:cs="宋体"/>
                <w:color w:val="auto"/>
                <w:spacing w:val="-6"/>
                <w:sz w:val="22"/>
                <w:szCs w:val="22"/>
                <w:highlight w:val="none"/>
              </w:rPr>
              <w:t>限</w:t>
            </w:r>
          </w:p>
        </w:tc>
        <w:tc>
          <w:tcPr>
            <w:tcW w:w="8085" w:type="dxa"/>
            <w:vAlign w:val="bottom"/>
          </w:tcPr>
          <w:p w14:paraId="3A9FB45E">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符合公告要求</w:t>
            </w:r>
          </w:p>
        </w:tc>
      </w:tr>
      <w:tr w14:paraId="1435A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32" w:type="dxa"/>
            <w:vAlign w:val="center"/>
          </w:tcPr>
          <w:p w14:paraId="7C4DC028">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266" w:type="dxa"/>
            <w:vAlign w:val="center"/>
          </w:tcPr>
          <w:p w14:paraId="158163BD">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费</w:t>
            </w:r>
            <w:r>
              <w:rPr>
                <w:rFonts w:hint="eastAsia" w:ascii="宋体" w:hAnsi="宋体" w:eastAsia="宋体" w:cs="宋体"/>
                <w:color w:val="auto"/>
                <w:spacing w:val="-12"/>
                <w:sz w:val="22"/>
                <w:szCs w:val="22"/>
                <w:highlight w:val="none"/>
              </w:rPr>
              <w:t>用</w:t>
            </w:r>
          </w:p>
        </w:tc>
        <w:tc>
          <w:tcPr>
            <w:tcW w:w="8085" w:type="dxa"/>
            <w:vAlign w:val="bottom"/>
          </w:tcPr>
          <w:p w14:paraId="334FF615">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验收及培训过程中</w:t>
            </w:r>
            <w:r>
              <w:rPr>
                <w:rFonts w:hint="eastAsia" w:ascii="宋体" w:hAnsi="宋体" w:eastAsia="宋体" w:cs="宋体"/>
                <w:color w:val="auto"/>
                <w:sz w:val="22"/>
                <w:szCs w:val="22"/>
                <w:highlight w:val="none"/>
              </w:rPr>
              <w:t>发生的所有费用均由成交供应商承担。</w:t>
            </w:r>
          </w:p>
        </w:tc>
      </w:tr>
      <w:tr w14:paraId="5BFC0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432" w:type="dxa"/>
            <w:vAlign w:val="center"/>
          </w:tcPr>
          <w:p w14:paraId="418777E5">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266" w:type="dxa"/>
            <w:vAlign w:val="center"/>
          </w:tcPr>
          <w:p w14:paraId="5115DE0C">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维修</w:t>
            </w:r>
            <w:r>
              <w:rPr>
                <w:rFonts w:hint="eastAsia" w:ascii="宋体" w:hAnsi="宋体" w:eastAsia="宋体" w:cs="宋体"/>
                <w:color w:val="auto"/>
                <w:spacing w:val="-13"/>
                <w:sz w:val="22"/>
                <w:szCs w:val="22"/>
                <w:highlight w:val="none"/>
              </w:rPr>
              <w:t>响</w:t>
            </w:r>
            <w:r>
              <w:rPr>
                <w:rFonts w:hint="eastAsia" w:ascii="宋体" w:hAnsi="宋体" w:eastAsia="宋体" w:cs="宋体"/>
                <w:color w:val="auto"/>
                <w:spacing w:val="-11"/>
                <w:sz w:val="22"/>
                <w:szCs w:val="22"/>
                <w:highlight w:val="none"/>
              </w:rPr>
              <w:t>应</w:t>
            </w:r>
            <w:r>
              <w:rPr>
                <w:rFonts w:hint="eastAsia" w:ascii="宋体" w:hAnsi="宋体" w:eastAsia="宋体" w:cs="宋体"/>
                <w:color w:val="auto"/>
                <w:spacing w:val="-5"/>
                <w:sz w:val="22"/>
                <w:szCs w:val="22"/>
                <w:highlight w:val="none"/>
              </w:rPr>
              <w:t>及</w:t>
            </w:r>
            <w:r>
              <w:rPr>
                <w:rFonts w:hint="eastAsia" w:ascii="宋体" w:hAnsi="宋体" w:eastAsia="宋体" w:cs="宋体"/>
                <w:color w:val="auto"/>
                <w:spacing w:val="-4"/>
                <w:sz w:val="22"/>
                <w:szCs w:val="22"/>
                <w:highlight w:val="none"/>
              </w:rPr>
              <w:t>故</w:t>
            </w:r>
            <w:r>
              <w:rPr>
                <w:rFonts w:hint="eastAsia" w:ascii="宋体" w:hAnsi="宋体" w:eastAsia="宋体" w:cs="宋体"/>
                <w:color w:val="auto"/>
                <w:spacing w:val="-13"/>
                <w:sz w:val="22"/>
                <w:szCs w:val="22"/>
                <w:highlight w:val="none"/>
              </w:rPr>
              <w:t>障</w:t>
            </w:r>
            <w:r>
              <w:rPr>
                <w:rFonts w:hint="eastAsia" w:ascii="宋体" w:hAnsi="宋体" w:eastAsia="宋体" w:cs="宋体"/>
                <w:color w:val="auto"/>
                <w:spacing w:val="-11"/>
                <w:sz w:val="22"/>
                <w:szCs w:val="22"/>
                <w:highlight w:val="none"/>
              </w:rPr>
              <w:t>解</w:t>
            </w:r>
            <w:r>
              <w:rPr>
                <w:rFonts w:hint="eastAsia" w:ascii="宋体" w:hAnsi="宋体" w:eastAsia="宋体" w:cs="宋体"/>
                <w:color w:val="auto"/>
                <w:spacing w:val="-9"/>
                <w:sz w:val="22"/>
                <w:szCs w:val="22"/>
                <w:highlight w:val="none"/>
              </w:rPr>
              <w:t>决时</w:t>
            </w:r>
            <w:r>
              <w:rPr>
                <w:rFonts w:hint="eastAsia" w:ascii="宋体" w:hAnsi="宋体" w:eastAsia="宋体" w:cs="宋体"/>
                <w:color w:val="auto"/>
                <w:sz w:val="22"/>
                <w:szCs w:val="22"/>
                <w:highlight w:val="none"/>
              </w:rPr>
              <w:t>间</w:t>
            </w:r>
          </w:p>
        </w:tc>
        <w:tc>
          <w:tcPr>
            <w:tcW w:w="8085" w:type="dxa"/>
            <w:vAlign w:val="bottom"/>
          </w:tcPr>
          <w:p w14:paraId="0AF6152F">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4.1在保修</w:t>
            </w:r>
            <w:r>
              <w:rPr>
                <w:rFonts w:hint="eastAsia" w:ascii="宋体" w:hAnsi="宋体" w:eastAsia="宋体" w:cs="宋体"/>
                <w:color w:val="auto"/>
                <w:spacing w:val="-3"/>
                <w:sz w:val="22"/>
                <w:szCs w:val="22"/>
                <w:highlight w:val="none"/>
              </w:rPr>
              <w:t>期内，一旦发生质量问题，供应商保证在接到通</w:t>
            </w:r>
            <w:r>
              <w:rPr>
                <w:rFonts w:hint="eastAsia" w:ascii="宋体" w:hAnsi="宋体" w:eastAsia="宋体" w:cs="宋体"/>
                <w:color w:val="auto"/>
                <w:spacing w:val="-10"/>
                <w:sz w:val="22"/>
                <w:szCs w:val="22"/>
                <w:highlight w:val="none"/>
              </w:rPr>
              <w:t>知</w:t>
            </w:r>
            <w:r>
              <w:rPr>
                <w:rFonts w:hint="eastAsia" w:ascii="宋体" w:hAnsi="宋体" w:eastAsia="宋体" w:cs="宋体"/>
                <w:color w:val="auto"/>
                <w:spacing w:val="-5"/>
                <w:sz w:val="22"/>
                <w:szCs w:val="22"/>
                <w:highlight w:val="none"/>
                <w:u w:val="single" w:color="auto"/>
              </w:rPr>
              <w:t>24</w:t>
            </w:r>
            <w:r>
              <w:rPr>
                <w:rFonts w:hint="eastAsia" w:ascii="宋体" w:hAnsi="宋体" w:eastAsia="宋体" w:cs="宋体"/>
                <w:color w:val="auto"/>
                <w:spacing w:val="-5"/>
                <w:sz w:val="22"/>
                <w:szCs w:val="22"/>
                <w:highlight w:val="none"/>
              </w:rPr>
              <w:t>小时内赶到现场进行处理并进行原厂维保。简单故障</w:t>
            </w:r>
            <w:r>
              <w:rPr>
                <w:rFonts w:hint="eastAsia" w:ascii="宋体" w:hAnsi="宋体" w:eastAsia="宋体" w:cs="宋体"/>
                <w:color w:val="auto"/>
                <w:spacing w:val="-4"/>
                <w:sz w:val="22"/>
                <w:szCs w:val="22"/>
                <w:highlight w:val="none"/>
              </w:rPr>
              <w:t>4小时内排除并恢复系统正常工作；重大故障需联合原厂</w:t>
            </w:r>
            <w:r>
              <w:rPr>
                <w:rFonts w:hint="eastAsia" w:ascii="宋体" w:hAnsi="宋体" w:eastAsia="宋体" w:cs="宋体"/>
                <w:color w:val="auto"/>
                <w:spacing w:val="-1"/>
                <w:sz w:val="22"/>
                <w:szCs w:val="22"/>
                <w:highlight w:val="none"/>
              </w:rPr>
              <w:t>商</w:t>
            </w:r>
            <w:r>
              <w:rPr>
                <w:rFonts w:hint="eastAsia" w:ascii="宋体" w:hAnsi="宋体" w:eastAsia="宋体" w:cs="宋体"/>
                <w:color w:val="auto"/>
                <w:spacing w:val="-20"/>
                <w:sz w:val="22"/>
                <w:szCs w:val="22"/>
                <w:highlight w:val="none"/>
              </w:rPr>
              <w:t>完</w:t>
            </w:r>
            <w:r>
              <w:rPr>
                <w:rFonts w:hint="eastAsia" w:ascii="宋体" w:hAnsi="宋体" w:eastAsia="宋体" w:cs="宋体"/>
                <w:color w:val="auto"/>
                <w:spacing w:val="-11"/>
                <w:sz w:val="22"/>
                <w:szCs w:val="22"/>
                <w:highlight w:val="none"/>
              </w:rPr>
              <w:t>成调查故障原因并实施故障处理、设备更换、修复等工作，</w:t>
            </w:r>
            <w:r>
              <w:rPr>
                <w:rFonts w:hint="eastAsia" w:ascii="宋体" w:hAnsi="宋体" w:eastAsia="宋体" w:cs="宋体"/>
                <w:color w:val="auto"/>
                <w:spacing w:val="-4"/>
                <w:sz w:val="22"/>
                <w:szCs w:val="22"/>
                <w:highlight w:val="none"/>
              </w:rPr>
              <w:t>以恢复系统正常工作。此外，在质保期内，成交供应商负</w:t>
            </w:r>
            <w:r>
              <w:rPr>
                <w:rFonts w:hint="eastAsia" w:ascii="宋体" w:hAnsi="宋体" w:eastAsia="宋体" w:cs="宋体"/>
                <w:color w:val="auto"/>
                <w:spacing w:val="-2"/>
                <w:sz w:val="22"/>
                <w:szCs w:val="22"/>
                <w:highlight w:val="none"/>
              </w:rPr>
              <w:t>责</w:t>
            </w:r>
            <w:r>
              <w:rPr>
                <w:rFonts w:hint="eastAsia" w:ascii="宋体" w:hAnsi="宋体" w:eastAsia="宋体" w:cs="宋体"/>
                <w:color w:val="auto"/>
                <w:spacing w:val="7"/>
                <w:sz w:val="22"/>
                <w:szCs w:val="22"/>
                <w:highlight w:val="none"/>
              </w:rPr>
              <w:t>对出现故障的设备提供性能相同的替用设备确保系统正常</w:t>
            </w:r>
            <w:r>
              <w:rPr>
                <w:rFonts w:hint="eastAsia" w:ascii="宋体" w:hAnsi="宋体" w:eastAsia="宋体" w:cs="宋体"/>
                <w:color w:val="auto"/>
                <w:spacing w:val="-4"/>
                <w:sz w:val="22"/>
                <w:szCs w:val="22"/>
                <w:highlight w:val="none"/>
              </w:rPr>
              <w:t>运</w:t>
            </w:r>
            <w:r>
              <w:rPr>
                <w:rFonts w:hint="eastAsia" w:ascii="宋体" w:hAnsi="宋体" w:eastAsia="宋体" w:cs="宋体"/>
                <w:color w:val="auto"/>
                <w:spacing w:val="-3"/>
                <w:sz w:val="22"/>
                <w:szCs w:val="22"/>
                <w:highlight w:val="none"/>
              </w:rPr>
              <w:t>行</w:t>
            </w:r>
            <w:r>
              <w:rPr>
                <w:rFonts w:hint="eastAsia" w:ascii="宋体" w:hAnsi="宋体" w:eastAsia="宋体" w:cs="宋体"/>
                <w:color w:val="auto"/>
                <w:spacing w:val="-2"/>
                <w:sz w:val="22"/>
                <w:szCs w:val="22"/>
                <w:highlight w:val="none"/>
              </w:rPr>
              <w:t>。</w:t>
            </w:r>
          </w:p>
          <w:p w14:paraId="381CE482">
            <w:pPr>
              <w:keepNext w:val="0"/>
              <w:keepLines w:val="0"/>
              <w:pageBreakBefore w:val="0"/>
              <w:widowControl w:val="0"/>
              <w:kinsoku/>
              <w:wordWrap/>
              <w:overflowPunct/>
              <w:topLinePunct w:val="0"/>
              <w:autoSpaceDE/>
              <w:autoSpaceDN/>
              <w:bidi w:val="0"/>
              <w:adjustRightInd/>
              <w:snapToGrid/>
              <w:spacing w:line="440" w:lineRule="exact"/>
              <w:ind w:left="0" w:right="0" w:hanging="7"/>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4</w:t>
            </w:r>
            <w:r>
              <w:rPr>
                <w:rFonts w:hint="eastAsia" w:ascii="宋体" w:hAnsi="宋体" w:eastAsia="宋体" w:cs="宋体"/>
                <w:color w:val="auto"/>
                <w:spacing w:val="-8"/>
                <w:sz w:val="22"/>
                <w:szCs w:val="22"/>
                <w:highlight w:val="none"/>
              </w:rPr>
              <w:t>.2对于系统中的主要设备，成交供应商应在保修期间</w:t>
            </w:r>
            <w:r>
              <w:rPr>
                <w:rFonts w:hint="eastAsia" w:ascii="宋体" w:hAnsi="宋体" w:eastAsia="宋体" w:cs="宋体"/>
                <w:color w:val="auto"/>
                <w:spacing w:val="-1"/>
                <w:sz w:val="22"/>
                <w:szCs w:val="22"/>
                <w:highlight w:val="none"/>
              </w:rPr>
              <w:t>免费提供有关的备品、备件及消耗品。</w:t>
            </w:r>
          </w:p>
          <w:p w14:paraId="4EEC1F51">
            <w:pPr>
              <w:keepNext w:val="0"/>
              <w:keepLines w:val="0"/>
              <w:pageBreakBefore w:val="0"/>
              <w:widowControl w:val="0"/>
              <w:kinsoku/>
              <w:wordWrap/>
              <w:overflowPunct/>
              <w:topLinePunct w:val="0"/>
              <w:autoSpaceDE/>
              <w:autoSpaceDN/>
              <w:bidi w:val="0"/>
              <w:adjustRightInd/>
              <w:snapToGrid/>
              <w:spacing w:line="440" w:lineRule="exact"/>
              <w:ind w:left="0" w:right="0" w:hanging="1"/>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4</w:t>
            </w:r>
            <w:r>
              <w:rPr>
                <w:rFonts w:hint="eastAsia" w:ascii="宋体" w:hAnsi="宋体" w:eastAsia="宋体" w:cs="宋体"/>
                <w:color w:val="auto"/>
                <w:spacing w:val="-8"/>
                <w:sz w:val="22"/>
                <w:szCs w:val="22"/>
                <w:highlight w:val="none"/>
              </w:rPr>
              <w:t>.3在质保期内，免费派技术人员半年给予每月不少于1次</w:t>
            </w:r>
            <w:r>
              <w:rPr>
                <w:rFonts w:hint="eastAsia" w:ascii="宋体" w:hAnsi="宋体" w:eastAsia="宋体" w:cs="宋体"/>
                <w:color w:val="auto"/>
                <w:spacing w:val="-16"/>
                <w:sz w:val="22"/>
                <w:szCs w:val="22"/>
                <w:highlight w:val="none"/>
              </w:rPr>
              <w:t>的系</w:t>
            </w:r>
            <w:r>
              <w:rPr>
                <w:rFonts w:hint="eastAsia" w:ascii="宋体" w:hAnsi="宋体" w:eastAsia="宋体" w:cs="宋体"/>
                <w:color w:val="auto"/>
                <w:spacing w:val="-11"/>
                <w:sz w:val="22"/>
                <w:szCs w:val="22"/>
                <w:highlight w:val="none"/>
              </w:rPr>
              <w:t>统</w:t>
            </w:r>
            <w:r>
              <w:rPr>
                <w:rFonts w:hint="eastAsia" w:ascii="宋体" w:hAnsi="宋体" w:eastAsia="宋体" w:cs="宋体"/>
                <w:color w:val="auto"/>
                <w:spacing w:val="-8"/>
                <w:sz w:val="22"/>
                <w:szCs w:val="22"/>
                <w:highlight w:val="none"/>
              </w:rPr>
              <w:t>巡检；半年后每月不少于1次对整个系统进行一次系</w:t>
            </w:r>
            <w:r>
              <w:rPr>
                <w:rFonts w:hint="eastAsia" w:ascii="宋体" w:hAnsi="宋体" w:eastAsia="宋体" w:cs="宋体"/>
                <w:color w:val="auto"/>
                <w:spacing w:val="-6"/>
                <w:sz w:val="22"/>
                <w:szCs w:val="22"/>
                <w:highlight w:val="none"/>
              </w:rPr>
              <w:t>统</w:t>
            </w:r>
            <w:r>
              <w:rPr>
                <w:rFonts w:hint="eastAsia" w:ascii="宋体" w:hAnsi="宋体" w:eastAsia="宋体" w:cs="宋体"/>
                <w:color w:val="auto"/>
                <w:spacing w:val="-4"/>
                <w:sz w:val="22"/>
                <w:szCs w:val="22"/>
                <w:highlight w:val="none"/>
              </w:rPr>
              <w:t>巡检，对系统存在的潜在安全和故障隐患进行分析并提出</w:t>
            </w:r>
            <w:r>
              <w:rPr>
                <w:rFonts w:hint="eastAsia" w:ascii="宋体" w:hAnsi="宋体" w:eastAsia="宋体" w:cs="宋体"/>
                <w:color w:val="auto"/>
                <w:spacing w:val="-1"/>
                <w:sz w:val="22"/>
                <w:szCs w:val="22"/>
                <w:highlight w:val="none"/>
              </w:rPr>
              <w:t>相应的解决方案加以排</w:t>
            </w:r>
            <w:r>
              <w:rPr>
                <w:rFonts w:hint="eastAsia" w:ascii="宋体" w:hAnsi="宋体" w:eastAsia="宋体" w:cs="宋体"/>
                <w:color w:val="auto"/>
                <w:sz w:val="22"/>
                <w:szCs w:val="22"/>
                <w:highlight w:val="none"/>
              </w:rPr>
              <w:t>除。</w:t>
            </w:r>
          </w:p>
          <w:p w14:paraId="3FE83B4D">
            <w:pPr>
              <w:keepNext w:val="0"/>
              <w:keepLines w:val="0"/>
              <w:pageBreakBefore w:val="0"/>
              <w:widowControl w:val="0"/>
              <w:kinsoku/>
              <w:wordWrap/>
              <w:overflowPunct/>
              <w:topLinePunct w:val="0"/>
              <w:autoSpaceDE/>
              <w:autoSpaceDN/>
              <w:bidi w:val="0"/>
              <w:adjustRightInd/>
              <w:snapToGrid/>
              <w:spacing w:line="440" w:lineRule="exact"/>
              <w:ind w:left="0" w:right="0" w:hanging="3"/>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4.4在质保</w:t>
            </w:r>
            <w:r>
              <w:rPr>
                <w:rFonts w:hint="eastAsia" w:ascii="宋体" w:hAnsi="宋体" w:eastAsia="宋体" w:cs="宋体"/>
                <w:color w:val="auto"/>
                <w:spacing w:val="-3"/>
                <w:sz w:val="22"/>
                <w:szCs w:val="22"/>
                <w:highlight w:val="none"/>
              </w:rPr>
              <w:t>期内，如发生系统升级等情况，负责现场升级和</w:t>
            </w:r>
            <w:r>
              <w:rPr>
                <w:rFonts w:hint="eastAsia" w:ascii="宋体" w:hAnsi="宋体" w:eastAsia="宋体" w:cs="宋体"/>
                <w:color w:val="auto"/>
                <w:spacing w:val="-8"/>
                <w:sz w:val="22"/>
                <w:szCs w:val="22"/>
                <w:highlight w:val="none"/>
              </w:rPr>
              <w:t>向</w:t>
            </w:r>
            <w:r>
              <w:rPr>
                <w:rFonts w:hint="eastAsia" w:ascii="宋体" w:hAnsi="宋体" w:eastAsia="宋体" w:cs="宋体"/>
                <w:color w:val="auto"/>
                <w:spacing w:val="-4"/>
                <w:sz w:val="22"/>
                <w:szCs w:val="22"/>
                <w:highlight w:val="none"/>
              </w:rPr>
              <w:t>采购人提供最新版本免费使用。在系统升级时，须派技术</w:t>
            </w:r>
            <w:r>
              <w:rPr>
                <w:rFonts w:hint="eastAsia" w:ascii="宋体" w:hAnsi="宋体" w:eastAsia="宋体" w:cs="宋体"/>
                <w:color w:val="auto"/>
                <w:spacing w:val="-1"/>
                <w:sz w:val="22"/>
                <w:szCs w:val="22"/>
                <w:highlight w:val="none"/>
              </w:rPr>
              <w:t>人员到现场协助完成相关工作</w:t>
            </w:r>
            <w:r>
              <w:rPr>
                <w:rFonts w:hint="eastAsia" w:ascii="宋体" w:hAnsi="宋体" w:eastAsia="宋体" w:cs="宋体"/>
                <w:color w:val="auto"/>
                <w:sz w:val="22"/>
                <w:szCs w:val="22"/>
                <w:highlight w:val="none"/>
              </w:rPr>
              <w:t>。</w:t>
            </w:r>
          </w:p>
          <w:p w14:paraId="53F11ABB">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4.5供应商要有完善的售后服务体系和固定的售后服务</w:t>
            </w:r>
            <w:r>
              <w:rPr>
                <w:rFonts w:hint="eastAsia" w:ascii="宋体" w:hAnsi="宋体" w:eastAsia="宋体" w:cs="宋体"/>
                <w:color w:val="auto"/>
                <w:spacing w:val="-1"/>
                <w:sz w:val="22"/>
                <w:szCs w:val="22"/>
                <w:highlight w:val="none"/>
              </w:rPr>
              <w:t>队</w:t>
            </w:r>
            <w:r>
              <w:rPr>
                <w:rFonts w:hint="eastAsia" w:ascii="宋体" w:hAnsi="宋体" w:eastAsia="宋体" w:cs="宋体"/>
                <w:color w:val="auto"/>
                <w:spacing w:val="-5"/>
                <w:sz w:val="22"/>
                <w:szCs w:val="22"/>
                <w:highlight w:val="none"/>
              </w:rPr>
              <w:t>伍</w:t>
            </w:r>
            <w:r>
              <w:rPr>
                <w:rFonts w:hint="eastAsia" w:ascii="宋体" w:hAnsi="宋体" w:eastAsia="宋体" w:cs="宋体"/>
                <w:color w:val="auto"/>
                <w:spacing w:val="-4"/>
                <w:sz w:val="22"/>
                <w:szCs w:val="22"/>
                <w:highlight w:val="none"/>
              </w:rPr>
              <w:t>，良好的服务态度和质量；项目组的技术队伍在售前和售</w:t>
            </w:r>
            <w:r>
              <w:rPr>
                <w:rFonts w:hint="eastAsia" w:ascii="宋体" w:hAnsi="宋体" w:eastAsia="宋体" w:cs="宋体"/>
                <w:color w:val="auto"/>
                <w:spacing w:val="-1"/>
                <w:sz w:val="22"/>
                <w:szCs w:val="22"/>
                <w:highlight w:val="none"/>
              </w:rPr>
              <w:t>后要固定，不能临时</w:t>
            </w:r>
            <w:r>
              <w:rPr>
                <w:rFonts w:hint="eastAsia" w:ascii="宋体" w:hAnsi="宋体" w:eastAsia="宋体" w:cs="宋体"/>
                <w:color w:val="auto"/>
                <w:sz w:val="22"/>
                <w:szCs w:val="22"/>
                <w:highlight w:val="none"/>
              </w:rPr>
              <w:t>替补或经常更换。</w:t>
            </w:r>
          </w:p>
        </w:tc>
      </w:tr>
      <w:tr w14:paraId="6EBA9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32" w:type="dxa"/>
            <w:vAlign w:val="center"/>
          </w:tcPr>
          <w:p w14:paraId="143864B2">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266" w:type="dxa"/>
            <w:vAlign w:val="center"/>
          </w:tcPr>
          <w:p w14:paraId="261EE7FB">
            <w:pPr>
              <w:keepNext w:val="0"/>
              <w:keepLines w:val="0"/>
              <w:pageBreakBefore w:val="0"/>
              <w:widowControl w:val="0"/>
              <w:kinsoku/>
              <w:wordWrap/>
              <w:overflowPunct/>
              <w:topLinePunct w:val="0"/>
              <w:autoSpaceDE/>
              <w:autoSpaceDN/>
              <w:bidi w:val="0"/>
              <w:adjustRightInd/>
              <w:snapToGrid/>
              <w:spacing w:line="440" w:lineRule="exact"/>
              <w:ind w:left="0" w:right="0" w:hanging="2"/>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优</w:t>
            </w:r>
            <w:r>
              <w:rPr>
                <w:rFonts w:hint="eastAsia" w:ascii="宋体" w:hAnsi="宋体" w:eastAsia="宋体" w:cs="宋体"/>
                <w:color w:val="auto"/>
                <w:spacing w:val="-4"/>
                <w:sz w:val="22"/>
                <w:szCs w:val="22"/>
                <w:highlight w:val="none"/>
              </w:rPr>
              <w:t>惠</w:t>
            </w:r>
            <w:r>
              <w:rPr>
                <w:rFonts w:hint="eastAsia" w:ascii="宋体" w:hAnsi="宋体" w:eastAsia="宋体" w:cs="宋体"/>
                <w:color w:val="auto"/>
                <w:spacing w:val="-6"/>
                <w:sz w:val="22"/>
                <w:szCs w:val="22"/>
                <w:highlight w:val="none"/>
              </w:rPr>
              <w:t>保</w:t>
            </w:r>
            <w:r>
              <w:rPr>
                <w:rFonts w:hint="eastAsia" w:ascii="宋体" w:hAnsi="宋体" w:eastAsia="宋体" w:cs="宋体"/>
                <w:color w:val="auto"/>
                <w:spacing w:val="-5"/>
                <w:sz w:val="22"/>
                <w:szCs w:val="22"/>
                <w:highlight w:val="none"/>
              </w:rPr>
              <w:t>障</w:t>
            </w:r>
          </w:p>
        </w:tc>
        <w:tc>
          <w:tcPr>
            <w:tcW w:w="8085" w:type="dxa"/>
            <w:vAlign w:val="bottom"/>
          </w:tcPr>
          <w:p w14:paraId="369519C6">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质保期满后，以优惠价格</w:t>
            </w:r>
            <w:r>
              <w:rPr>
                <w:rFonts w:hint="eastAsia" w:ascii="宋体" w:hAnsi="宋体" w:eastAsia="宋体" w:cs="宋体"/>
                <w:color w:val="auto"/>
                <w:sz w:val="22"/>
                <w:szCs w:val="22"/>
                <w:highlight w:val="none"/>
              </w:rPr>
              <w:t>提供故障设备更换及维修服务</w:t>
            </w:r>
          </w:p>
        </w:tc>
      </w:tr>
      <w:tr w14:paraId="023E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 w:hRule="atLeast"/>
        </w:trPr>
        <w:tc>
          <w:tcPr>
            <w:tcW w:w="432" w:type="dxa"/>
            <w:vAlign w:val="center"/>
          </w:tcPr>
          <w:p w14:paraId="0F50A1F7">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266" w:type="dxa"/>
            <w:vAlign w:val="center"/>
          </w:tcPr>
          <w:p w14:paraId="287F50B6">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交</w:t>
            </w:r>
            <w:r>
              <w:rPr>
                <w:rFonts w:hint="eastAsia" w:ascii="宋体" w:hAnsi="宋体" w:eastAsia="宋体" w:cs="宋体"/>
                <w:color w:val="auto"/>
                <w:spacing w:val="-7"/>
                <w:sz w:val="22"/>
                <w:szCs w:val="22"/>
                <w:highlight w:val="none"/>
              </w:rPr>
              <w:t>货</w:t>
            </w:r>
          </w:p>
        </w:tc>
        <w:tc>
          <w:tcPr>
            <w:tcW w:w="8085" w:type="dxa"/>
            <w:vAlign w:val="bottom"/>
          </w:tcPr>
          <w:p w14:paraId="50C90C32">
            <w:pPr>
              <w:keepNext w:val="0"/>
              <w:keepLines w:val="0"/>
              <w:pageBreakBefore w:val="0"/>
              <w:widowControl w:val="0"/>
              <w:kinsoku/>
              <w:wordWrap/>
              <w:overflowPunct/>
              <w:topLinePunct w:val="0"/>
              <w:autoSpaceDE/>
              <w:autoSpaceDN/>
              <w:bidi w:val="0"/>
              <w:adjustRightInd/>
              <w:snapToGrid/>
              <w:spacing w:line="440" w:lineRule="exact"/>
              <w:ind w:left="0" w:right="0" w:firstLine="4"/>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6.1交货时要求供应商就所投产品提供生产厂家完整的随</w:t>
            </w:r>
            <w:r>
              <w:rPr>
                <w:rFonts w:hint="eastAsia" w:ascii="宋体" w:hAnsi="宋体" w:eastAsia="宋体" w:cs="宋体"/>
                <w:color w:val="auto"/>
                <w:sz w:val="22"/>
                <w:szCs w:val="22"/>
                <w:highlight w:val="none"/>
              </w:rPr>
              <w:t>机</w:t>
            </w:r>
            <w:r>
              <w:rPr>
                <w:rFonts w:hint="eastAsia" w:ascii="宋体" w:hAnsi="宋体" w:eastAsia="宋体" w:cs="宋体"/>
                <w:color w:val="auto"/>
                <w:spacing w:val="-4"/>
                <w:sz w:val="22"/>
                <w:szCs w:val="22"/>
                <w:highlight w:val="none"/>
              </w:rPr>
              <w:t>资料，包括完整的使用和维修手册、产品说明书等，同时</w:t>
            </w:r>
            <w:r>
              <w:rPr>
                <w:rFonts w:hint="eastAsia" w:ascii="宋体" w:hAnsi="宋体" w:eastAsia="宋体" w:cs="宋体"/>
                <w:color w:val="auto"/>
                <w:spacing w:val="-1"/>
                <w:sz w:val="22"/>
                <w:szCs w:val="22"/>
                <w:highlight w:val="none"/>
              </w:rPr>
              <w:t>采</w:t>
            </w:r>
            <w:r>
              <w:rPr>
                <w:rFonts w:hint="eastAsia" w:ascii="宋体" w:hAnsi="宋体" w:eastAsia="宋体" w:cs="宋体"/>
                <w:color w:val="auto"/>
                <w:spacing w:val="-4"/>
                <w:sz w:val="22"/>
                <w:szCs w:val="22"/>
                <w:highlight w:val="none"/>
              </w:rPr>
              <w:t>购人有权要求供应商对产品的合法供货渠道进行说明，经</w:t>
            </w:r>
            <w:r>
              <w:rPr>
                <w:rFonts w:hint="eastAsia" w:ascii="宋体" w:hAnsi="宋体" w:eastAsia="宋体" w:cs="宋体"/>
                <w:color w:val="auto"/>
                <w:spacing w:val="-1"/>
                <w:sz w:val="22"/>
                <w:szCs w:val="22"/>
                <w:highlight w:val="none"/>
              </w:rPr>
              <w:t>核</w:t>
            </w:r>
            <w:r>
              <w:rPr>
                <w:rFonts w:hint="eastAsia" w:ascii="宋体" w:hAnsi="宋体" w:eastAsia="宋体" w:cs="宋体"/>
                <w:color w:val="auto"/>
                <w:spacing w:val="-4"/>
                <w:sz w:val="22"/>
                <w:szCs w:val="22"/>
                <w:highlight w:val="none"/>
              </w:rPr>
              <w:t>实如供应商提供非法渠道的商品，视为欺诈，为维护采购</w:t>
            </w:r>
            <w:r>
              <w:rPr>
                <w:rFonts w:hint="eastAsia" w:ascii="宋体" w:hAnsi="宋体" w:eastAsia="宋体" w:cs="宋体"/>
                <w:color w:val="auto"/>
                <w:spacing w:val="-3"/>
                <w:sz w:val="22"/>
                <w:szCs w:val="22"/>
                <w:highlight w:val="none"/>
              </w:rPr>
              <w:t>人</w:t>
            </w:r>
            <w:r>
              <w:rPr>
                <w:rFonts w:hint="eastAsia" w:ascii="宋体" w:hAnsi="宋体" w:eastAsia="宋体" w:cs="宋体"/>
                <w:color w:val="auto"/>
                <w:spacing w:val="-4"/>
                <w:sz w:val="22"/>
                <w:szCs w:val="22"/>
                <w:highlight w:val="none"/>
              </w:rPr>
              <w:t>的合法权益，供应商要承担商品价值双倍的赔偿；同时，</w:t>
            </w:r>
            <w:r>
              <w:rPr>
                <w:rFonts w:hint="eastAsia" w:ascii="宋体" w:hAnsi="宋体" w:eastAsia="宋体" w:cs="宋体"/>
                <w:color w:val="auto"/>
                <w:spacing w:val="-3"/>
                <w:sz w:val="22"/>
                <w:szCs w:val="22"/>
                <w:highlight w:val="none"/>
              </w:rPr>
              <w:t>依</w:t>
            </w:r>
            <w:r>
              <w:rPr>
                <w:rFonts w:hint="eastAsia" w:ascii="宋体" w:hAnsi="宋体" w:eastAsia="宋体" w:cs="宋体"/>
                <w:color w:val="auto"/>
                <w:spacing w:val="-4"/>
                <w:sz w:val="22"/>
                <w:szCs w:val="22"/>
                <w:highlight w:val="none"/>
              </w:rPr>
              <w:t>据国家法律法规追究其他责任，并连带追究所投产品生产</w:t>
            </w:r>
            <w:r>
              <w:rPr>
                <w:rFonts w:hint="eastAsia" w:ascii="宋体" w:hAnsi="宋体" w:eastAsia="宋体" w:cs="宋体"/>
                <w:color w:val="auto"/>
                <w:spacing w:val="-3"/>
                <w:sz w:val="22"/>
                <w:szCs w:val="22"/>
                <w:highlight w:val="none"/>
              </w:rPr>
              <w:t>企</w:t>
            </w:r>
            <w:r>
              <w:rPr>
                <w:rFonts w:hint="eastAsia" w:ascii="宋体" w:hAnsi="宋体" w:eastAsia="宋体" w:cs="宋体"/>
                <w:color w:val="auto"/>
                <w:spacing w:val="-2"/>
                <w:sz w:val="22"/>
                <w:szCs w:val="22"/>
                <w:highlight w:val="none"/>
              </w:rPr>
              <w:t>业的责</w:t>
            </w:r>
            <w:r>
              <w:rPr>
                <w:rFonts w:hint="eastAsia" w:ascii="宋体" w:hAnsi="宋体" w:eastAsia="宋体" w:cs="宋体"/>
                <w:color w:val="auto"/>
                <w:spacing w:val="-1"/>
                <w:sz w:val="22"/>
                <w:szCs w:val="22"/>
                <w:highlight w:val="none"/>
              </w:rPr>
              <w:t>任。</w:t>
            </w:r>
          </w:p>
          <w:p w14:paraId="100E451F">
            <w:pPr>
              <w:keepNext w:val="0"/>
              <w:keepLines w:val="0"/>
              <w:pageBreakBefore w:val="0"/>
              <w:widowControl w:val="0"/>
              <w:kinsoku/>
              <w:wordWrap/>
              <w:overflowPunct/>
              <w:topLinePunct w:val="0"/>
              <w:autoSpaceDE/>
              <w:autoSpaceDN/>
              <w:bidi w:val="0"/>
              <w:adjustRightInd/>
              <w:snapToGrid/>
              <w:spacing w:line="440" w:lineRule="exact"/>
              <w:ind w:left="0" w:right="0" w:firstLine="1"/>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6.2保证所</w:t>
            </w:r>
            <w:r>
              <w:rPr>
                <w:rFonts w:hint="eastAsia" w:ascii="宋体" w:hAnsi="宋体" w:eastAsia="宋体" w:cs="宋体"/>
                <w:color w:val="auto"/>
                <w:spacing w:val="-4"/>
                <w:sz w:val="22"/>
                <w:szCs w:val="22"/>
                <w:highlight w:val="none"/>
              </w:rPr>
              <w:t>提</w:t>
            </w:r>
            <w:r>
              <w:rPr>
                <w:rFonts w:hint="eastAsia" w:ascii="宋体" w:hAnsi="宋体" w:eastAsia="宋体" w:cs="宋体"/>
                <w:color w:val="auto"/>
                <w:spacing w:val="-3"/>
                <w:sz w:val="22"/>
                <w:szCs w:val="22"/>
                <w:highlight w:val="none"/>
              </w:rPr>
              <w:t>供货物为全新的原厂商生产的合格产品；保证</w:t>
            </w:r>
            <w:r>
              <w:rPr>
                <w:rFonts w:hint="eastAsia" w:ascii="宋体" w:hAnsi="宋体" w:eastAsia="宋体" w:cs="宋体"/>
                <w:color w:val="auto"/>
                <w:spacing w:val="-4"/>
                <w:sz w:val="22"/>
                <w:szCs w:val="22"/>
                <w:highlight w:val="none"/>
              </w:rPr>
              <w:t>提供所有相关配件、安装、调试、运行、管理及维护齐全有</w:t>
            </w:r>
            <w:r>
              <w:rPr>
                <w:rFonts w:hint="eastAsia" w:ascii="宋体" w:hAnsi="宋体" w:eastAsia="宋体" w:cs="宋体"/>
                <w:color w:val="auto"/>
                <w:spacing w:val="-2"/>
                <w:sz w:val="22"/>
                <w:szCs w:val="22"/>
                <w:highlight w:val="none"/>
              </w:rPr>
              <w:t>效的技术资</w:t>
            </w:r>
            <w:r>
              <w:rPr>
                <w:rFonts w:hint="eastAsia" w:ascii="宋体" w:hAnsi="宋体" w:eastAsia="宋体" w:cs="宋体"/>
                <w:color w:val="auto"/>
                <w:spacing w:val="-1"/>
                <w:sz w:val="22"/>
                <w:szCs w:val="22"/>
                <w:highlight w:val="none"/>
              </w:rPr>
              <w:t>料。</w:t>
            </w:r>
          </w:p>
        </w:tc>
      </w:tr>
      <w:tr w14:paraId="3F88F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6" w:hRule="atLeast"/>
        </w:trPr>
        <w:tc>
          <w:tcPr>
            <w:tcW w:w="432" w:type="dxa"/>
            <w:vAlign w:val="center"/>
          </w:tcPr>
          <w:p w14:paraId="6C71A932">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266" w:type="dxa"/>
            <w:vAlign w:val="center"/>
          </w:tcPr>
          <w:p w14:paraId="5FE519EF">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验</w:t>
            </w:r>
            <w:r>
              <w:rPr>
                <w:rFonts w:hint="eastAsia" w:ascii="宋体" w:hAnsi="宋体" w:eastAsia="宋体" w:cs="宋体"/>
                <w:color w:val="auto"/>
                <w:spacing w:val="-4"/>
                <w:sz w:val="22"/>
                <w:szCs w:val="22"/>
                <w:highlight w:val="none"/>
              </w:rPr>
              <w:t>收</w:t>
            </w:r>
          </w:p>
        </w:tc>
        <w:tc>
          <w:tcPr>
            <w:tcW w:w="8085" w:type="dxa"/>
            <w:vAlign w:val="bottom"/>
          </w:tcPr>
          <w:p w14:paraId="1BEDCF9B">
            <w:pPr>
              <w:keepNext w:val="0"/>
              <w:keepLines w:val="0"/>
              <w:pageBreakBefore w:val="0"/>
              <w:widowControl w:val="0"/>
              <w:kinsoku/>
              <w:wordWrap/>
              <w:overflowPunct/>
              <w:topLinePunct w:val="0"/>
              <w:autoSpaceDE/>
              <w:autoSpaceDN/>
              <w:bidi w:val="0"/>
              <w:adjustRightInd/>
              <w:snapToGrid/>
              <w:spacing w:line="440" w:lineRule="exact"/>
              <w:ind w:left="0" w:right="0" w:firstLine="7"/>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7.1成交供应商货物经过双方检验认可后，签署验收报告</w:t>
            </w: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4"/>
                <w:sz w:val="22"/>
                <w:szCs w:val="22"/>
                <w:highlight w:val="none"/>
              </w:rPr>
              <w:t>产品保修期自验收合格之日起算，由供应商提供产品保修</w:t>
            </w:r>
            <w:r>
              <w:rPr>
                <w:rFonts w:hint="eastAsia" w:ascii="宋体" w:hAnsi="宋体" w:eastAsia="宋体" w:cs="宋体"/>
                <w:color w:val="auto"/>
                <w:spacing w:val="-2"/>
                <w:sz w:val="22"/>
                <w:szCs w:val="22"/>
                <w:highlight w:val="none"/>
              </w:rPr>
              <w:t>文</w:t>
            </w:r>
            <w:r>
              <w:rPr>
                <w:rFonts w:hint="eastAsia" w:ascii="宋体" w:hAnsi="宋体" w:eastAsia="宋体" w:cs="宋体"/>
                <w:color w:val="auto"/>
                <w:spacing w:val="-5"/>
                <w:sz w:val="22"/>
                <w:szCs w:val="22"/>
                <w:highlight w:val="none"/>
              </w:rPr>
              <w:t>件</w:t>
            </w:r>
            <w:r>
              <w:rPr>
                <w:rFonts w:hint="eastAsia" w:ascii="宋体" w:hAnsi="宋体" w:eastAsia="宋体" w:cs="宋体"/>
                <w:color w:val="auto"/>
                <w:spacing w:val="-4"/>
                <w:sz w:val="22"/>
                <w:szCs w:val="22"/>
                <w:highlight w:val="none"/>
              </w:rPr>
              <w:t>。</w:t>
            </w:r>
          </w:p>
          <w:p w14:paraId="590C0198">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7</w:t>
            </w:r>
            <w:r>
              <w:rPr>
                <w:rFonts w:hint="eastAsia" w:ascii="宋体" w:hAnsi="宋体" w:eastAsia="宋体" w:cs="宋体"/>
                <w:color w:val="auto"/>
                <w:spacing w:val="-9"/>
                <w:sz w:val="22"/>
                <w:szCs w:val="22"/>
                <w:highlight w:val="none"/>
              </w:rPr>
              <w:t>.2货物验收：</w:t>
            </w:r>
          </w:p>
          <w:p w14:paraId="57785966">
            <w:pPr>
              <w:keepNext w:val="0"/>
              <w:keepLines w:val="0"/>
              <w:pageBreakBefore w:val="0"/>
              <w:widowControl w:val="0"/>
              <w:kinsoku/>
              <w:wordWrap/>
              <w:overflowPunct/>
              <w:topLinePunct w:val="0"/>
              <w:autoSpaceDE/>
              <w:autoSpaceDN/>
              <w:bidi w:val="0"/>
              <w:adjustRightInd/>
              <w:snapToGrid/>
              <w:spacing w:line="440" w:lineRule="exact"/>
              <w:ind w:left="0" w:right="0" w:firstLine="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当满足以</w:t>
            </w:r>
            <w:r>
              <w:rPr>
                <w:rFonts w:hint="eastAsia" w:ascii="宋体" w:hAnsi="宋体" w:eastAsia="宋体" w:cs="宋体"/>
                <w:color w:val="auto"/>
                <w:spacing w:val="-5"/>
                <w:sz w:val="22"/>
                <w:szCs w:val="22"/>
                <w:highlight w:val="none"/>
              </w:rPr>
              <w:t>下</w:t>
            </w:r>
            <w:r>
              <w:rPr>
                <w:rFonts w:hint="eastAsia" w:ascii="宋体" w:hAnsi="宋体" w:eastAsia="宋体" w:cs="宋体"/>
                <w:color w:val="auto"/>
                <w:spacing w:val="-4"/>
                <w:sz w:val="22"/>
                <w:szCs w:val="22"/>
                <w:highlight w:val="none"/>
              </w:rPr>
              <w:t>条件时，采购人才向成交供应商签发货物验收报</w:t>
            </w:r>
            <w:r>
              <w:rPr>
                <w:rFonts w:hint="eastAsia" w:ascii="宋体" w:hAnsi="宋体" w:eastAsia="宋体" w:cs="宋体"/>
                <w:color w:val="auto"/>
                <w:spacing w:val="-9"/>
                <w:sz w:val="22"/>
                <w:szCs w:val="22"/>
                <w:highlight w:val="none"/>
              </w:rPr>
              <w:t>告</w:t>
            </w:r>
            <w:r>
              <w:rPr>
                <w:rFonts w:hint="eastAsia" w:ascii="宋体" w:hAnsi="宋体" w:eastAsia="宋体" w:cs="宋体"/>
                <w:color w:val="auto"/>
                <w:spacing w:val="-8"/>
                <w:sz w:val="22"/>
                <w:szCs w:val="22"/>
                <w:highlight w:val="none"/>
              </w:rPr>
              <w:t>：</w:t>
            </w:r>
          </w:p>
          <w:p w14:paraId="117FD120">
            <w:pPr>
              <w:keepNext w:val="0"/>
              <w:keepLines w:val="0"/>
              <w:pageBreakBefore w:val="0"/>
              <w:widowControl w:val="0"/>
              <w:kinsoku/>
              <w:wordWrap/>
              <w:overflowPunct/>
              <w:topLinePunct w:val="0"/>
              <w:autoSpaceDE/>
              <w:autoSpaceDN/>
              <w:bidi w:val="0"/>
              <w:adjustRightInd/>
              <w:snapToGrid/>
              <w:spacing w:line="440" w:lineRule="exact"/>
              <w:ind w:left="0" w:right="0" w:hanging="1"/>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w:t>
            </w:r>
            <w:r>
              <w:rPr>
                <w:rFonts w:hint="eastAsia" w:ascii="宋体" w:hAnsi="宋体" w:eastAsia="宋体" w:cs="宋体"/>
                <w:color w:val="auto"/>
                <w:spacing w:val="2"/>
                <w:sz w:val="22"/>
                <w:szCs w:val="22"/>
                <w:highlight w:val="none"/>
              </w:rPr>
              <w:t>、成交供应商已按</w:t>
            </w:r>
            <w:r>
              <w:rPr>
                <w:rFonts w:hint="eastAsia" w:ascii="宋体" w:hAnsi="宋体" w:eastAsia="宋体" w:cs="宋体"/>
                <w:color w:val="auto"/>
                <w:spacing w:val="1"/>
                <w:sz w:val="22"/>
                <w:szCs w:val="22"/>
                <w:highlight w:val="none"/>
              </w:rPr>
              <w:t>照合同规定提供了全部产品及完整的技</w:t>
            </w:r>
            <w:r>
              <w:rPr>
                <w:rFonts w:hint="eastAsia" w:ascii="宋体" w:hAnsi="宋体" w:eastAsia="宋体" w:cs="宋体"/>
                <w:color w:val="auto"/>
                <w:spacing w:val="-4"/>
                <w:sz w:val="22"/>
                <w:szCs w:val="22"/>
                <w:highlight w:val="none"/>
              </w:rPr>
              <w:t>术资料</w:t>
            </w:r>
          </w:p>
          <w:p w14:paraId="513B1297">
            <w:pPr>
              <w:keepNext w:val="0"/>
              <w:keepLines w:val="0"/>
              <w:pageBreakBefore w:val="0"/>
              <w:widowControl w:val="0"/>
              <w:kinsoku/>
              <w:wordWrap/>
              <w:overflowPunct/>
              <w:topLinePunct w:val="0"/>
              <w:autoSpaceDE/>
              <w:autoSpaceDN/>
              <w:bidi w:val="0"/>
              <w:adjustRightInd/>
              <w:snapToGrid/>
              <w:spacing w:line="440" w:lineRule="exact"/>
              <w:ind w:left="0" w:right="0" w:hanging="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w:t>
            </w:r>
            <w:r>
              <w:rPr>
                <w:rFonts w:hint="eastAsia" w:ascii="宋体" w:hAnsi="宋体" w:eastAsia="宋体" w:cs="宋体"/>
                <w:color w:val="auto"/>
                <w:spacing w:val="-1"/>
                <w:sz w:val="22"/>
                <w:szCs w:val="22"/>
                <w:highlight w:val="none"/>
              </w:rPr>
              <w:t>、货物符合招标文</w:t>
            </w:r>
            <w:r>
              <w:rPr>
                <w:rFonts w:hint="eastAsia" w:ascii="宋体" w:hAnsi="宋体" w:eastAsia="宋体" w:cs="宋体"/>
                <w:color w:val="auto"/>
                <w:sz w:val="22"/>
                <w:szCs w:val="22"/>
                <w:highlight w:val="none"/>
              </w:rPr>
              <w:t>件技术规格书的要求，性能满足要求</w:t>
            </w:r>
          </w:p>
          <w:p w14:paraId="13007ACD">
            <w:pPr>
              <w:keepNext w:val="0"/>
              <w:keepLines w:val="0"/>
              <w:pageBreakBefore w:val="0"/>
              <w:widowControl w:val="0"/>
              <w:kinsoku/>
              <w:wordWrap/>
              <w:overflowPunct/>
              <w:topLinePunct w:val="0"/>
              <w:autoSpaceDE/>
              <w:autoSpaceDN/>
              <w:bidi w:val="0"/>
              <w:adjustRightInd/>
              <w:snapToGrid/>
              <w:spacing w:line="440" w:lineRule="exact"/>
              <w:ind w:left="0" w:right="0" w:hanging="10"/>
              <w:jc w:val="left"/>
              <w:textAlignment w:val="auto"/>
              <w:rPr>
                <w:rFonts w:hint="eastAsia" w:ascii="宋体" w:hAnsi="宋体" w:eastAsia="宋体" w:cs="宋体"/>
                <w:color w:val="auto"/>
                <w:spacing w:val="-9"/>
                <w:sz w:val="22"/>
                <w:szCs w:val="22"/>
                <w:highlight w:val="none"/>
              </w:rPr>
            </w:pPr>
            <w:r>
              <w:rPr>
                <w:rFonts w:hint="eastAsia" w:ascii="宋体" w:hAnsi="宋体" w:eastAsia="宋体" w:cs="宋体"/>
                <w:color w:val="auto"/>
                <w:spacing w:val="-1"/>
                <w:sz w:val="22"/>
                <w:szCs w:val="22"/>
                <w:highlight w:val="none"/>
              </w:rPr>
              <w:t>c</w:t>
            </w:r>
            <w:r>
              <w:rPr>
                <w:rFonts w:hint="eastAsia" w:ascii="宋体" w:hAnsi="宋体" w:eastAsia="宋体" w:cs="宋体"/>
                <w:color w:val="auto"/>
                <w:spacing w:val="-2"/>
                <w:sz w:val="22"/>
                <w:szCs w:val="22"/>
                <w:highlight w:val="none"/>
              </w:rPr>
              <w:t>、货物具备产</w:t>
            </w:r>
            <w:r>
              <w:rPr>
                <w:rFonts w:hint="eastAsia" w:ascii="宋体" w:hAnsi="宋体" w:eastAsia="宋体" w:cs="宋体"/>
                <w:color w:val="auto"/>
                <w:spacing w:val="-1"/>
                <w:sz w:val="22"/>
                <w:szCs w:val="22"/>
                <w:highlight w:val="none"/>
              </w:rPr>
              <w:t>品合格证</w:t>
            </w:r>
            <w:r>
              <w:rPr>
                <w:rFonts w:hint="eastAsia" w:ascii="宋体" w:hAnsi="宋体" w:eastAsia="宋体" w:cs="宋体"/>
                <w:color w:val="auto"/>
                <w:spacing w:val="-6"/>
                <w:sz w:val="22"/>
                <w:szCs w:val="22"/>
                <w:highlight w:val="none"/>
              </w:rPr>
              <w:t>供</w:t>
            </w:r>
            <w:r>
              <w:rPr>
                <w:rFonts w:hint="eastAsia" w:ascii="宋体" w:hAnsi="宋体" w:eastAsia="宋体" w:cs="宋体"/>
                <w:color w:val="auto"/>
                <w:spacing w:val="-4"/>
                <w:sz w:val="22"/>
                <w:szCs w:val="22"/>
                <w:highlight w:val="none"/>
              </w:rPr>
              <w:t>应商应在设备及软件到货后配合采购人进行开箱检查，当</w:t>
            </w:r>
            <w:r>
              <w:rPr>
                <w:rFonts w:hint="eastAsia" w:ascii="宋体" w:hAnsi="宋体" w:eastAsia="宋体" w:cs="宋体"/>
                <w:color w:val="auto"/>
                <w:spacing w:val="-7"/>
                <w:sz w:val="22"/>
                <w:szCs w:val="22"/>
                <w:highlight w:val="none"/>
              </w:rPr>
              <w:t>出</w:t>
            </w:r>
            <w:r>
              <w:rPr>
                <w:rFonts w:hint="eastAsia" w:ascii="宋体" w:hAnsi="宋体" w:eastAsia="宋体" w:cs="宋体"/>
                <w:color w:val="auto"/>
                <w:spacing w:val="-4"/>
                <w:sz w:val="22"/>
                <w:szCs w:val="22"/>
                <w:highlight w:val="none"/>
              </w:rPr>
              <w:t>现损坏、数量不全或产品不符等问题时，由成交供应商负</w:t>
            </w:r>
            <w:r>
              <w:rPr>
                <w:rFonts w:hint="eastAsia" w:ascii="宋体" w:hAnsi="宋体" w:eastAsia="宋体" w:cs="宋体"/>
                <w:color w:val="auto"/>
                <w:spacing w:val="-7"/>
                <w:sz w:val="22"/>
                <w:szCs w:val="22"/>
                <w:highlight w:val="none"/>
              </w:rPr>
              <w:t>责</w:t>
            </w:r>
            <w:r>
              <w:rPr>
                <w:rFonts w:hint="eastAsia" w:ascii="宋体" w:hAnsi="宋体" w:eastAsia="宋体" w:cs="宋体"/>
                <w:color w:val="auto"/>
                <w:spacing w:val="-4"/>
                <w:sz w:val="22"/>
                <w:szCs w:val="22"/>
                <w:highlight w:val="none"/>
              </w:rPr>
              <w:t>解决。设备及软件开箱测试出现性能指标或功能不符合招</w:t>
            </w:r>
            <w:r>
              <w:rPr>
                <w:rFonts w:hint="eastAsia" w:ascii="宋体" w:hAnsi="宋体" w:eastAsia="宋体" w:cs="宋体"/>
                <w:color w:val="auto"/>
                <w:spacing w:val="-7"/>
                <w:sz w:val="22"/>
                <w:szCs w:val="22"/>
                <w:highlight w:val="none"/>
              </w:rPr>
              <w:t>标</w:t>
            </w:r>
            <w:r>
              <w:rPr>
                <w:rFonts w:hint="eastAsia" w:ascii="宋体" w:hAnsi="宋体" w:eastAsia="宋体" w:cs="宋体"/>
                <w:color w:val="auto"/>
                <w:spacing w:val="-4"/>
                <w:sz w:val="22"/>
                <w:szCs w:val="22"/>
                <w:highlight w:val="none"/>
              </w:rPr>
              <w:t>文件与合同的要求时，采购人有拒收的权利及保留索赔权</w:t>
            </w:r>
            <w:r>
              <w:rPr>
                <w:rFonts w:hint="eastAsia" w:ascii="宋体" w:hAnsi="宋体" w:eastAsia="宋体" w:cs="宋体"/>
                <w:color w:val="auto"/>
                <w:spacing w:val="-12"/>
                <w:sz w:val="22"/>
                <w:szCs w:val="22"/>
                <w:highlight w:val="none"/>
              </w:rPr>
              <w:t>利</w:t>
            </w:r>
            <w:r>
              <w:rPr>
                <w:rFonts w:hint="eastAsia" w:ascii="宋体" w:hAnsi="宋体" w:eastAsia="宋体" w:cs="宋体"/>
                <w:color w:val="auto"/>
                <w:spacing w:val="-9"/>
                <w:sz w:val="22"/>
                <w:szCs w:val="22"/>
                <w:highlight w:val="none"/>
              </w:rPr>
              <w:t>。</w:t>
            </w:r>
          </w:p>
          <w:p w14:paraId="35798844">
            <w:pPr>
              <w:keepNext w:val="0"/>
              <w:keepLines w:val="0"/>
              <w:pageBreakBefore w:val="0"/>
              <w:widowControl w:val="0"/>
              <w:kinsoku/>
              <w:wordWrap/>
              <w:overflowPunct/>
              <w:topLinePunct w:val="0"/>
              <w:autoSpaceDE/>
              <w:autoSpaceDN/>
              <w:bidi w:val="0"/>
              <w:adjustRightInd/>
              <w:snapToGrid/>
              <w:spacing w:line="440" w:lineRule="exact"/>
              <w:ind w:left="0" w:right="0" w:hanging="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验收方法：由甲方或指定第三方验收组成验收小组,</w:t>
            </w:r>
            <w:r>
              <w:rPr>
                <w:rFonts w:hint="eastAsia" w:ascii="宋体" w:hAnsi="宋体" w:eastAsia="宋体" w:cs="宋体"/>
                <w:color w:val="auto"/>
                <w:spacing w:val="-1"/>
                <w:sz w:val="22"/>
                <w:szCs w:val="22"/>
                <w:highlight w:val="none"/>
              </w:rPr>
              <w:t>由成交供应商根据招标文件</w:t>
            </w:r>
            <w:r>
              <w:rPr>
                <w:rFonts w:hint="eastAsia" w:ascii="宋体" w:hAnsi="宋体" w:eastAsia="宋体" w:cs="宋体"/>
                <w:color w:val="auto"/>
                <w:sz w:val="22"/>
                <w:szCs w:val="22"/>
                <w:highlight w:val="none"/>
              </w:rPr>
              <w:t>及合同内容验收。</w:t>
            </w:r>
          </w:p>
          <w:p w14:paraId="6459A8F2">
            <w:pPr>
              <w:keepNext w:val="0"/>
              <w:keepLines w:val="0"/>
              <w:pageBreakBefore w:val="0"/>
              <w:widowControl w:val="0"/>
              <w:kinsoku/>
              <w:wordWrap/>
              <w:overflowPunct/>
              <w:topLinePunct w:val="0"/>
              <w:autoSpaceDE/>
              <w:autoSpaceDN/>
              <w:bidi w:val="0"/>
              <w:adjustRightInd/>
              <w:snapToGrid/>
              <w:spacing w:line="440" w:lineRule="exact"/>
              <w:ind w:left="0" w:right="0" w:hanging="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验收步骤：采购人和中标供应商双方共同参与整个项目验</w:t>
            </w:r>
            <w:r>
              <w:rPr>
                <w:rFonts w:hint="eastAsia" w:ascii="宋体" w:hAnsi="宋体" w:eastAsia="宋体" w:cs="宋体"/>
                <w:color w:val="auto"/>
                <w:spacing w:val="-10"/>
                <w:sz w:val="22"/>
                <w:szCs w:val="22"/>
                <w:highlight w:val="none"/>
              </w:rPr>
              <w:t>收。</w:t>
            </w:r>
          </w:p>
        </w:tc>
      </w:tr>
      <w:tr w14:paraId="0ECF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432" w:type="dxa"/>
            <w:vAlign w:val="center"/>
          </w:tcPr>
          <w:p w14:paraId="766EC0F9">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266" w:type="dxa"/>
            <w:vAlign w:val="center"/>
          </w:tcPr>
          <w:p w14:paraId="1E042E0A">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p>
          <w:p w14:paraId="429B9CC8">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培</w:t>
            </w:r>
            <w:r>
              <w:rPr>
                <w:rFonts w:hint="eastAsia" w:ascii="宋体" w:hAnsi="宋体" w:eastAsia="宋体" w:cs="宋体"/>
                <w:color w:val="auto"/>
                <w:spacing w:val="-5"/>
                <w:sz w:val="22"/>
                <w:szCs w:val="22"/>
                <w:highlight w:val="none"/>
              </w:rPr>
              <w:t>训</w:t>
            </w:r>
            <w:r>
              <w:rPr>
                <w:rFonts w:hint="eastAsia" w:ascii="宋体" w:hAnsi="宋体" w:eastAsia="宋体" w:cs="宋体"/>
                <w:color w:val="auto"/>
                <w:spacing w:val="-8"/>
                <w:sz w:val="22"/>
                <w:szCs w:val="22"/>
                <w:highlight w:val="none"/>
              </w:rPr>
              <w:t>安</w:t>
            </w:r>
            <w:r>
              <w:rPr>
                <w:rFonts w:hint="eastAsia" w:ascii="宋体" w:hAnsi="宋体" w:eastAsia="宋体" w:cs="宋体"/>
                <w:color w:val="auto"/>
                <w:spacing w:val="-7"/>
                <w:sz w:val="22"/>
                <w:szCs w:val="22"/>
                <w:highlight w:val="none"/>
              </w:rPr>
              <w:t>排</w:t>
            </w:r>
            <w:r>
              <w:rPr>
                <w:rFonts w:hint="eastAsia" w:ascii="宋体" w:hAnsi="宋体" w:eastAsia="宋体" w:cs="宋体"/>
                <w:color w:val="auto"/>
                <w:spacing w:val="-5"/>
                <w:sz w:val="22"/>
                <w:szCs w:val="22"/>
                <w:highlight w:val="none"/>
              </w:rPr>
              <w:t>及</w:t>
            </w:r>
            <w:r>
              <w:rPr>
                <w:rFonts w:hint="eastAsia" w:ascii="宋体" w:hAnsi="宋体" w:eastAsia="宋体" w:cs="宋体"/>
                <w:color w:val="auto"/>
                <w:spacing w:val="-4"/>
                <w:sz w:val="22"/>
                <w:szCs w:val="22"/>
                <w:highlight w:val="none"/>
              </w:rPr>
              <w:t>内</w:t>
            </w:r>
          </w:p>
          <w:p w14:paraId="51E89778">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容</w:t>
            </w:r>
          </w:p>
        </w:tc>
        <w:tc>
          <w:tcPr>
            <w:tcW w:w="8085" w:type="dxa"/>
            <w:vAlign w:val="bottom"/>
          </w:tcPr>
          <w:p w14:paraId="3B3C6A3B">
            <w:pPr>
              <w:keepNext w:val="0"/>
              <w:keepLines w:val="0"/>
              <w:pageBreakBefore w:val="0"/>
              <w:widowControl w:val="0"/>
              <w:kinsoku/>
              <w:wordWrap/>
              <w:overflowPunct/>
              <w:topLinePunct w:val="0"/>
              <w:autoSpaceDE/>
              <w:autoSpaceDN/>
              <w:bidi w:val="0"/>
              <w:adjustRightInd/>
              <w:snapToGrid/>
              <w:spacing w:line="440" w:lineRule="exact"/>
              <w:ind w:left="0" w:right="0" w:firstLine="1"/>
              <w:jc w:val="left"/>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8.1须列出应该由厂商或供应商提供的免费或收费培训安</w:t>
            </w:r>
            <w:r>
              <w:rPr>
                <w:rFonts w:hint="eastAsia" w:ascii="宋体" w:hAnsi="宋体" w:eastAsia="宋体" w:cs="宋体"/>
                <w:color w:val="auto"/>
                <w:spacing w:val="-6"/>
                <w:sz w:val="22"/>
                <w:szCs w:val="22"/>
                <w:highlight w:val="none"/>
              </w:rPr>
              <w:t>排</w:t>
            </w:r>
            <w:r>
              <w:rPr>
                <w:rFonts w:hint="eastAsia" w:ascii="宋体" w:hAnsi="宋体" w:eastAsia="宋体" w:cs="宋体"/>
                <w:color w:val="auto"/>
                <w:spacing w:val="-4"/>
                <w:sz w:val="22"/>
                <w:szCs w:val="22"/>
                <w:highlight w:val="none"/>
              </w:rPr>
              <w:t>，具体实施培训计划时需和采购人协商确定，由采购人统一</w:t>
            </w:r>
            <w:r>
              <w:rPr>
                <w:rFonts w:hint="eastAsia" w:ascii="宋体" w:hAnsi="宋体" w:eastAsia="宋体" w:cs="宋体"/>
                <w:color w:val="auto"/>
                <w:spacing w:val="-3"/>
                <w:sz w:val="22"/>
                <w:szCs w:val="22"/>
                <w:highlight w:val="none"/>
              </w:rPr>
              <w:t>安排</w:t>
            </w:r>
          </w:p>
          <w:p w14:paraId="27C4DEA4">
            <w:pPr>
              <w:keepNext w:val="0"/>
              <w:keepLines w:val="0"/>
              <w:pageBreakBefore w:val="0"/>
              <w:widowControl w:val="0"/>
              <w:kinsoku/>
              <w:wordWrap/>
              <w:overflowPunct/>
              <w:topLinePunct w:val="0"/>
              <w:autoSpaceDE/>
              <w:autoSpaceDN/>
              <w:bidi w:val="0"/>
              <w:adjustRightInd/>
              <w:snapToGrid/>
              <w:spacing w:line="440" w:lineRule="exact"/>
              <w:ind w:left="0" w:right="0" w:firstLine="1"/>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8.2所有的</w:t>
            </w:r>
            <w:r>
              <w:rPr>
                <w:rFonts w:hint="eastAsia" w:ascii="宋体" w:hAnsi="宋体" w:eastAsia="宋体" w:cs="宋体"/>
                <w:color w:val="auto"/>
                <w:spacing w:val="-5"/>
                <w:sz w:val="22"/>
                <w:szCs w:val="22"/>
                <w:highlight w:val="none"/>
              </w:rPr>
              <w:t>培</w:t>
            </w:r>
            <w:r>
              <w:rPr>
                <w:rFonts w:hint="eastAsia" w:ascii="宋体" w:hAnsi="宋体" w:eastAsia="宋体" w:cs="宋体"/>
                <w:color w:val="auto"/>
                <w:spacing w:val="-3"/>
                <w:sz w:val="22"/>
                <w:szCs w:val="22"/>
                <w:highlight w:val="none"/>
              </w:rPr>
              <w:t>训教员必须用中文授课，如果培训教员不会讲</w:t>
            </w:r>
            <w:r>
              <w:rPr>
                <w:rFonts w:hint="eastAsia" w:ascii="宋体" w:hAnsi="宋体" w:eastAsia="宋体" w:cs="宋体"/>
                <w:color w:val="auto"/>
                <w:spacing w:val="-4"/>
                <w:sz w:val="22"/>
                <w:szCs w:val="22"/>
                <w:highlight w:val="none"/>
              </w:rPr>
              <w:t>中文</w:t>
            </w:r>
            <w:r>
              <w:rPr>
                <w:rFonts w:hint="eastAsia" w:ascii="宋体" w:hAnsi="宋体" w:eastAsia="宋体" w:cs="宋体"/>
                <w:color w:val="auto"/>
                <w:spacing w:val="-2"/>
                <w:sz w:val="22"/>
                <w:szCs w:val="22"/>
                <w:highlight w:val="none"/>
              </w:rPr>
              <w:t>,供应商必须提供中文翻译。</w:t>
            </w:r>
          </w:p>
          <w:p w14:paraId="3ECC8B53">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8.3</w:t>
            </w:r>
            <w:r>
              <w:rPr>
                <w:rFonts w:hint="eastAsia" w:ascii="宋体" w:hAnsi="宋体" w:eastAsia="宋体" w:cs="宋体"/>
                <w:color w:val="auto"/>
                <w:spacing w:val="-5"/>
                <w:sz w:val="22"/>
                <w:szCs w:val="22"/>
                <w:highlight w:val="none"/>
              </w:rPr>
              <w:t>厂</w:t>
            </w:r>
            <w:r>
              <w:rPr>
                <w:rFonts w:hint="eastAsia" w:ascii="宋体" w:hAnsi="宋体" w:eastAsia="宋体" w:cs="宋体"/>
                <w:color w:val="auto"/>
                <w:spacing w:val="-3"/>
                <w:sz w:val="22"/>
                <w:szCs w:val="22"/>
                <w:highlight w:val="none"/>
              </w:rPr>
              <w:t>商所在地的培训应在最终验收之前结束。</w:t>
            </w:r>
          </w:p>
          <w:p w14:paraId="09276B5B">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8</w:t>
            </w:r>
            <w:r>
              <w:rPr>
                <w:rFonts w:hint="eastAsia" w:ascii="宋体" w:hAnsi="宋体" w:eastAsia="宋体" w:cs="宋体"/>
                <w:color w:val="auto"/>
                <w:spacing w:val="-5"/>
                <w:sz w:val="22"/>
                <w:szCs w:val="22"/>
                <w:highlight w:val="none"/>
              </w:rPr>
              <w:t>.</w:t>
            </w:r>
            <w:r>
              <w:rPr>
                <w:rFonts w:hint="eastAsia" w:ascii="宋体" w:hAnsi="宋体" w:eastAsia="宋体" w:cs="宋体"/>
                <w:color w:val="auto"/>
                <w:spacing w:val="-4"/>
                <w:sz w:val="22"/>
                <w:szCs w:val="22"/>
                <w:highlight w:val="none"/>
              </w:rPr>
              <w:t>4培训对象：运行维护和管理人员。</w:t>
            </w:r>
          </w:p>
        </w:tc>
      </w:tr>
    </w:tbl>
    <w:p w14:paraId="08BAB553">
      <w:pPr>
        <w:pStyle w:val="38"/>
        <w:spacing w:line="440" w:lineRule="exact"/>
        <w:rPr>
          <w:rFonts w:hint="eastAsia" w:ascii="宋体" w:hAnsi="宋体" w:eastAsia="宋体" w:cs="宋体"/>
          <w:color w:val="auto"/>
          <w:kern w:val="2"/>
          <w:sz w:val="21"/>
          <w:szCs w:val="21"/>
          <w:highlight w:val="none"/>
        </w:rPr>
      </w:pPr>
    </w:p>
    <w:p w14:paraId="0201F238">
      <w:pPr>
        <w:rPr>
          <w:rFonts w:hint="eastAsia" w:ascii="宋体" w:hAnsi="宋体" w:eastAsia="宋体" w:cs="宋体"/>
          <w:b/>
          <w:bCs/>
          <w:color w:val="auto"/>
          <w:spacing w:val="7"/>
          <w:sz w:val="28"/>
          <w:szCs w:val="28"/>
          <w:highlight w:val="none"/>
        </w:rPr>
      </w:pPr>
      <w:r>
        <w:rPr>
          <w:rFonts w:hint="eastAsia" w:ascii="宋体" w:hAnsi="宋体" w:eastAsia="宋体" w:cs="宋体"/>
          <w:b/>
          <w:bCs/>
          <w:color w:val="auto"/>
          <w:spacing w:val="7"/>
          <w:sz w:val="28"/>
          <w:szCs w:val="28"/>
          <w:highlight w:val="none"/>
        </w:rPr>
        <w:br w:type="page"/>
      </w:r>
    </w:p>
    <w:p w14:paraId="6CD2FF33">
      <w:pPr>
        <w:pStyle w:val="4"/>
        <w:jc w:val="center"/>
        <w:rPr>
          <w:rFonts w:hint="eastAsia" w:ascii="宋体" w:hAnsi="宋体" w:eastAsia="宋体" w:cs="宋体"/>
          <w:color w:val="auto"/>
          <w:highlight w:val="none"/>
        </w:rPr>
      </w:pPr>
      <w:bookmarkStart w:id="83" w:name="_Toc27719"/>
      <w:r>
        <w:rPr>
          <w:rFonts w:hint="eastAsia" w:ascii="宋体" w:hAnsi="宋体" w:eastAsia="宋体" w:cs="宋体"/>
          <w:color w:val="auto"/>
          <w:highlight w:val="none"/>
        </w:rPr>
        <w:t>第六章投标文件格式</w:t>
      </w:r>
      <w:bookmarkEnd w:id="79"/>
      <w:bookmarkEnd w:id="81"/>
      <w:bookmarkEnd w:id="82"/>
      <w:bookmarkEnd w:id="83"/>
    </w:p>
    <w:p w14:paraId="463C85E2">
      <w:pPr>
        <w:spacing w:line="360" w:lineRule="auto"/>
        <w:rPr>
          <w:rFonts w:hint="eastAsia" w:ascii="宋体" w:hAnsi="宋体" w:eastAsia="宋体" w:cs="宋体"/>
          <w:color w:val="auto"/>
          <w:sz w:val="21"/>
          <w:szCs w:val="21"/>
          <w:highlight w:val="none"/>
        </w:rPr>
      </w:pPr>
      <w:bookmarkStart w:id="84" w:name="_Toc184635137"/>
    </w:p>
    <w:p w14:paraId="18CBD989">
      <w:pPr>
        <w:spacing w:line="248" w:lineRule="auto"/>
        <w:jc w:val="center"/>
        <w:rPr>
          <w:rFonts w:hint="eastAsia" w:ascii="宋体" w:hAnsi="宋体" w:eastAsia="宋体" w:cs="宋体"/>
          <w:color w:val="auto"/>
          <w:sz w:val="44"/>
          <w:szCs w:val="52"/>
          <w:highlight w:val="none"/>
          <w:u w:val="single"/>
          <w:lang w:val="en-US" w:eastAsia="zh-CN"/>
        </w:rPr>
      </w:pPr>
      <w:r>
        <w:rPr>
          <w:rFonts w:hint="eastAsia" w:ascii="宋体" w:hAnsi="宋体" w:eastAsia="宋体" w:cs="宋体"/>
          <w:b/>
          <w:color w:val="auto"/>
          <w:sz w:val="44"/>
          <w:szCs w:val="44"/>
          <w:highlight w:val="none"/>
          <w:u w:val="single"/>
        </w:rPr>
        <w:t xml:space="preserve">  （</w:t>
      </w:r>
      <w:r>
        <w:rPr>
          <w:rFonts w:hint="eastAsia" w:ascii="宋体" w:hAnsi="宋体" w:eastAsia="宋体" w:cs="宋体"/>
          <w:b/>
          <w:color w:val="auto"/>
          <w:sz w:val="44"/>
          <w:szCs w:val="44"/>
          <w:highlight w:val="none"/>
          <w:u w:val="single"/>
          <w:lang w:eastAsia="zh-CN"/>
        </w:rPr>
        <w:t>项目名称、</w:t>
      </w:r>
      <w:r>
        <w:rPr>
          <w:rFonts w:hint="eastAsia" w:ascii="宋体" w:hAnsi="宋体" w:eastAsia="宋体" w:cs="宋体"/>
          <w:b/>
          <w:color w:val="auto"/>
          <w:sz w:val="44"/>
          <w:szCs w:val="44"/>
          <w:highlight w:val="none"/>
          <w:u w:val="single"/>
          <w:lang w:val="en-US" w:eastAsia="zh-CN"/>
        </w:rPr>
        <w:t>标段</w:t>
      </w:r>
      <w:r>
        <w:rPr>
          <w:rFonts w:hint="eastAsia" w:ascii="宋体" w:hAnsi="宋体" w:eastAsia="宋体" w:cs="宋体"/>
          <w:b/>
          <w:color w:val="auto"/>
          <w:sz w:val="44"/>
          <w:szCs w:val="44"/>
          <w:highlight w:val="none"/>
          <w:u w:val="single"/>
        </w:rPr>
        <w:t>）</w:t>
      </w:r>
      <w:r>
        <w:rPr>
          <w:rFonts w:hint="eastAsia" w:ascii="宋体" w:hAnsi="宋体" w:eastAsia="宋体" w:cs="宋体"/>
          <w:b/>
          <w:color w:val="auto"/>
          <w:sz w:val="44"/>
          <w:szCs w:val="44"/>
          <w:highlight w:val="none"/>
          <w:u w:val="single"/>
          <w:lang w:val="en-US" w:eastAsia="zh-CN"/>
        </w:rPr>
        <w:t xml:space="preserve"> </w:t>
      </w:r>
    </w:p>
    <w:p w14:paraId="5DB49FA0">
      <w:pPr>
        <w:spacing w:line="248" w:lineRule="auto"/>
        <w:rPr>
          <w:rFonts w:hint="eastAsia" w:ascii="宋体" w:hAnsi="宋体" w:eastAsia="宋体" w:cs="宋体"/>
          <w:color w:val="auto"/>
          <w:sz w:val="21"/>
          <w:highlight w:val="none"/>
        </w:rPr>
      </w:pPr>
    </w:p>
    <w:p w14:paraId="39ACF420">
      <w:pPr>
        <w:spacing w:line="248" w:lineRule="auto"/>
        <w:rPr>
          <w:rFonts w:hint="eastAsia" w:ascii="宋体" w:hAnsi="宋体" w:eastAsia="宋体" w:cs="宋体"/>
          <w:color w:val="auto"/>
          <w:sz w:val="21"/>
          <w:highlight w:val="none"/>
        </w:rPr>
      </w:pPr>
    </w:p>
    <w:p w14:paraId="6AEBA98C">
      <w:pPr>
        <w:pStyle w:val="2"/>
        <w:rPr>
          <w:rFonts w:hint="eastAsia" w:ascii="宋体" w:hAnsi="宋体" w:eastAsia="宋体" w:cs="宋体"/>
          <w:color w:val="auto"/>
          <w:sz w:val="21"/>
          <w:highlight w:val="none"/>
        </w:rPr>
      </w:pPr>
    </w:p>
    <w:p w14:paraId="7702F969">
      <w:pPr>
        <w:pStyle w:val="3"/>
        <w:ind w:left="980" w:hanging="420"/>
        <w:rPr>
          <w:rFonts w:hint="eastAsia" w:ascii="宋体" w:hAnsi="宋体" w:eastAsia="宋体" w:cs="宋体"/>
          <w:color w:val="auto"/>
          <w:sz w:val="21"/>
          <w:highlight w:val="none"/>
        </w:rPr>
      </w:pPr>
    </w:p>
    <w:p w14:paraId="6CE328AA">
      <w:pPr>
        <w:rPr>
          <w:rFonts w:hint="eastAsia" w:ascii="宋体" w:hAnsi="宋体" w:eastAsia="宋体" w:cs="宋体"/>
          <w:color w:val="auto"/>
          <w:highlight w:val="none"/>
        </w:rPr>
      </w:pPr>
    </w:p>
    <w:p w14:paraId="4049F7AD">
      <w:pPr>
        <w:rPr>
          <w:rFonts w:hint="eastAsia" w:ascii="宋体" w:hAnsi="宋体" w:eastAsia="宋体" w:cs="宋体"/>
          <w:color w:val="auto"/>
          <w:highlight w:val="none"/>
        </w:rPr>
      </w:pPr>
    </w:p>
    <w:p w14:paraId="66A32727">
      <w:pPr>
        <w:rPr>
          <w:rFonts w:hint="eastAsia" w:ascii="宋体" w:hAnsi="宋体" w:eastAsia="宋体" w:cs="宋体"/>
          <w:color w:val="auto"/>
          <w:highlight w:val="none"/>
        </w:rPr>
      </w:pPr>
    </w:p>
    <w:p w14:paraId="7E349CA6">
      <w:pPr>
        <w:pStyle w:val="3"/>
        <w:ind w:left="1120" w:hanging="560"/>
        <w:rPr>
          <w:rFonts w:hint="eastAsia" w:ascii="宋体" w:hAnsi="宋体" w:eastAsia="宋体" w:cs="宋体"/>
          <w:color w:val="auto"/>
          <w:highlight w:val="none"/>
        </w:rPr>
      </w:pPr>
    </w:p>
    <w:p w14:paraId="25FC99EA">
      <w:pPr>
        <w:rPr>
          <w:rFonts w:hint="eastAsia" w:ascii="宋体" w:hAnsi="宋体" w:eastAsia="宋体" w:cs="宋体"/>
          <w:color w:val="auto"/>
          <w:highlight w:val="none"/>
        </w:rPr>
      </w:pPr>
    </w:p>
    <w:p w14:paraId="30655C26">
      <w:pPr>
        <w:pStyle w:val="17"/>
        <w:rPr>
          <w:rFonts w:hint="eastAsia" w:ascii="宋体" w:hAnsi="宋体" w:eastAsia="宋体" w:cs="宋体"/>
          <w:color w:val="auto"/>
          <w:highlight w:val="none"/>
        </w:rPr>
      </w:pPr>
    </w:p>
    <w:p w14:paraId="2CC3423E">
      <w:pPr>
        <w:spacing w:line="249" w:lineRule="auto"/>
        <w:rPr>
          <w:rFonts w:hint="eastAsia" w:ascii="宋体" w:hAnsi="宋体" w:eastAsia="宋体" w:cs="宋体"/>
          <w:color w:val="auto"/>
          <w:sz w:val="21"/>
          <w:highlight w:val="none"/>
        </w:rPr>
      </w:pPr>
    </w:p>
    <w:p w14:paraId="282B091F">
      <w:pPr>
        <w:spacing w:before="231" w:line="223" w:lineRule="auto"/>
        <w:jc w:val="center"/>
        <w:rPr>
          <w:rFonts w:hint="eastAsia" w:ascii="宋体" w:hAnsi="宋体" w:eastAsia="宋体" w:cs="宋体"/>
          <w:color w:val="auto"/>
          <w:sz w:val="21"/>
          <w:highlight w:val="none"/>
        </w:rPr>
      </w:pPr>
      <w:r>
        <w:rPr>
          <w:rFonts w:hint="eastAsia" w:ascii="宋体" w:hAnsi="宋体" w:eastAsia="宋体" w:cs="宋体"/>
          <w:color w:val="auto"/>
          <w:spacing w:val="2"/>
          <w:sz w:val="71"/>
          <w:szCs w:val="71"/>
          <w:highlight w:val="none"/>
        </w:rPr>
        <w:t xml:space="preserve">投 </w:t>
      </w:r>
      <w:r>
        <w:rPr>
          <w:rFonts w:hint="eastAsia" w:ascii="宋体" w:hAnsi="宋体" w:eastAsia="宋体" w:cs="宋体"/>
          <w:color w:val="auto"/>
          <w:spacing w:val="1"/>
          <w:sz w:val="71"/>
          <w:szCs w:val="71"/>
          <w:highlight w:val="none"/>
        </w:rPr>
        <w:t>标 文 件</w:t>
      </w:r>
    </w:p>
    <w:p w14:paraId="42593244">
      <w:pPr>
        <w:spacing w:before="95" w:line="226" w:lineRule="auto"/>
        <w:ind w:firstLine="3000" w:firstLineChars="1000"/>
        <w:rPr>
          <w:rFonts w:hint="eastAsia" w:ascii="宋体" w:hAnsi="宋体" w:eastAsia="宋体" w:cs="宋体"/>
          <w:color w:val="auto"/>
          <w:sz w:val="29"/>
          <w:szCs w:val="29"/>
          <w:highlight w:val="none"/>
        </w:rPr>
      </w:pPr>
      <w:r>
        <w:rPr>
          <w:rFonts w:hint="eastAsia" w:ascii="宋体" w:hAnsi="宋体" w:eastAsia="宋体" w:cs="宋体"/>
          <w:color w:val="auto"/>
          <w:spacing w:val="5"/>
          <w:sz w:val="29"/>
          <w:szCs w:val="29"/>
          <w:highlight w:val="none"/>
        </w:rPr>
        <w:t>项目编号：</w:t>
      </w:r>
    </w:p>
    <w:p w14:paraId="7565DF01">
      <w:pPr>
        <w:spacing w:line="245" w:lineRule="auto"/>
        <w:rPr>
          <w:rFonts w:hint="eastAsia" w:ascii="宋体" w:hAnsi="宋体" w:eastAsia="宋体" w:cs="宋体"/>
          <w:color w:val="auto"/>
          <w:sz w:val="21"/>
          <w:highlight w:val="none"/>
        </w:rPr>
      </w:pPr>
    </w:p>
    <w:p w14:paraId="15754708">
      <w:pPr>
        <w:spacing w:line="245" w:lineRule="auto"/>
        <w:rPr>
          <w:rFonts w:hint="eastAsia" w:ascii="宋体" w:hAnsi="宋体" w:eastAsia="宋体" w:cs="宋体"/>
          <w:color w:val="auto"/>
          <w:sz w:val="21"/>
          <w:highlight w:val="none"/>
        </w:rPr>
      </w:pPr>
    </w:p>
    <w:p w14:paraId="7E2976EB">
      <w:pPr>
        <w:pStyle w:val="3"/>
        <w:ind w:left="1120" w:hanging="560"/>
        <w:rPr>
          <w:rFonts w:hint="eastAsia" w:ascii="宋体" w:hAnsi="宋体" w:eastAsia="宋体" w:cs="宋体"/>
          <w:color w:val="auto"/>
          <w:highlight w:val="none"/>
        </w:rPr>
      </w:pPr>
    </w:p>
    <w:p w14:paraId="39024B16">
      <w:pPr>
        <w:rPr>
          <w:rFonts w:hint="eastAsia" w:ascii="宋体" w:hAnsi="宋体" w:eastAsia="宋体" w:cs="宋体"/>
          <w:color w:val="auto"/>
          <w:highlight w:val="none"/>
        </w:rPr>
      </w:pPr>
    </w:p>
    <w:p w14:paraId="2E6E03D2">
      <w:pPr>
        <w:pStyle w:val="17"/>
        <w:rPr>
          <w:rFonts w:hint="eastAsia" w:ascii="宋体" w:hAnsi="宋体" w:eastAsia="宋体" w:cs="宋体"/>
          <w:color w:val="auto"/>
          <w:highlight w:val="none"/>
        </w:rPr>
      </w:pPr>
    </w:p>
    <w:p w14:paraId="71AEC04D">
      <w:pPr>
        <w:pStyle w:val="17"/>
        <w:rPr>
          <w:rFonts w:hint="eastAsia" w:ascii="宋体" w:hAnsi="宋体" w:eastAsia="宋体" w:cs="宋体"/>
          <w:color w:val="auto"/>
          <w:highlight w:val="none"/>
        </w:rPr>
      </w:pPr>
    </w:p>
    <w:p w14:paraId="20A5F57C">
      <w:pPr>
        <w:pStyle w:val="17"/>
        <w:rPr>
          <w:rFonts w:hint="eastAsia" w:ascii="宋体" w:hAnsi="宋体" w:eastAsia="宋体" w:cs="宋体"/>
          <w:color w:val="auto"/>
          <w:highlight w:val="none"/>
        </w:rPr>
      </w:pPr>
    </w:p>
    <w:p w14:paraId="171C2F7E">
      <w:pPr>
        <w:pStyle w:val="2"/>
        <w:rPr>
          <w:rFonts w:hint="eastAsia" w:ascii="宋体" w:hAnsi="宋体" w:eastAsia="宋体" w:cs="宋体"/>
          <w:color w:val="auto"/>
          <w:highlight w:val="none"/>
        </w:rPr>
      </w:pPr>
    </w:p>
    <w:p w14:paraId="7549C3CC">
      <w:pPr>
        <w:pStyle w:val="17"/>
        <w:rPr>
          <w:rFonts w:hint="eastAsia" w:ascii="宋体" w:hAnsi="宋体" w:eastAsia="宋体" w:cs="宋体"/>
          <w:color w:val="auto"/>
          <w:highlight w:val="none"/>
        </w:rPr>
      </w:pPr>
    </w:p>
    <w:p w14:paraId="29901E9A">
      <w:pPr>
        <w:rPr>
          <w:rFonts w:hint="eastAsia" w:ascii="宋体" w:hAnsi="宋体" w:eastAsia="宋体" w:cs="宋体"/>
          <w:color w:val="auto"/>
          <w:highlight w:val="none"/>
        </w:rPr>
      </w:pPr>
    </w:p>
    <w:p w14:paraId="434FDEE4">
      <w:pPr>
        <w:rPr>
          <w:rFonts w:hint="eastAsia" w:ascii="宋体" w:hAnsi="宋体" w:eastAsia="宋体" w:cs="宋体"/>
          <w:color w:val="auto"/>
          <w:highlight w:val="none"/>
        </w:rPr>
      </w:pPr>
    </w:p>
    <w:p w14:paraId="32E567FA">
      <w:pPr>
        <w:pStyle w:val="2"/>
        <w:rPr>
          <w:rFonts w:hint="eastAsia" w:ascii="宋体" w:hAnsi="宋体" w:eastAsia="宋体" w:cs="宋体"/>
          <w:color w:val="auto"/>
          <w:highlight w:val="none"/>
        </w:rPr>
      </w:pPr>
    </w:p>
    <w:p w14:paraId="1FB19F9C">
      <w:pPr>
        <w:spacing w:line="245" w:lineRule="auto"/>
        <w:rPr>
          <w:rFonts w:hint="eastAsia" w:ascii="宋体" w:hAnsi="宋体" w:eastAsia="宋体" w:cs="宋体"/>
          <w:color w:val="auto"/>
          <w:sz w:val="21"/>
          <w:highlight w:val="none"/>
        </w:rPr>
      </w:pPr>
    </w:p>
    <w:p w14:paraId="1DEA172E">
      <w:pPr>
        <w:spacing w:before="94" w:line="226" w:lineRule="auto"/>
        <w:ind w:left="909"/>
        <w:jc w:val="both"/>
        <w:rPr>
          <w:rFonts w:hint="eastAsia" w:ascii="宋体" w:hAnsi="宋体" w:eastAsia="宋体" w:cs="宋体"/>
          <w:color w:val="auto"/>
          <w:sz w:val="29"/>
          <w:szCs w:val="29"/>
          <w:highlight w:val="none"/>
        </w:rPr>
      </w:pPr>
      <w:r>
        <w:rPr>
          <w:rFonts w:hint="eastAsia" w:ascii="宋体" w:hAnsi="宋体" w:eastAsia="宋体" w:cs="宋体"/>
          <w:color w:val="auto"/>
          <w:spacing w:val="-6"/>
          <w:sz w:val="29"/>
          <w:szCs w:val="29"/>
          <w:highlight w:val="none"/>
        </w:rPr>
        <w:t>投</w:t>
      </w:r>
      <w:r>
        <w:rPr>
          <w:rFonts w:hint="eastAsia" w:ascii="宋体" w:hAnsi="宋体" w:eastAsia="宋体" w:cs="宋体"/>
          <w:color w:val="auto"/>
          <w:spacing w:val="-6"/>
          <w:sz w:val="29"/>
          <w:szCs w:val="29"/>
          <w:highlight w:val="none"/>
          <w:lang w:val="en-US" w:eastAsia="zh-CN"/>
        </w:rPr>
        <w:t xml:space="preserve">  </w:t>
      </w:r>
      <w:r>
        <w:rPr>
          <w:rFonts w:hint="eastAsia" w:ascii="宋体" w:hAnsi="宋体" w:eastAsia="宋体" w:cs="宋体"/>
          <w:color w:val="auto"/>
          <w:spacing w:val="-3"/>
          <w:sz w:val="29"/>
          <w:szCs w:val="29"/>
          <w:highlight w:val="none"/>
        </w:rPr>
        <w:t>标</w:t>
      </w:r>
      <w:r>
        <w:rPr>
          <w:rFonts w:hint="eastAsia" w:ascii="宋体" w:hAnsi="宋体" w:eastAsia="宋体" w:cs="宋体"/>
          <w:color w:val="auto"/>
          <w:spacing w:val="-3"/>
          <w:sz w:val="29"/>
          <w:szCs w:val="29"/>
          <w:highlight w:val="none"/>
          <w:lang w:val="en-US" w:eastAsia="zh-CN"/>
        </w:rPr>
        <w:t xml:space="preserve">  人 </w:t>
      </w:r>
      <w:r>
        <w:rPr>
          <w:rFonts w:hint="eastAsia" w:ascii="宋体" w:hAnsi="宋体" w:eastAsia="宋体" w:cs="宋体"/>
          <w:color w:val="auto"/>
          <w:spacing w:val="-3"/>
          <w:sz w:val="29"/>
          <w:szCs w:val="29"/>
          <w:highlight w:val="none"/>
        </w:rPr>
        <w:t>：</w:t>
      </w:r>
      <w:r>
        <w:rPr>
          <w:rFonts w:hint="eastAsia" w:ascii="宋体" w:hAnsi="宋体" w:eastAsia="宋体" w:cs="宋体"/>
          <w:color w:val="auto"/>
          <w:spacing w:val="-3"/>
          <w:sz w:val="29"/>
          <w:szCs w:val="29"/>
          <w:highlight w:val="none"/>
          <w:u w:val="single"/>
        </w:rPr>
        <w:t xml:space="preserve">                  </w:t>
      </w:r>
      <w:r>
        <w:rPr>
          <w:rFonts w:hint="eastAsia" w:ascii="宋体" w:hAnsi="宋体" w:eastAsia="宋体" w:cs="宋体"/>
          <w:color w:val="auto"/>
          <w:spacing w:val="-3"/>
          <w:sz w:val="29"/>
          <w:szCs w:val="29"/>
          <w:highlight w:val="none"/>
        </w:rPr>
        <w:t>(电子签章)</w:t>
      </w:r>
    </w:p>
    <w:p w14:paraId="7DA1C17B">
      <w:pPr>
        <w:spacing w:before="229" w:line="226" w:lineRule="auto"/>
        <w:ind w:left="907"/>
        <w:jc w:val="both"/>
        <w:rPr>
          <w:rFonts w:hint="eastAsia" w:ascii="宋体" w:hAnsi="宋体" w:eastAsia="宋体" w:cs="宋体"/>
          <w:color w:val="auto"/>
          <w:spacing w:val="-3"/>
          <w:sz w:val="29"/>
          <w:szCs w:val="29"/>
          <w:highlight w:val="none"/>
        </w:rPr>
      </w:pPr>
      <w:r>
        <w:rPr>
          <w:rFonts w:hint="eastAsia" w:ascii="宋体" w:hAnsi="宋体" w:eastAsia="宋体" w:cs="宋体"/>
          <w:color w:val="auto"/>
          <w:spacing w:val="-4"/>
          <w:sz w:val="29"/>
          <w:szCs w:val="29"/>
          <w:highlight w:val="none"/>
        </w:rPr>
        <w:t>法</w:t>
      </w:r>
      <w:r>
        <w:rPr>
          <w:rFonts w:hint="eastAsia" w:ascii="宋体" w:hAnsi="宋体" w:eastAsia="宋体" w:cs="宋体"/>
          <w:color w:val="auto"/>
          <w:spacing w:val="-3"/>
          <w:sz w:val="29"/>
          <w:szCs w:val="29"/>
          <w:highlight w:val="none"/>
        </w:rPr>
        <w:t>定代表人</w:t>
      </w:r>
      <w:r>
        <w:rPr>
          <w:rFonts w:hint="eastAsia" w:ascii="宋体" w:hAnsi="宋体" w:eastAsia="宋体" w:cs="宋体"/>
          <w:color w:val="auto"/>
          <w:spacing w:val="-3"/>
          <w:sz w:val="29"/>
          <w:szCs w:val="29"/>
          <w:highlight w:val="none"/>
          <w:lang w:val="en-US" w:eastAsia="zh-CN"/>
        </w:rPr>
        <w:t xml:space="preserve"> </w:t>
      </w:r>
      <w:r>
        <w:rPr>
          <w:rFonts w:hint="eastAsia" w:ascii="宋体" w:hAnsi="宋体" w:eastAsia="宋体" w:cs="宋体"/>
          <w:color w:val="auto"/>
          <w:spacing w:val="-3"/>
          <w:sz w:val="29"/>
          <w:szCs w:val="29"/>
          <w:highlight w:val="none"/>
        </w:rPr>
        <w:t>：</w:t>
      </w:r>
      <w:r>
        <w:rPr>
          <w:rFonts w:hint="eastAsia" w:ascii="宋体" w:hAnsi="宋体" w:eastAsia="宋体" w:cs="宋体"/>
          <w:color w:val="auto"/>
          <w:spacing w:val="-3"/>
          <w:sz w:val="29"/>
          <w:szCs w:val="29"/>
          <w:highlight w:val="none"/>
          <w:u w:val="single"/>
        </w:rPr>
        <w:t xml:space="preserve">                  </w:t>
      </w:r>
      <w:r>
        <w:rPr>
          <w:rFonts w:hint="eastAsia" w:ascii="宋体" w:hAnsi="宋体" w:eastAsia="宋体" w:cs="宋体"/>
          <w:color w:val="auto"/>
          <w:spacing w:val="-3"/>
          <w:sz w:val="29"/>
          <w:szCs w:val="29"/>
          <w:highlight w:val="none"/>
        </w:rPr>
        <w:t>(电子签章)</w:t>
      </w:r>
    </w:p>
    <w:p w14:paraId="1CC90FD0">
      <w:pPr>
        <w:spacing w:before="229" w:line="226" w:lineRule="auto"/>
        <w:ind w:left="907"/>
        <w:jc w:val="both"/>
        <w:rPr>
          <w:rFonts w:hint="eastAsia" w:ascii="宋体" w:hAnsi="宋体" w:eastAsia="宋体" w:cs="宋体"/>
          <w:b w:val="0"/>
          <w:bCs/>
          <w:color w:val="auto"/>
          <w:sz w:val="28"/>
          <w:szCs w:val="22"/>
          <w:highlight w:val="none"/>
        </w:rPr>
      </w:pPr>
      <w:r>
        <w:rPr>
          <w:rFonts w:hint="eastAsia" w:ascii="宋体" w:hAnsi="宋体" w:eastAsia="宋体" w:cs="宋体"/>
          <w:b w:val="0"/>
          <w:bCs/>
          <w:color w:val="auto"/>
          <w:sz w:val="28"/>
          <w:szCs w:val="22"/>
          <w:highlight w:val="none"/>
        </w:rPr>
        <w:t>日</w:t>
      </w:r>
      <w:r>
        <w:rPr>
          <w:rFonts w:hint="eastAsia" w:ascii="宋体" w:hAnsi="宋体" w:eastAsia="宋体" w:cs="宋体"/>
          <w:b w:val="0"/>
          <w:bCs/>
          <w:color w:val="auto"/>
          <w:sz w:val="28"/>
          <w:szCs w:val="22"/>
          <w:highlight w:val="none"/>
          <w:lang w:val="en-US" w:eastAsia="zh-CN"/>
        </w:rPr>
        <w:t xml:space="preserve">     </w:t>
      </w:r>
      <w:r>
        <w:rPr>
          <w:rFonts w:hint="eastAsia" w:ascii="宋体" w:hAnsi="宋体" w:eastAsia="宋体" w:cs="宋体"/>
          <w:b w:val="0"/>
          <w:bCs/>
          <w:color w:val="auto"/>
          <w:sz w:val="28"/>
          <w:szCs w:val="22"/>
          <w:highlight w:val="none"/>
        </w:rPr>
        <w:t xml:space="preserve"> 期 ：</w:t>
      </w:r>
      <w:r>
        <w:rPr>
          <w:rFonts w:hint="eastAsia" w:ascii="宋体" w:hAnsi="宋体" w:eastAsia="宋体" w:cs="宋体"/>
          <w:b w:val="0"/>
          <w:bCs/>
          <w:color w:val="auto"/>
          <w:sz w:val="28"/>
          <w:szCs w:val="22"/>
          <w:highlight w:val="none"/>
          <w:u w:val="single"/>
          <w:lang w:val="en-US" w:eastAsia="zh-CN"/>
        </w:rPr>
        <w:t xml:space="preserve">      </w:t>
      </w:r>
      <w:r>
        <w:rPr>
          <w:rFonts w:hint="eastAsia" w:ascii="宋体" w:hAnsi="宋体" w:eastAsia="宋体" w:cs="宋体"/>
          <w:b w:val="0"/>
          <w:bCs/>
          <w:color w:val="auto"/>
          <w:sz w:val="28"/>
          <w:szCs w:val="22"/>
          <w:highlight w:val="none"/>
        </w:rPr>
        <w:t>年</w:t>
      </w:r>
      <w:r>
        <w:rPr>
          <w:rFonts w:hint="eastAsia" w:ascii="宋体" w:hAnsi="宋体" w:eastAsia="宋体" w:cs="宋体"/>
          <w:b w:val="0"/>
          <w:bCs/>
          <w:color w:val="auto"/>
          <w:sz w:val="28"/>
          <w:szCs w:val="22"/>
          <w:highlight w:val="none"/>
          <w:u w:val="single"/>
        </w:rPr>
        <w:t xml:space="preserve"> </w:t>
      </w:r>
      <w:r>
        <w:rPr>
          <w:rFonts w:hint="eastAsia" w:ascii="宋体" w:hAnsi="宋体" w:eastAsia="宋体" w:cs="宋体"/>
          <w:b w:val="0"/>
          <w:bCs/>
          <w:color w:val="auto"/>
          <w:sz w:val="28"/>
          <w:szCs w:val="22"/>
          <w:highlight w:val="none"/>
          <w:u w:val="single"/>
          <w:lang w:val="en-US" w:eastAsia="zh-CN"/>
        </w:rPr>
        <w:t xml:space="preserve">  </w:t>
      </w:r>
      <w:r>
        <w:rPr>
          <w:rFonts w:hint="eastAsia" w:ascii="宋体" w:hAnsi="宋体" w:eastAsia="宋体" w:cs="宋体"/>
          <w:b w:val="0"/>
          <w:bCs/>
          <w:color w:val="auto"/>
          <w:sz w:val="28"/>
          <w:szCs w:val="22"/>
          <w:highlight w:val="none"/>
          <w:u w:val="single"/>
        </w:rPr>
        <w:t xml:space="preserve"> </w:t>
      </w:r>
      <w:r>
        <w:rPr>
          <w:rFonts w:hint="eastAsia" w:ascii="宋体" w:hAnsi="宋体" w:eastAsia="宋体" w:cs="宋体"/>
          <w:b w:val="0"/>
          <w:bCs/>
          <w:color w:val="auto"/>
          <w:sz w:val="28"/>
          <w:szCs w:val="22"/>
          <w:highlight w:val="none"/>
        </w:rPr>
        <w:t>月</w:t>
      </w:r>
      <w:r>
        <w:rPr>
          <w:rFonts w:hint="eastAsia" w:ascii="宋体" w:hAnsi="宋体" w:eastAsia="宋体" w:cs="宋体"/>
          <w:b w:val="0"/>
          <w:bCs/>
          <w:color w:val="auto"/>
          <w:sz w:val="28"/>
          <w:szCs w:val="22"/>
          <w:highlight w:val="none"/>
          <w:u w:val="single"/>
        </w:rPr>
        <w:t xml:space="preserve"> </w:t>
      </w:r>
      <w:r>
        <w:rPr>
          <w:rFonts w:hint="eastAsia" w:ascii="宋体" w:hAnsi="宋体" w:eastAsia="宋体" w:cs="宋体"/>
          <w:b w:val="0"/>
          <w:bCs/>
          <w:color w:val="auto"/>
          <w:sz w:val="28"/>
          <w:szCs w:val="22"/>
          <w:highlight w:val="none"/>
          <w:u w:val="single"/>
          <w:lang w:val="en-US" w:eastAsia="zh-CN"/>
        </w:rPr>
        <w:t xml:space="preserve">  </w:t>
      </w:r>
      <w:r>
        <w:rPr>
          <w:rFonts w:hint="eastAsia" w:ascii="宋体" w:hAnsi="宋体" w:eastAsia="宋体" w:cs="宋体"/>
          <w:b w:val="0"/>
          <w:bCs/>
          <w:color w:val="auto"/>
          <w:sz w:val="28"/>
          <w:szCs w:val="22"/>
          <w:highlight w:val="none"/>
          <w:u w:val="single"/>
        </w:rPr>
        <w:t xml:space="preserve"> </w:t>
      </w:r>
      <w:r>
        <w:rPr>
          <w:rFonts w:hint="eastAsia" w:ascii="宋体" w:hAnsi="宋体" w:eastAsia="宋体" w:cs="宋体"/>
          <w:b w:val="0"/>
          <w:bCs/>
          <w:color w:val="auto"/>
          <w:sz w:val="28"/>
          <w:szCs w:val="22"/>
          <w:highlight w:val="none"/>
        </w:rPr>
        <w:t>日</w:t>
      </w:r>
    </w:p>
    <w:p w14:paraId="0EFE721B">
      <w:pPr>
        <w:spacing w:line="460" w:lineRule="exact"/>
        <w:jc w:val="left"/>
        <w:rPr>
          <w:rFonts w:hint="eastAsia" w:ascii="宋体" w:hAnsi="宋体" w:eastAsia="宋体" w:cs="宋体"/>
          <w:b w:val="0"/>
          <w:bCs/>
          <w:color w:val="auto"/>
          <w:sz w:val="28"/>
          <w:szCs w:val="22"/>
          <w:highlight w:val="none"/>
        </w:rPr>
      </w:pPr>
    </w:p>
    <w:p w14:paraId="39D80C80">
      <w:pPr>
        <w:spacing w:line="460" w:lineRule="exact"/>
        <w:jc w:val="left"/>
        <w:rPr>
          <w:rFonts w:hint="eastAsia" w:ascii="宋体" w:hAnsi="宋体" w:eastAsia="宋体" w:cs="宋体"/>
          <w:b w:val="0"/>
          <w:bCs/>
          <w:color w:val="auto"/>
          <w:sz w:val="22"/>
          <w:szCs w:val="20"/>
          <w:highlight w:val="none"/>
        </w:rPr>
      </w:pPr>
    </w:p>
    <w:p w14:paraId="051AA61A">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33C46A0C">
      <w:pPr>
        <w:spacing w:line="46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目录</w:t>
      </w:r>
    </w:p>
    <w:p w14:paraId="71A8C043">
      <w:pPr>
        <w:spacing w:line="460" w:lineRule="exact"/>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（仅供参考，投标人</w:t>
      </w:r>
      <w:r>
        <w:rPr>
          <w:rFonts w:hint="eastAsia" w:ascii="宋体" w:hAnsi="宋体" w:eastAsia="宋体" w:cs="宋体"/>
          <w:color w:val="auto"/>
          <w:spacing w:val="-2"/>
          <w:sz w:val="22"/>
          <w:szCs w:val="22"/>
          <w:highlight w:val="none"/>
          <w:lang w:val="en-US" w:eastAsia="zh-CN"/>
        </w:rPr>
        <w:t>可</w:t>
      </w:r>
      <w:r>
        <w:rPr>
          <w:rFonts w:hint="eastAsia" w:ascii="宋体" w:hAnsi="宋体" w:eastAsia="宋体" w:cs="宋体"/>
          <w:color w:val="auto"/>
          <w:spacing w:val="-2"/>
          <w:sz w:val="22"/>
          <w:szCs w:val="22"/>
          <w:highlight w:val="none"/>
        </w:rPr>
        <w:t>自拟）</w:t>
      </w:r>
    </w:p>
    <w:p w14:paraId="6EE1E8C0">
      <w:pPr>
        <w:pStyle w:val="121"/>
        <w:spacing w:line="420" w:lineRule="exact"/>
        <w:ind w:left="910" w:leftChars="325" w:firstLine="2894" w:firstLineChars="901"/>
        <w:rPr>
          <w:rFonts w:hint="eastAsia" w:ascii="宋体" w:hAnsi="宋体" w:eastAsia="宋体" w:cs="宋体"/>
          <w:b/>
          <w:color w:val="auto"/>
          <w:sz w:val="32"/>
          <w:szCs w:val="32"/>
          <w:highlight w:val="none"/>
        </w:rPr>
      </w:pPr>
    </w:p>
    <w:p w14:paraId="20C06F5E">
      <w:pPr>
        <w:pStyle w:val="121"/>
        <w:keepNext w:val="0"/>
        <w:keepLines w:val="0"/>
        <w:pageBreakBefore w:val="0"/>
        <w:kinsoku/>
        <w:wordWrap/>
        <w:overflowPunct/>
        <w:topLinePunct w:val="0"/>
        <w:autoSpaceDE/>
        <w:autoSpaceDN/>
        <w:bidi w:val="0"/>
        <w:adjustRightInd/>
        <w:snapToGrid/>
        <w:spacing w:line="500" w:lineRule="exact"/>
        <w:ind w:firstLine="723" w:firstLineChars="200"/>
        <w:jc w:val="left"/>
        <w:textAlignment w:val="auto"/>
        <w:rPr>
          <w:rFonts w:hint="eastAsia" w:ascii="宋体" w:hAnsi="宋体" w:eastAsia="宋体" w:cs="宋体"/>
          <w:b/>
          <w:color w:val="auto"/>
          <w:sz w:val="36"/>
          <w:szCs w:val="36"/>
          <w:highlight w:val="none"/>
        </w:rPr>
      </w:pPr>
    </w:p>
    <w:p w14:paraId="4BD5EB01">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第一部分 资格标文件</w:t>
      </w:r>
    </w:p>
    <w:p w14:paraId="227F0E8E">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 xml:space="preserve">法定代表人身份证明或法人授权委托书 </w:t>
      </w:r>
    </w:p>
    <w:p w14:paraId="75D43372">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本项目的特定资格条件资料</w:t>
      </w:r>
    </w:p>
    <w:p w14:paraId="0F7A9B27">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三、新乡市政府采购供应商信用承诺函</w:t>
      </w:r>
    </w:p>
    <w:p w14:paraId="66F4F311">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声明函(如果有)</w:t>
      </w:r>
    </w:p>
    <w:p w14:paraId="47D7D08D">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第二部分 商务标文件</w:t>
      </w:r>
    </w:p>
    <w:p w14:paraId="6CEDB7E1">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 xml:space="preserve">投标函 </w:t>
      </w:r>
    </w:p>
    <w:p w14:paraId="19BAA4FF">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采购项目承诺书</w:t>
      </w:r>
    </w:p>
    <w:p w14:paraId="402988DC">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反商业贿赂承诺书</w:t>
      </w:r>
    </w:p>
    <w:p w14:paraId="48BD324D">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使用绿色包装承诺书</w:t>
      </w:r>
    </w:p>
    <w:p w14:paraId="41CD4D17">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服务承诺</w:t>
      </w:r>
    </w:p>
    <w:p w14:paraId="4FE86233">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 技术标文件</w:t>
      </w:r>
    </w:p>
    <w:p w14:paraId="5F3FDB25">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 xml:space="preserve">开标一览表 </w:t>
      </w:r>
    </w:p>
    <w:p w14:paraId="4D56F438">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报价明细表</w:t>
      </w:r>
    </w:p>
    <w:p w14:paraId="3A8DB5F7">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 xml:space="preserve">技术偏离表 </w:t>
      </w:r>
    </w:p>
    <w:p w14:paraId="3F802A69">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政府采购节能、环保产品汇总表</w:t>
      </w:r>
    </w:p>
    <w:p w14:paraId="5ED74E9A">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第四部分 其他部分</w:t>
      </w:r>
      <w:r>
        <w:rPr>
          <w:rFonts w:hint="eastAsia" w:ascii="宋体" w:hAnsi="宋体" w:eastAsia="宋体" w:cs="宋体"/>
          <w:color w:val="auto"/>
          <w:sz w:val="24"/>
          <w:szCs w:val="24"/>
          <w:highlight w:val="none"/>
        </w:rPr>
        <w:t>（投标人认为需要提供的其他资料）</w:t>
      </w:r>
    </w:p>
    <w:p w14:paraId="73E1A725">
      <w:pPr>
        <w:rPr>
          <w:rFonts w:hint="eastAsia" w:ascii="宋体" w:hAnsi="宋体" w:eastAsia="宋体" w:cs="宋体"/>
          <w:b/>
          <w:bCs/>
          <w:color w:val="auto"/>
          <w:kern w:val="0"/>
          <w:sz w:val="36"/>
          <w:szCs w:val="36"/>
          <w:highlight w:val="none"/>
          <w:lang w:bidi="ar"/>
        </w:rPr>
      </w:pPr>
      <w:r>
        <w:rPr>
          <w:rFonts w:hint="eastAsia" w:ascii="宋体" w:hAnsi="宋体" w:eastAsia="宋体" w:cs="宋体"/>
          <w:b/>
          <w:bCs/>
          <w:color w:val="auto"/>
          <w:kern w:val="0"/>
          <w:sz w:val="36"/>
          <w:szCs w:val="36"/>
          <w:highlight w:val="none"/>
          <w:lang w:bidi="ar"/>
        </w:rPr>
        <w:br w:type="page"/>
      </w:r>
    </w:p>
    <w:p w14:paraId="525D0594">
      <w:pPr>
        <w:keepNext w:val="0"/>
        <w:keepLines w:val="0"/>
        <w:pageBreakBefore w:val="0"/>
        <w:widowControl/>
        <w:kinsoku/>
        <w:wordWrap/>
        <w:overflowPunct/>
        <w:topLinePunct w:val="0"/>
        <w:autoSpaceDE/>
        <w:autoSpaceDN/>
        <w:bidi w:val="0"/>
        <w:adjustRightInd/>
        <w:snapToGrid/>
        <w:spacing w:line="500" w:lineRule="exact"/>
        <w:ind w:firstLine="723" w:firstLineChars="200"/>
        <w:jc w:val="center"/>
        <w:textAlignment w:val="auto"/>
        <w:outlineLvl w:val="1"/>
        <w:rPr>
          <w:rFonts w:hint="eastAsia" w:ascii="宋体" w:hAnsi="宋体" w:eastAsia="宋体" w:cs="宋体"/>
          <w:b/>
          <w:bCs/>
          <w:color w:val="auto"/>
          <w:kern w:val="0"/>
          <w:sz w:val="36"/>
          <w:szCs w:val="36"/>
          <w:highlight w:val="none"/>
          <w:lang w:bidi="ar"/>
        </w:rPr>
      </w:pPr>
      <w:r>
        <w:rPr>
          <w:rFonts w:hint="eastAsia" w:ascii="宋体" w:hAnsi="宋体" w:eastAsia="宋体" w:cs="宋体"/>
          <w:b/>
          <w:bCs/>
          <w:color w:val="auto"/>
          <w:kern w:val="0"/>
          <w:sz w:val="36"/>
          <w:szCs w:val="36"/>
          <w:highlight w:val="none"/>
          <w:lang w:bidi="ar"/>
        </w:rPr>
        <w:t>第一部分  资格标文件</w:t>
      </w:r>
    </w:p>
    <w:p w14:paraId="1442CBE8">
      <w:pPr>
        <w:spacing w:line="420" w:lineRule="exact"/>
        <w:rPr>
          <w:rFonts w:hint="eastAsia" w:ascii="宋体" w:hAnsi="宋体" w:eastAsia="宋体" w:cs="宋体"/>
          <w:b/>
          <w:bCs/>
          <w:color w:val="auto"/>
          <w:szCs w:val="28"/>
          <w:highlight w:val="none"/>
        </w:rPr>
      </w:pPr>
    </w:p>
    <w:p w14:paraId="5C99AABA">
      <w:pPr>
        <w:spacing w:line="420" w:lineRule="exact"/>
        <w:jc w:val="center"/>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32"/>
          <w:szCs w:val="32"/>
          <w:highlight w:val="none"/>
        </w:rPr>
        <w:t>一、法定代表人身份证明或法人授权委托书</w:t>
      </w:r>
    </w:p>
    <w:p w14:paraId="596E7667">
      <w:pPr>
        <w:spacing w:line="400" w:lineRule="exact"/>
        <w:rPr>
          <w:rFonts w:hint="eastAsia" w:ascii="宋体" w:hAnsi="宋体" w:eastAsia="宋体" w:cs="宋体"/>
          <w:b/>
          <w:color w:val="auto"/>
          <w:szCs w:val="18"/>
          <w:highlight w:val="none"/>
        </w:rPr>
      </w:pPr>
    </w:p>
    <w:p w14:paraId="3C3907AC">
      <w:pPr>
        <w:spacing w:line="400" w:lineRule="exact"/>
        <w:jc w:val="center"/>
        <w:outlineLvl w:val="4"/>
        <w:rPr>
          <w:rFonts w:hint="eastAsia" w:ascii="宋体" w:hAnsi="宋体" w:eastAsia="宋体" w:cs="宋体"/>
          <w:b/>
          <w:color w:val="auto"/>
          <w:sz w:val="32"/>
          <w:highlight w:val="none"/>
        </w:rPr>
      </w:pPr>
      <w:r>
        <w:rPr>
          <w:rFonts w:hint="eastAsia" w:ascii="宋体" w:hAnsi="宋体" w:eastAsia="宋体" w:cs="宋体"/>
          <w:b/>
          <w:color w:val="auto"/>
          <w:szCs w:val="18"/>
          <w:highlight w:val="none"/>
        </w:rPr>
        <w:t>1、法定代表人（或非法人组织负责人）身份证明书</w:t>
      </w:r>
    </w:p>
    <w:p w14:paraId="76782A6A">
      <w:pPr>
        <w:spacing w:line="400" w:lineRule="exact"/>
        <w:jc w:val="center"/>
        <w:rPr>
          <w:rFonts w:hint="eastAsia" w:ascii="宋体" w:hAnsi="宋体" w:eastAsia="宋体" w:cs="宋体"/>
          <w:b/>
          <w:color w:val="auto"/>
          <w:sz w:val="21"/>
          <w:szCs w:val="21"/>
          <w:highlight w:val="none"/>
        </w:rPr>
      </w:pPr>
    </w:p>
    <w:p w14:paraId="36EC59BD">
      <w:pPr>
        <w:widowControl/>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bidi="ar"/>
        </w:rPr>
        <w:t xml:space="preserve">供应商名称：                       </w:t>
      </w:r>
    </w:p>
    <w:p w14:paraId="3A067466">
      <w:pPr>
        <w:widowControl/>
        <w:ind w:firstLine="420" w:firstLineChars="200"/>
        <w:rPr>
          <w:rFonts w:hint="default" w:ascii="宋体" w:hAnsi="宋体" w:eastAsia="宋体" w:cs="宋体"/>
          <w:color w:val="auto"/>
          <w:sz w:val="21"/>
          <w:szCs w:val="21"/>
          <w:highlight w:val="none"/>
          <w:u w:val="single"/>
          <w:lang w:val="en-US" w:eastAsia="zh-CN" w:bidi="ar"/>
        </w:rPr>
      </w:pPr>
      <w:r>
        <w:rPr>
          <w:rFonts w:hint="eastAsia" w:ascii="宋体" w:hAnsi="宋体" w:eastAsia="宋体" w:cs="宋体"/>
          <w:color w:val="auto"/>
          <w:sz w:val="21"/>
          <w:szCs w:val="21"/>
          <w:highlight w:val="none"/>
          <w:u w:val="single"/>
          <w:lang w:bidi="ar"/>
        </w:rPr>
        <w:t xml:space="preserve">单位性质：                       </w:t>
      </w:r>
      <w:r>
        <w:rPr>
          <w:rFonts w:hint="eastAsia" w:ascii="宋体" w:hAnsi="宋体" w:eastAsia="宋体" w:cs="宋体"/>
          <w:color w:val="auto"/>
          <w:sz w:val="21"/>
          <w:szCs w:val="21"/>
          <w:highlight w:val="none"/>
          <w:u w:val="single"/>
          <w:lang w:val="en-US" w:eastAsia="zh-CN" w:bidi="ar"/>
        </w:rPr>
        <w:t xml:space="preserve">  </w:t>
      </w:r>
    </w:p>
    <w:p w14:paraId="3E58DF54">
      <w:pPr>
        <w:widowControl/>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bidi="ar"/>
        </w:rPr>
        <w:t xml:space="preserve">地址：                             </w:t>
      </w:r>
    </w:p>
    <w:p w14:paraId="5A2584D5">
      <w:pPr>
        <w:widowControl/>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bidi="ar"/>
        </w:rPr>
        <w:t xml:space="preserve">成立时间：   年   月   日          </w:t>
      </w:r>
    </w:p>
    <w:p w14:paraId="1806AE27">
      <w:pPr>
        <w:widowControl/>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bidi="ar"/>
        </w:rPr>
        <w:t xml:space="preserve">经营期限：                         </w:t>
      </w:r>
    </w:p>
    <w:p w14:paraId="77DE2147">
      <w:pPr>
        <w:widowControl/>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bidi="ar"/>
        </w:rPr>
        <w:t xml:space="preserve">姓名：             性别：         年龄：          现任职务：         电话：   </w:t>
      </w:r>
    </w:p>
    <w:p w14:paraId="6615CF55">
      <w:pPr>
        <w:widowControl/>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系</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（供应商名称）的法定代表人（或非法人组织负责人）。</w:t>
      </w:r>
    </w:p>
    <w:p w14:paraId="4817BD90">
      <w:pPr>
        <w:widowControl/>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bidi="ar"/>
        </w:rPr>
        <w:t>特此证明。</w:t>
      </w:r>
    </w:p>
    <w:p w14:paraId="69088002">
      <w:pPr>
        <w:spacing w:line="400" w:lineRule="exact"/>
        <w:jc w:val="center"/>
        <w:rPr>
          <w:rFonts w:hint="eastAsia" w:ascii="宋体" w:hAnsi="宋体" w:eastAsia="宋体" w:cs="宋体"/>
          <w:b/>
          <w:color w:val="auto"/>
          <w:sz w:val="21"/>
          <w:szCs w:val="21"/>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6"/>
      </w:tblGrid>
      <w:tr w14:paraId="2F00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10106" w:type="dxa"/>
          </w:tcPr>
          <w:p w14:paraId="409E5CF5">
            <w:pPr>
              <w:spacing w:line="400" w:lineRule="exact"/>
              <w:jc w:val="center"/>
              <w:outlineLvl w:val="1"/>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（※法定代表人（或非法人组织负责人）身份证正、反面扫描件※）</w:t>
            </w:r>
            <w:r>
              <w:rPr>
                <w:rFonts w:hint="eastAsia" w:ascii="宋体" w:hAnsi="宋体" w:eastAsia="宋体" w:cs="宋体"/>
                <w:b/>
                <w:color w:val="auto"/>
                <w:sz w:val="21"/>
                <w:szCs w:val="21"/>
                <w:highlight w:val="none"/>
              </w:rPr>
              <w:t xml:space="preserve"> </w:t>
            </w:r>
          </w:p>
          <w:p w14:paraId="0B1808D2">
            <w:pPr>
              <w:spacing w:line="400" w:lineRule="exact"/>
              <w:jc w:val="center"/>
              <w:outlineLvl w:val="1"/>
              <w:rPr>
                <w:rFonts w:hint="eastAsia" w:ascii="宋体" w:hAnsi="宋体" w:eastAsia="宋体" w:cs="宋体"/>
                <w:b/>
                <w:color w:val="auto"/>
                <w:sz w:val="21"/>
                <w:szCs w:val="21"/>
                <w:highlight w:val="none"/>
              </w:rPr>
            </w:pPr>
          </w:p>
        </w:tc>
      </w:tr>
    </w:tbl>
    <w:p w14:paraId="4FC48A58">
      <w:pPr>
        <w:pStyle w:val="2"/>
        <w:rPr>
          <w:rFonts w:hint="eastAsia" w:ascii="宋体" w:hAnsi="宋体" w:eastAsia="宋体" w:cs="宋体"/>
          <w:color w:val="auto"/>
          <w:sz w:val="21"/>
          <w:szCs w:val="21"/>
          <w:highlight w:val="none"/>
        </w:rPr>
      </w:pPr>
    </w:p>
    <w:p w14:paraId="0FA3737F">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02DE7FA5">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41F52C3D">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8291A96">
      <w:pPr>
        <w:spacing w:line="400" w:lineRule="exact"/>
        <w:jc w:val="center"/>
        <w:outlineLvl w:val="4"/>
        <w:rPr>
          <w:rFonts w:hint="eastAsia" w:ascii="宋体" w:hAnsi="宋体" w:eastAsia="宋体" w:cs="宋体"/>
          <w:b/>
          <w:bCs/>
          <w:color w:val="auto"/>
          <w:szCs w:val="18"/>
          <w:highlight w:val="none"/>
        </w:rPr>
      </w:pPr>
      <w:r>
        <w:rPr>
          <w:rFonts w:hint="eastAsia" w:ascii="宋体" w:hAnsi="宋体" w:eastAsia="宋体" w:cs="宋体"/>
          <w:b/>
          <w:bCs/>
          <w:color w:val="auto"/>
          <w:szCs w:val="18"/>
          <w:highlight w:val="none"/>
        </w:rPr>
        <w:br w:type="page"/>
      </w:r>
      <w:r>
        <w:rPr>
          <w:rFonts w:hint="eastAsia" w:ascii="宋体" w:hAnsi="宋体" w:eastAsia="宋体" w:cs="宋体"/>
          <w:b/>
          <w:bCs/>
          <w:color w:val="auto"/>
          <w:szCs w:val="18"/>
          <w:highlight w:val="none"/>
        </w:rPr>
        <w:t>2、法人（或非法人组织负责人）授权委托书</w:t>
      </w:r>
    </w:p>
    <w:p w14:paraId="0FA5D517">
      <w:pPr>
        <w:spacing w:line="400" w:lineRule="exact"/>
        <w:rPr>
          <w:rFonts w:hint="eastAsia" w:ascii="宋体" w:hAnsi="宋体" w:eastAsia="宋体" w:cs="宋体"/>
          <w:b/>
          <w:color w:val="auto"/>
          <w:sz w:val="32"/>
          <w:highlight w:val="none"/>
        </w:rPr>
      </w:pPr>
    </w:p>
    <w:p w14:paraId="5918A6F2">
      <w:pPr>
        <w:spacing w:before="111" w:line="460" w:lineRule="exact"/>
        <w:ind w:right="242" w:firstLine="4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（投标人名称）</w:t>
      </w:r>
      <w:r>
        <w:rPr>
          <w:rFonts w:hint="eastAsia" w:ascii="宋体" w:hAnsi="宋体" w:eastAsia="宋体" w:cs="宋体"/>
          <w:color w:val="auto"/>
          <w:sz w:val="21"/>
          <w:szCs w:val="21"/>
          <w:highlight w:val="none"/>
        </w:rPr>
        <w:t>的法定代表人，现委托</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rPr>
        <w:t>为我方代理人，联系电话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xml:space="preserve">代理人根据授权，以我方名义签署、澄清、说明、补正、递交、撤回、修改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项目名称、标段</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投标文件、签订合同和处理有关事宜，其法律后果由我方承担。 </w:t>
      </w:r>
    </w:p>
    <w:p w14:paraId="5AF20A8A">
      <w:pPr>
        <w:topLinePunct/>
        <w:snapToGrid w:val="0"/>
        <w:spacing w:line="42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委托期限：至上述事宜处理完毕止。          </w:t>
      </w:r>
    </w:p>
    <w:p w14:paraId="31B2A287">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日签字或盖章生效，受托人无转委托权，特此声明。</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6"/>
      </w:tblGrid>
      <w:tr w14:paraId="4739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10106" w:type="dxa"/>
          </w:tcPr>
          <w:p w14:paraId="698AF6F5">
            <w:pPr>
              <w:spacing w:line="400" w:lineRule="exact"/>
              <w:jc w:val="center"/>
              <w:outlineLvl w:val="1"/>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（※法定代表人（或非法人组织负责人）身份证正、反面扫描件※）</w:t>
            </w:r>
            <w:r>
              <w:rPr>
                <w:rFonts w:hint="eastAsia" w:ascii="宋体" w:hAnsi="宋体" w:eastAsia="宋体" w:cs="宋体"/>
                <w:b/>
                <w:color w:val="auto"/>
                <w:sz w:val="21"/>
                <w:szCs w:val="21"/>
                <w:highlight w:val="none"/>
              </w:rPr>
              <w:t xml:space="preserve"> </w:t>
            </w:r>
          </w:p>
          <w:p w14:paraId="62BCE571">
            <w:pPr>
              <w:spacing w:line="400" w:lineRule="exact"/>
              <w:jc w:val="center"/>
              <w:outlineLvl w:val="1"/>
              <w:rPr>
                <w:rFonts w:hint="eastAsia" w:ascii="宋体" w:hAnsi="宋体" w:eastAsia="宋体" w:cs="宋体"/>
                <w:b/>
                <w:color w:val="auto"/>
                <w:sz w:val="21"/>
                <w:szCs w:val="21"/>
                <w:highlight w:val="none"/>
              </w:rPr>
            </w:pPr>
          </w:p>
        </w:tc>
      </w:tr>
    </w:tbl>
    <w:p w14:paraId="44E257A1">
      <w:pPr>
        <w:topLinePunct/>
        <w:snapToGrid w:val="0"/>
        <w:spacing w:line="420" w:lineRule="exact"/>
        <w:ind w:firstLine="420" w:firstLineChars="200"/>
        <w:rPr>
          <w:rFonts w:hint="eastAsia" w:ascii="宋体" w:hAnsi="宋体" w:eastAsia="宋体" w:cs="宋体"/>
          <w:color w:val="auto"/>
          <w:sz w:val="21"/>
          <w:szCs w:val="21"/>
          <w:highlight w:val="none"/>
        </w:rPr>
      </w:pPr>
    </w:p>
    <w:p w14:paraId="3A0BDF03">
      <w:pPr>
        <w:tabs>
          <w:tab w:val="left" w:pos="4111"/>
          <w:tab w:val="left" w:pos="4253"/>
        </w:tabs>
        <w:spacing w:line="460" w:lineRule="exact"/>
        <w:ind w:left="835" w:right="577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6"/>
      </w:tblGrid>
      <w:tr w14:paraId="1880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10106" w:type="dxa"/>
          </w:tcPr>
          <w:p w14:paraId="376C3764">
            <w:pPr>
              <w:spacing w:line="400" w:lineRule="exact"/>
              <w:jc w:val="center"/>
              <w:outlineLvl w:val="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（※受托人身份证正、反面扫描件※）</w:t>
            </w:r>
          </w:p>
          <w:p w14:paraId="2797CCD2">
            <w:pPr>
              <w:spacing w:line="460" w:lineRule="exact"/>
              <w:rPr>
                <w:rFonts w:hint="eastAsia" w:ascii="宋体" w:hAnsi="宋体" w:eastAsia="宋体" w:cs="宋体"/>
                <w:color w:val="auto"/>
                <w:sz w:val="21"/>
                <w:szCs w:val="21"/>
                <w:highlight w:val="none"/>
              </w:rPr>
            </w:pPr>
          </w:p>
        </w:tc>
      </w:tr>
    </w:tbl>
    <w:p w14:paraId="6828C83D">
      <w:pPr>
        <w:spacing w:line="420" w:lineRule="exact"/>
        <w:ind w:firstLine="420" w:firstLineChars="200"/>
        <w:rPr>
          <w:rFonts w:hint="eastAsia" w:ascii="宋体" w:hAnsi="宋体" w:eastAsia="宋体" w:cs="宋体"/>
          <w:color w:val="auto"/>
          <w:sz w:val="21"/>
          <w:szCs w:val="21"/>
          <w:highlight w:val="none"/>
        </w:rPr>
      </w:pPr>
    </w:p>
    <w:p w14:paraId="650E0B35">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5E5AF6DB">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3F09ED7D">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7597E4F">
      <w:pPr>
        <w:spacing w:line="420" w:lineRule="exact"/>
        <w:ind w:firstLine="440" w:firstLineChars="200"/>
        <w:rPr>
          <w:rFonts w:hint="eastAsia" w:ascii="宋体" w:hAnsi="宋体" w:eastAsia="宋体" w:cs="宋体"/>
          <w:color w:val="auto"/>
          <w:sz w:val="22"/>
          <w:szCs w:val="22"/>
          <w:highlight w:val="none"/>
          <w:u w:val="single"/>
        </w:rPr>
      </w:pPr>
    </w:p>
    <w:p w14:paraId="53229361">
      <w:pPr>
        <w:spacing w:line="420" w:lineRule="exact"/>
        <w:rPr>
          <w:rFonts w:hint="eastAsia" w:ascii="宋体" w:hAnsi="宋体" w:eastAsia="宋体" w:cs="宋体"/>
          <w:color w:val="auto"/>
          <w:sz w:val="32"/>
          <w:szCs w:val="32"/>
          <w:highlight w:val="none"/>
        </w:rPr>
      </w:pPr>
    </w:p>
    <w:p w14:paraId="09B75811">
      <w:pPr>
        <w:spacing w:line="480" w:lineRule="auto"/>
        <w:ind w:firstLine="643" w:firstLineChars="200"/>
        <w:rPr>
          <w:rFonts w:hint="eastAsia" w:ascii="宋体" w:hAnsi="宋体" w:eastAsia="宋体" w:cs="宋体"/>
          <w:bCs/>
          <w:color w:val="auto"/>
          <w:sz w:val="22"/>
          <w:szCs w:val="22"/>
          <w:highlight w:val="none"/>
          <w:u w:val="single"/>
        </w:rPr>
      </w:pPr>
      <w:r>
        <w:rPr>
          <w:rFonts w:hint="eastAsia" w:ascii="宋体" w:hAnsi="宋体" w:eastAsia="宋体" w:cs="宋体"/>
          <w:b/>
          <w:bCs/>
          <w:color w:val="auto"/>
          <w:sz w:val="32"/>
          <w:szCs w:val="32"/>
          <w:highlight w:val="none"/>
        </w:rPr>
        <w:br w:type="page"/>
      </w:r>
    </w:p>
    <w:p w14:paraId="5404AE32">
      <w:pPr>
        <w:spacing w:line="420" w:lineRule="exact"/>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、本项目的特定资格条件资料</w:t>
      </w:r>
    </w:p>
    <w:p w14:paraId="21F919D4">
      <w:pPr>
        <w:spacing w:line="420" w:lineRule="exact"/>
        <w:jc w:val="center"/>
        <w:rPr>
          <w:rFonts w:hint="eastAsia" w:ascii="宋体" w:hAnsi="宋体" w:eastAsia="宋体" w:cs="宋体"/>
          <w:color w:val="auto"/>
          <w:sz w:val="22"/>
          <w:szCs w:val="22"/>
          <w:highlight w:val="none"/>
        </w:rPr>
      </w:pPr>
    </w:p>
    <w:p w14:paraId="41C51C44">
      <w:pPr>
        <w:spacing w:line="420" w:lineRule="exact"/>
        <w:jc w:val="center"/>
        <w:outlineLvl w:val="4"/>
        <w:rPr>
          <w:rFonts w:hint="eastAsia" w:ascii="宋体" w:hAnsi="宋体" w:eastAsia="宋体" w:cs="宋体"/>
          <w:b/>
          <w:bCs/>
          <w:color w:val="auto"/>
          <w:sz w:val="32"/>
          <w:szCs w:val="32"/>
          <w:highlight w:val="none"/>
        </w:rPr>
      </w:pPr>
      <w:r>
        <w:rPr>
          <w:rFonts w:hint="eastAsia" w:ascii="宋体" w:hAnsi="宋体" w:eastAsia="宋体" w:cs="宋体"/>
          <w:b/>
          <w:bCs/>
          <w:color w:val="auto"/>
          <w:szCs w:val="18"/>
          <w:highlight w:val="none"/>
          <w:lang w:val="en-US" w:eastAsia="zh-CN"/>
        </w:rPr>
        <w:t>（1）</w:t>
      </w:r>
      <w:r>
        <w:rPr>
          <w:rFonts w:hint="eastAsia" w:ascii="宋体" w:hAnsi="宋体" w:eastAsia="宋体" w:cs="宋体"/>
          <w:b/>
          <w:bCs/>
          <w:color w:val="auto"/>
          <w:szCs w:val="18"/>
          <w:highlight w:val="none"/>
        </w:rPr>
        <w:t>信誉承诺书</w:t>
      </w:r>
    </w:p>
    <w:p w14:paraId="1B23FF4A">
      <w:pPr>
        <w:pStyle w:val="37"/>
        <w:ind w:firstLine="210"/>
        <w:rPr>
          <w:rFonts w:hint="eastAsia" w:ascii="宋体" w:hAnsi="宋体" w:eastAsia="宋体" w:cs="宋体"/>
          <w:color w:val="auto"/>
          <w:highlight w:val="none"/>
        </w:rPr>
      </w:pPr>
    </w:p>
    <w:p w14:paraId="1C0EA7E8">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关于在政府采购活动中查询及使用信用记录有关问题的通知》：采购人或者采购代理机构对列入失信被执行人、重大税收违法失信主体（税收违法黑名单）、政府采购严重违法失信行为记录名单及其他不符合《中华人民共和国政府采购法》第二十二条规定条件的供应商，拒绝其参与政府采购活动【查询渠道：“信用中国”网站（www.creditchina.gov.cn）、中国政府采购网（www.ccgp.gov.cn）】。我公司郑重承诺，在递交投标文件时间截止前未出现失信行为记录，符合《政府采购法》规定的供应商资格条件。我方对此承诺负全部法律责任，若经查实我方存在上述问题或隐瞒的，我单位及参与投标的工作人员愿意接受按照国家法律法规等有关规定给予的处罚。特此承诺！</w:t>
      </w:r>
    </w:p>
    <w:p w14:paraId="7822B12D">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42EC803B">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1FBF8664">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D14EDEA">
      <w:pPr>
        <w:spacing w:line="420" w:lineRule="exact"/>
        <w:jc w:val="center"/>
        <w:outlineLvl w:val="9"/>
        <w:rPr>
          <w:rFonts w:hint="eastAsia" w:ascii="宋体" w:hAnsi="宋体" w:eastAsia="宋体" w:cs="宋体"/>
          <w:b/>
          <w:bCs/>
          <w:color w:val="auto"/>
          <w:szCs w:val="18"/>
          <w:highlight w:val="none"/>
          <w:lang w:val="en-US" w:eastAsia="zh-CN"/>
        </w:rPr>
      </w:pPr>
    </w:p>
    <w:p w14:paraId="1271C104">
      <w:pPr>
        <w:rPr>
          <w:rFonts w:hint="eastAsia" w:ascii="宋体" w:hAnsi="宋体" w:eastAsia="宋体" w:cs="宋体"/>
          <w:b/>
          <w:bCs/>
          <w:color w:val="auto"/>
          <w:szCs w:val="18"/>
          <w:highlight w:val="none"/>
          <w:lang w:val="en-US" w:eastAsia="zh-CN"/>
        </w:rPr>
      </w:pPr>
      <w:r>
        <w:rPr>
          <w:rFonts w:hint="eastAsia" w:ascii="宋体" w:hAnsi="宋体" w:eastAsia="宋体" w:cs="宋体"/>
          <w:b/>
          <w:bCs/>
          <w:color w:val="auto"/>
          <w:szCs w:val="18"/>
          <w:highlight w:val="none"/>
          <w:lang w:val="en-US" w:eastAsia="zh-CN"/>
        </w:rPr>
        <w:br w:type="page"/>
      </w:r>
    </w:p>
    <w:p w14:paraId="529B2699">
      <w:pPr>
        <w:spacing w:line="420" w:lineRule="exact"/>
        <w:jc w:val="center"/>
        <w:outlineLvl w:val="4"/>
        <w:rPr>
          <w:rFonts w:hint="eastAsia" w:ascii="宋体" w:hAnsi="宋体" w:eastAsia="宋体" w:cs="宋体"/>
          <w:b/>
          <w:bCs/>
          <w:color w:val="auto"/>
          <w:szCs w:val="18"/>
          <w:highlight w:val="none"/>
          <w:lang w:val="en-US" w:eastAsia="zh-CN"/>
        </w:rPr>
      </w:pPr>
      <w:r>
        <w:rPr>
          <w:rFonts w:hint="eastAsia" w:ascii="宋体" w:hAnsi="宋体" w:eastAsia="宋体" w:cs="宋体"/>
          <w:b/>
          <w:bCs/>
          <w:color w:val="auto"/>
          <w:szCs w:val="18"/>
          <w:highlight w:val="none"/>
          <w:lang w:val="en-US" w:eastAsia="zh-CN"/>
        </w:rPr>
        <w:t>（2）符合招标公告要求并附相关资料</w:t>
      </w:r>
    </w:p>
    <w:p w14:paraId="6B90A153">
      <w:pPr>
        <w:spacing w:line="420" w:lineRule="exact"/>
        <w:jc w:val="center"/>
        <w:outlineLvl w:val="9"/>
        <w:rPr>
          <w:rFonts w:hint="eastAsia" w:ascii="宋体" w:hAnsi="宋体" w:eastAsia="宋体" w:cs="宋体"/>
          <w:b/>
          <w:bCs/>
          <w:color w:val="auto"/>
          <w:szCs w:val="18"/>
          <w:highlight w:val="none"/>
          <w:lang w:val="en-US" w:eastAsia="zh-CN"/>
        </w:rPr>
      </w:pPr>
    </w:p>
    <w:p w14:paraId="5BA4329A">
      <w:pPr>
        <w:spacing w:line="420" w:lineRule="exact"/>
        <w:jc w:val="center"/>
        <w:outlineLvl w:val="9"/>
        <w:rPr>
          <w:rFonts w:hint="eastAsia" w:ascii="宋体" w:hAnsi="宋体" w:eastAsia="宋体" w:cs="宋体"/>
          <w:b/>
          <w:bCs/>
          <w:color w:val="auto"/>
          <w:sz w:val="32"/>
          <w:szCs w:val="32"/>
          <w:highlight w:val="none"/>
          <w:lang w:val="en-US" w:eastAsia="zh-CN"/>
        </w:rPr>
      </w:pPr>
    </w:p>
    <w:p w14:paraId="1E20E56F">
      <w:pPr>
        <w:spacing w:line="420" w:lineRule="exact"/>
        <w:jc w:val="center"/>
        <w:outlineLvl w:val="2"/>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、新乡市政府采购供应商信用承诺函</w:t>
      </w:r>
    </w:p>
    <w:p w14:paraId="7E3A3763">
      <w:pPr>
        <w:spacing w:line="420" w:lineRule="exact"/>
        <w:rPr>
          <w:rFonts w:hint="eastAsia" w:ascii="宋体" w:hAnsi="宋体" w:eastAsia="宋体" w:cs="宋体"/>
          <w:color w:val="auto"/>
          <w:sz w:val="22"/>
          <w:szCs w:val="22"/>
          <w:highlight w:val="none"/>
        </w:rPr>
      </w:pPr>
    </w:p>
    <w:p w14:paraId="15FA021C">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致（采购人或采购代理机构）：</w:t>
      </w:r>
    </w:p>
    <w:p w14:paraId="23FA8912">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单位名称（自然人姓名）：</w:t>
      </w:r>
    </w:p>
    <w:p w14:paraId="4768746C">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统一社会信用代码（身份证号码）：</w:t>
      </w:r>
    </w:p>
    <w:p w14:paraId="02229742">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p w14:paraId="4F4D6F94">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联系地址和电话：</w:t>
      </w:r>
    </w:p>
    <w:p w14:paraId="65711FFE">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为维护公平、公正、公开的政府采购市场秩序，树立诚实守信的政府采购供应商形象，我单位（本人）自愿作出以下承诺：</w:t>
      </w:r>
    </w:p>
    <w:p w14:paraId="05DA4FD6">
      <w:pPr>
        <w:numPr>
          <w:ilvl w:val="0"/>
          <w:numId w:val="5"/>
        </w:num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人）自愿参加本次政府采购活动，严格遵守《中华人民共和国政府采购法》及相关法律法规，依法诚信经营。我单位（本人）郑重承诺，我单位（本人）符合《中华人民共和国政府采购法》第二十二条规定和采购文件、本承诺书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未被列入经营异常名录或者严重违法失信名单、失信被执行人、重大税收违法失信主体（税收违法黑名单）、政府采购严重违法失信行为记录名单；（七）未被相关监管部门作出行政处罚且尚在处罚有效期内；（八）未曾作出虚假采购承诺；（九）符合法律、行政法规规定的其他条件。</w:t>
      </w:r>
    </w:p>
    <w:p w14:paraId="48C99C8F">
      <w:pPr>
        <w:numPr>
          <w:ilvl w:val="0"/>
          <w:numId w:val="5"/>
        </w:num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5BE49007">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000F2535">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36D4EAB7">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6EFF5BB">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注：1、投标人须在投标文件中按此模板提供承诺函，未提供视为未实质性响应招标文件要求，按无效投标处理。</w:t>
      </w:r>
    </w:p>
    <w:p w14:paraId="2E863D22">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2、采购人有权在签订合同前要求中标供应商提供相关证明材料以核实中标（成交）供应商承诺事项的真实性。</w:t>
      </w:r>
    </w:p>
    <w:p w14:paraId="656A7CA3">
      <w:pPr>
        <w:pStyle w:val="113"/>
        <w:jc w:val="center"/>
        <w:outlineLvl w:val="2"/>
        <w:rPr>
          <w:rFonts w:hint="eastAsia" w:ascii="宋体" w:hAnsi="宋体" w:eastAsia="宋体" w:cs="宋体"/>
          <w:b/>
          <w:bCs/>
          <w:color w:val="auto"/>
          <w:kern w:val="2"/>
          <w:sz w:val="28"/>
          <w:szCs w:val="28"/>
          <w:highlight w:val="none"/>
          <w:lang w:eastAsia="zh-CN"/>
        </w:rPr>
      </w:pPr>
      <w:r>
        <w:rPr>
          <w:rFonts w:hint="eastAsia" w:ascii="宋体" w:hAnsi="宋体" w:eastAsia="宋体" w:cs="宋体"/>
          <w:b/>
          <w:bCs/>
          <w:color w:val="auto"/>
          <w:szCs w:val="28"/>
          <w:highlight w:val="none"/>
          <w:lang w:eastAsia="zh-CN"/>
        </w:rPr>
        <w:br w:type="page"/>
      </w:r>
      <w:r>
        <w:rPr>
          <w:rFonts w:hint="eastAsia" w:ascii="宋体" w:hAnsi="宋体" w:eastAsia="宋体" w:cs="宋体"/>
          <w:b/>
          <w:bCs/>
          <w:color w:val="auto"/>
          <w:sz w:val="32"/>
          <w:szCs w:val="40"/>
          <w:highlight w:val="none"/>
          <w:lang w:val="en-US" w:eastAsia="zh-CN"/>
        </w:rPr>
        <w:t>四</w:t>
      </w:r>
      <w:r>
        <w:rPr>
          <w:rFonts w:hint="eastAsia" w:ascii="宋体" w:hAnsi="宋体" w:eastAsia="宋体" w:cs="宋体"/>
          <w:b/>
          <w:bCs/>
          <w:color w:val="auto"/>
          <w:kern w:val="2"/>
          <w:sz w:val="32"/>
          <w:szCs w:val="32"/>
          <w:highlight w:val="none"/>
          <w:lang w:eastAsia="zh-CN"/>
        </w:rPr>
        <w:t>、声明函（</w:t>
      </w:r>
      <w:r>
        <w:rPr>
          <w:rFonts w:hint="eastAsia" w:ascii="宋体" w:hAnsi="宋体" w:eastAsia="宋体" w:cs="宋体"/>
          <w:b/>
          <w:bCs/>
          <w:color w:val="auto"/>
          <w:kern w:val="2"/>
          <w:sz w:val="32"/>
          <w:szCs w:val="32"/>
          <w:highlight w:val="none"/>
          <w:lang w:val="en-US" w:eastAsia="zh-CN"/>
        </w:rPr>
        <w:t>如果有</w:t>
      </w:r>
      <w:r>
        <w:rPr>
          <w:rFonts w:hint="eastAsia" w:ascii="宋体" w:hAnsi="宋体" w:eastAsia="宋体" w:cs="宋体"/>
          <w:b/>
          <w:bCs/>
          <w:color w:val="auto"/>
          <w:kern w:val="2"/>
          <w:sz w:val="32"/>
          <w:szCs w:val="32"/>
          <w:highlight w:val="none"/>
          <w:lang w:eastAsia="zh-CN"/>
        </w:rPr>
        <w:t>）</w:t>
      </w:r>
    </w:p>
    <w:p w14:paraId="2D8C1D0B">
      <w:pPr>
        <w:pStyle w:val="113"/>
        <w:jc w:val="center"/>
        <w:outlineLvl w:val="9"/>
        <w:rPr>
          <w:rFonts w:hint="eastAsia" w:ascii="宋体" w:hAnsi="宋体" w:eastAsia="宋体" w:cs="宋体"/>
          <w:b/>
          <w:bCs/>
          <w:color w:val="auto"/>
          <w:kern w:val="2"/>
          <w:sz w:val="24"/>
          <w:szCs w:val="24"/>
          <w:highlight w:val="none"/>
          <w:lang w:eastAsia="zh-CN"/>
        </w:rPr>
      </w:pPr>
    </w:p>
    <w:p w14:paraId="33941D7B">
      <w:pPr>
        <w:pStyle w:val="113"/>
        <w:jc w:val="center"/>
        <w:outlineLvl w:val="4"/>
        <w:rPr>
          <w:rFonts w:hint="eastAsia" w:ascii="宋体" w:hAnsi="宋体" w:eastAsia="宋体" w:cs="宋体"/>
          <w:b/>
          <w:bCs/>
          <w:color w:val="auto"/>
          <w:kern w:val="2"/>
          <w:sz w:val="28"/>
          <w:szCs w:val="28"/>
          <w:highlight w:val="none"/>
          <w:lang w:eastAsia="zh-CN"/>
        </w:rPr>
      </w:pPr>
      <w:r>
        <w:rPr>
          <w:rFonts w:hint="eastAsia" w:ascii="宋体" w:hAnsi="宋体" w:eastAsia="宋体" w:cs="宋体"/>
          <w:b/>
          <w:bCs/>
          <w:color w:val="auto"/>
          <w:kern w:val="2"/>
          <w:sz w:val="24"/>
          <w:szCs w:val="24"/>
          <w:highlight w:val="none"/>
          <w:lang w:eastAsia="zh-CN"/>
        </w:rPr>
        <w:t>1、中小企业声明函（货物）</w:t>
      </w:r>
    </w:p>
    <w:p w14:paraId="7DE2EEB1">
      <w:pPr>
        <w:pStyle w:val="17"/>
        <w:rPr>
          <w:rFonts w:hint="eastAsia" w:ascii="宋体" w:hAnsi="宋体" w:eastAsia="宋体" w:cs="宋体"/>
          <w:color w:val="auto"/>
          <w:sz w:val="21"/>
          <w:szCs w:val="21"/>
          <w:highlight w:val="none"/>
        </w:rPr>
      </w:pPr>
    </w:p>
    <w:p w14:paraId="249C85AE">
      <w:pPr>
        <w:widowControl/>
        <w:spacing w:line="44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（单位名称）</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eastAsia="zh-CN"/>
        </w:rPr>
        <w:t>项目名称、标段</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采购活动，即，提供的货物全部由符合政策要求的中小企业制造。相关企业（含联合体中的中小企业、签订分包意向协议的中小企业）的具体情况如下： </w:t>
      </w:r>
    </w:p>
    <w:p w14:paraId="0F68AAD4">
      <w:pPr>
        <w:widowControl/>
        <w:spacing w:line="44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u w:val="single"/>
        </w:rPr>
        <w:t>（标的名称）</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，属于</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（采购文件中明确的所属行业）</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行业；制造商为</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（企业名称）</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，从业人员</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人，营业收入为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万元，资产总额为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万元 ，属于</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（中型企业、小型企业、微型企业）</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p>
    <w:p w14:paraId="25AE7C03">
      <w:pPr>
        <w:widowControl/>
        <w:spacing w:line="44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u w:val="single"/>
        </w:rPr>
        <w:t>（标的名称）</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，属于</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（采购文件中明确的所属行业）</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行业；制造商为</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（企业名称）</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，从业人员</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人，营业收入为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万元，资产总额为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万元，属于</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（中型企业、小型企业、微型企业）</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p>
    <w:p w14:paraId="53686A86">
      <w:pPr>
        <w:widowControl/>
        <w:spacing w:line="44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5F0A213D">
      <w:pPr>
        <w:widowControl/>
        <w:spacing w:line="44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以上企业，不属于大企业的分支机构，不存在控股股东为大企业的情形，也不存在与大企的负责人为同一人的情形。 </w:t>
      </w:r>
    </w:p>
    <w:p w14:paraId="23E6C6DB">
      <w:pPr>
        <w:widowControl/>
        <w:spacing w:line="44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本企业对上述声明内容的真实性负责。如有虚假，将依法承担相应责任。 </w:t>
      </w:r>
    </w:p>
    <w:p w14:paraId="1EA6A702">
      <w:pPr>
        <w:pStyle w:val="17"/>
        <w:spacing w:before="72" w:line="460" w:lineRule="exact"/>
        <w:ind w:right="109" w:firstLine="420" w:firstLineChars="200"/>
        <w:rPr>
          <w:rFonts w:hint="eastAsia" w:ascii="宋体" w:hAnsi="宋体" w:eastAsia="宋体" w:cs="宋体"/>
          <w:bCs/>
          <w:color w:val="auto"/>
          <w:sz w:val="21"/>
          <w:szCs w:val="21"/>
          <w:highlight w:val="none"/>
        </w:rPr>
      </w:pPr>
    </w:p>
    <w:p w14:paraId="11CB57E6">
      <w:pPr>
        <w:pStyle w:val="17"/>
        <w:spacing w:before="72" w:line="460" w:lineRule="exact"/>
        <w:ind w:right="109" w:firstLine="420" w:firstLineChars="200"/>
        <w:rPr>
          <w:rFonts w:hint="eastAsia" w:ascii="宋体" w:hAnsi="宋体" w:eastAsia="宋体" w:cs="宋体"/>
          <w:bCs/>
          <w:color w:val="auto"/>
          <w:sz w:val="21"/>
          <w:szCs w:val="21"/>
          <w:highlight w:val="none"/>
        </w:rPr>
      </w:pPr>
    </w:p>
    <w:p w14:paraId="54B6C809">
      <w:pPr>
        <w:pStyle w:val="17"/>
        <w:spacing w:before="72" w:line="460" w:lineRule="exact"/>
        <w:ind w:right="109"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投标人（电子签章）：</w:t>
      </w:r>
    </w:p>
    <w:p w14:paraId="69CB884E">
      <w:pPr>
        <w:widowControl/>
        <w:spacing w:line="44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日 期 ：  年  月  日</w:t>
      </w:r>
    </w:p>
    <w:p w14:paraId="20853732">
      <w:pPr>
        <w:pStyle w:val="17"/>
        <w:spacing w:line="440" w:lineRule="exact"/>
        <w:ind w:firstLine="422" w:firstLineChars="200"/>
        <w:rPr>
          <w:rFonts w:hint="eastAsia" w:ascii="宋体" w:hAnsi="宋体" w:eastAsia="宋体" w:cs="宋体"/>
          <w:b/>
          <w:bCs/>
          <w:color w:val="auto"/>
          <w:sz w:val="21"/>
          <w:szCs w:val="21"/>
          <w:highlight w:val="none"/>
        </w:rPr>
      </w:pPr>
    </w:p>
    <w:p w14:paraId="7684FC95">
      <w:pPr>
        <w:widowControl/>
        <w:spacing w:line="44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注：</w:t>
      </w:r>
    </w:p>
    <w:p w14:paraId="2DFD9B9F">
      <w:pPr>
        <w:widowControl/>
        <w:spacing w:line="44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1.从业人员、营业收入、资产总额填报上一年度数据，无上一年度数据的新成立企业可不填报。 </w:t>
      </w:r>
    </w:p>
    <w:p w14:paraId="5A26DCD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如</w:t>
      </w:r>
      <w:r>
        <w:rPr>
          <w:rFonts w:hint="eastAsia" w:ascii="宋体" w:hAnsi="宋体" w:eastAsia="宋体" w:cs="宋体"/>
          <w:bCs/>
          <w:color w:val="auto"/>
          <w:sz w:val="21"/>
          <w:szCs w:val="21"/>
          <w:highlight w:val="none"/>
        </w:rPr>
        <w:t>本项目采购货物种类较多，投标人应清楚从制造商处获取是否为中小微企业的准确信息，误填或</w:t>
      </w:r>
    </w:p>
    <w:p w14:paraId="010B1309">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错填都将被视为虚假承诺，并承担相应的法律后果。</w:t>
      </w:r>
    </w:p>
    <w:p w14:paraId="05474B6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根据相关法律法规规定，采购货物中既有中小微企业产品，又有非中小微产品的，不享受</w:t>
      </w:r>
      <w:r>
        <w:rPr>
          <w:rFonts w:hint="eastAsia" w:ascii="宋体" w:hAnsi="宋体" w:eastAsia="宋体" w:cs="宋体"/>
          <w:color w:val="auto"/>
          <w:kern w:val="2"/>
          <w:sz w:val="21"/>
          <w:szCs w:val="21"/>
          <w:highlight w:val="none"/>
          <w:lang w:val="en-US" w:eastAsia="zh-CN" w:bidi="ar-SA"/>
        </w:rPr>
        <w:t>评审中价格扣除等政策</w:t>
      </w:r>
      <w:r>
        <w:rPr>
          <w:rFonts w:hint="eastAsia" w:ascii="宋体" w:hAnsi="宋体" w:eastAsia="宋体" w:cs="宋体"/>
          <w:bCs/>
          <w:color w:val="auto"/>
          <w:sz w:val="21"/>
          <w:szCs w:val="21"/>
          <w:highlight w:val="none"/>
        </w:rPr>
        <w:t>。</w:t>
      </w:r>
    </w:p>
    <w:p w14:paraId="02B535FD">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属于中小企业的填写，不属于中小企业的投标文件内无需提供此函或填写此函</w:t>
      </w:r>
      <w:r>
        <w:rPr>
          <w:rFonts w:hint="eastAsia" w:ascii="宋体" w:hAnsi="宋体" w:eastAsia="宋体" w:cs="宋体"/>
          <w:bCs/>
          <w:color w:val="auto"/>
          <w:sz w:val="21"/>
          <w:szCs w:val="21"/>
          <w:highlight w:val="none"/>
          <w:lang w:eastAsia="zh-CN"/>
        </w:rPr>
        <w:t>。</w:t>
      </w:r>
    </w:p>
    <w:p w14:paraId="56A2756D">
      <w:pPr>
        <w:widowControl/>
        <w:spacing w:line="440" w:lineRule="exact"/>
        <w:ind w:firstLine="420" w:firstLineChars="200"/>
        <w:jc w:val="left"/>
        <w:rPr>
          <w:rFonts w:hint="eastAsia" w:ascii="宋体" w:hAnsi="宋体" w:eastAsia="宋体" w:cs="宋体"/>
          <w:bCs/>
          <w:color w:val="auto"/>
          <w:sz w:val="21"/>
          <w:highlight w:val="none"/>
        </w:rPr>
        <w:sectPr>
          <w:headerReference r:id="rId8" w:type="default"/>
          <w:footerReference r:id="rId9" w:type="default"/>
          <w:pgSz w:w="11910" w:h="16840"/>
          <w:pgMar w:top="1020" w:right="780" w:bottom="820" w:left="980" w:header="0" w:footer="624" w:gutter="0"/>
          <w:pgNumType w:fmt="decimal"/>
          <w:cols w:space="720" w:num="1"/>
        </w:sectPr>
      </w:pPr>
    </w:p>
    <w:p w14:paraId="2586FD88">
      <w:pPr>
        <w:pStyle w:val="113"/>
        <w:jc w:val="center"/>
        <w:outlineLvl w:val="4"/>
        <w:rPr>
          <w:rFonts w:hint="eastAsia" w:ascii="宋体" w:hAnsi="宋体" w:eastAsia="宋体" w:cs="宋体"/>
          <w:b/>
          <w:color w:val="auto"/>
          <w:highlight w:val="none"/>
          <w:lang w:eastAsia="zh-CN"/>
        </w:rPr>
      </w:pPr>
      <w:r>
        <w:rPr>
          <w:rFonts w:hint="eastAsia" w:ascii="宋体" w:hAnsi="宋体" w:eastAsia="宋体" w:cs="宋体"/>
          <w:b/>
          <w:bCs/>
          <w:color w:val="auto"/>
          <w:kern w:val="2"/>
          <w:sz w:val="24"/>
          <w:szCs w:val="24"/>
          <w:highlight w:val="none"/>
          <w:lang w:eastAsia="zh-CN"/>
        </w:rPr>
        <w:t>2、残疾人福利性单位声明函</w:t>
      </w:r>
    </w:p>
    <w:p w14:paraId="32A35D98">
      <w:pPr>
        <w:pStyle w:val="17"/>
        <w:spacing w:before="72" w:line="460" w:lineRule="exact"/>
        <w:ind w:left="396" w:right="109" w:firstLine="420"/>
        <w:jc w:val="center"/>
        <w:rPr>
          <w:rFonts w:hint="eastAsia" w:ascii="宋体" w:hAnsi="宋体" w:eastAsia="宋体" w:cs="宋体"/>
          <w:bCs/>
          <w:color w:val="auto"/>
          <w:sz w:val="22"/>
          <w:szCs w:val="22"/>
          <w:highlight w:val="none"/>
        </w:rPr>
      </w:pPr>
    </w:p>
    <w:p w14:paraId="397A0D8A">
      <w:pPr>
        <w:pStyle w:val="17"/>
        <w:spacing w:before="72" w:line="460" w:lineRule="exact"/>
        <w:ind w:left="396" w:right="109"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本单位郑重声明，根据《财政部民政部中国残疾人联合会关于促进残疾人就业政府采购政策的通知》（财库〔2017〕141号）的规定，本单位为符合条件的残疾人福利性单位， 且本单位参加______单位的</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项目名称、标段</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 xml:space="preserve">采购活动提供本单位制造的货物（由本单位承担工程/提供服务），或者提供其他残疾人福利性单位制造的货物（不包括使用非残疾人福利性单位注册商标的货物）。 </w:t>
      </w:r>
    </w:p>
    <w:p w14:paraId="5C11FED6">
      <w:pPr>
        <w:pStyle w:val="17"/>
        <w:spacing w:before="72" w:line="460" w:lineRule="exact"/>
        <w:ind w:left="396" w:right="109"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本单位对上述声明的真实性负责。如有虚假，将依法承担相应责任。 </w:t>
      </w:r>
    </w:p>
    <w:p w14:paraId="11FA883D">
      <w:pPr>
        <w:pStyle w:val="17"/>
        <w:spacing w:before="72" w:line="460" w:lineRule="exact"/>
        <w:ind w:right="109"/>
        <w:rPr>
          <w:rFonts w:hint="eastAsia" w:ascii="宋体" w:hAnsi="宋体" w:eastAsia="宋体" w:cs="宋体"/>
          <w:bCs/>
          <w:color w:val="auto"/>
          <w:sz w:val="21"/>
          <w:szCs w:val="21"/>
          <w:highlight w:val="none"/>
        </w:rPr>
      </w:pPr>
    </w:p>
    <w:p w14:paraId="3CF51ED8">
      <w:pPr>
        <w:pStyle w:val="17"/>
        <w:spacing w:before="72" w:line="460" w:lineRule="exact"/>
        <w:ind w:left="396" w:right="109" w:firstLine="420"/>
        <w:rPr>
          <w:rFonts w:hint="eastAsia" w:ascii="宋体" w:hAnsi="宋体" w:eastAsia="宋体" w:cs="宋体"/>
          <w:bCs/>
          <w:color w:val="auto"/>
          <w:sz w:val="21"/>
          <w:szCs w:val="21"/>
          <w:highlight w:val="none"/>
        </w:rPr>
      </w:pPr>
    </w:p>
    <w:p w14:paraId="095949C0">
      <w:pPr>
        <w:pStyle w:val="17"/>
        <w:spacing w:before="72" w:line="460" w:lineRule="exact"/>
        <w:ind w:left="396" w:right="109"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投标人（电子签章）：</w:t>
      </w:r>
    </w:p>
    <w:p w14:paraId="0E4D068B">
      <w:pPr>
        <w:pStyle w:val="17"/>
        <w:spacing w:before="72" w:line="460" w:lineRule="exact"/>
        <w:ind w:left="396" w:right="109"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日 期 ：  年  月  日</w:t>
      </w:r>
    </w:p>
    <w:p w14:paraId="0375B4C3">
      <w:pPr>
        <w:widowControl/>
        <w:spacing w:line="440" w:lineRule="exact"/>
        <w:ind w:firstLine="420" w:firstLineChars="200"/>
        <w:jc w:val="left"/>
        <w:rPr>
          <w:rFonts w:hint="eastAsia" w:ascii="宋体" w:hAnsi="宋体" w:eastAsia="宋体" w:cs="宋体"/>
          <w:bCs/>
          <w:color w:val="auto"/>
          <w:sz w:val="21"/>
          <w:szCs w:val="21"/>
          <w:highlight w:val="none"/>
          <w:lang w:val="en-US" w:eastAsia="zh-CN"/>
        </w:rPr>
      </w:pPr>
    </w:p>
    <w:p w14:paraId="48D3FAEE">
      <w:pPr>
        <w:widowControl/>
        <w:spacing w:line="440" w:lineRule="exact"/>
        <w:ind w:firstLine="420" w:firstLineChars="200"/>
        <w:jc w:val="left"/>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szCs w:val="21"/>
          <w:highlight w:val="none"/>
          <w:lang w:val="en-US" w:eastAsia="zh-CN"/>
        </w:rPr>
        <w:t>注：</w:t>
      </w:r>
      <w:r>
        <w:rPr>
          <w:rFonts w:hint="eastAsia" w:ascii="宋体" w:hAnsi="宋体" w:eastAsia="宋体" w:cs="宋体"/>
          <w:bCs/>
          <w:color w:val="auto"/>
          <w:sz w:val="21"/>
          <w:szCs w:val="21"/>
          <w:highlight w:val="none"/>
        </w:rPr>
        <w:t>符合残疾人福利单位的填写，不符合的无需提供本函或填写</w:t>
      </w:r>
      <w:r>
        <w:rPr>
          <w:rFonts w:hint="eastAsia" w:ascii="宋体" w:hAnsi="宋体" w:eastAsia="宋体" w:cs="宋体"/>
          <w:bCs/>
          <w:color w:val="auto"/>
          <w:sz w:val="21"/>
          <w:szCs w:val="21"/>
          <w:highlight w:val="none"/>
          <w:lang w:eastAsia="zh-CN"/>
        </w:rPr>
        <w:t>。</w:t>
      </w:r>
    </w:p>
    <w:p w14:paraId="083160A7">
      <w:pPr>
        <w:spacing w:line="460" w:lineRule="exact"/>
        <w:ind w:left="396"/>
        <w:rPr>
          <w:rFonts w:hint="eastAsia" w:ascii="宋体" w:hAnsi="宋体" w:eastAsia="宋体" w:cs="宋体"/>
          <w:b/>
          <w:bCs/>
          <w:color w:val="auto"/>
          <w:sz w:val="32"/>
          <w:szCs w:val="32"/>
          <w:highlight w:val="none"/>
        </w:rPr>
      </w:pPr>
    </w:p>
    <w:p w14:paraId="3DA885FD">
      <w:pPr>
        <w:bidi w:val="0"/>
        <w:rPr>
          <w:rFonts w:hint="eastAsia"/>
          <w:color w:val="auto"/>
          <w:highlight w:val="none"/>
          <w:lang w:eastAsia="zh-CN"/>
        </w:rPr>
      </w:pPr>
    </w:p>
    <w:p w14:paraId="07C4229C">
      <w:pPr>
        <w:bidi w:val="0"/>
        <w:rPr>
          <w:rFonts w:hint="eastAsia"/>
          <w:color w:val="auto"/>
          <w:highlight w:val="none"/>
          <w:lang w:eastAsia="zh-CN"/>
        </w:rPr>
      </w:pPr>
    </w:p>
    <w:p w14:paraId="105DB732">
      <w:pPr>
        <w:pStyle w:val="113"/>
        <w:jc w:val="center"/>
        <w:outlineLvl w:val="9"/>
        <w:rPr>
          <w:rFonts w:hint="eastAsia" w:ascii="宋体" w:hAnsi="宋体" w:eastAsia="宋体" w:cs="宋体"/>
          <w:b/>
          <w:bCs/>
          <w:color w:val="auto"/>
          <w:kern w:val="2"/>
          <w:sz w:val="24"/>
          <w:szCs w:val="24"/>
          <w:highlight w:val="none"/>
          <w:lang w:eastAsia="zh-CN"/>
        </w:rPr>
      </w:pPr>
    </w:p>
    <w:p w14:paraId="19F72AC6">
      <w:pPr>
        <w:bidi w:val="0"/>
        <w:rPr>
          <w:rFonts w:hint="eastAsia"/>
          <w:color w:val="auto"/>
          <w:highlight w:val="none"/>
          <w:lang w:eastAsia="zh-CN"/>
        </w:rPr>
      </w:pPr>
    </w:p>
    <w:p w14:paraId="0F40999D">
      <w:pPr>
        <w:bidi w:val="0"/>
        <w:rPr>
          <w:rFonts w:hint="eastAsia"/>
          <w:color w:val="auto"/>
          <w:highlight w:val="none"/>
          <w:lang w:eastAsia="zh-CN"/>
        </w:rPr>
      </w:pPr>
    </w:p>
    <w:p w14:paraId="4D31EACA">
      <w:pPr>
        <w:pStyle w:val="113"/>
        <w:jc w:val="center"/>
        <w:outlineLvl w:val="4"/>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3、监狱企业单位声明函</w:t>
      </w:r>
    </w:p>
    <w:p w14:paraId="005C253E">
      <w:pPr>
        <w:pStyle w:val="113"/>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（格式自拟）</w:t>
      </w:r>
    </w:p>
    <w:p w14:paraId="10A88EFB">
      <w:pPr>
        <w:pStyle w:val="17"/>
        <w:spacing w:line="460" w:lineRule="exact"/>
        <w:rPr>
          <w:rFonts w:hint="eastAsia" w:ascii="宋体" w:hAnsi="宋体" w:eastAsia="宋体" w:cs="宋体"/>
          <w:b/>
          <w:color w:val="auto"/>
          <w:sz w:val="22"/>
          <w:szCs w:val="22"/>
          <w:highlight w:val="none"/>
        </w:rPr>
      </w:pPr>
    </w:p>
    <w:p w14:paraId="60C69FE6">
      <w:pPr>
        <w:spacing w:line="302" w:lineRule="auto"/>
        <w:rPr>
          <w:rFonts w:hint="eastAsia" w:ascii="宋体" w:hAnsi="宋体" w:eastAsia="宋体" w:cs="宋体"/>
          <w:color w:val="auto"/>
          <w:sz w:val="22"/>
          <w:szCs w:val="22"/>
          <w:highlight w:val="none"/>
        </w:rPr>
      </w:pPr>
    </w:p>
    <w:p w14:paraId="106E1EEC">
      <w:pPr>
        <w:pStyle w:val="17"/>
        <w:spacing w:before="72" w:line="460" w:lineRule="exact"/>
        <w:ind w:left="396" w:right="109" w:firstLine="420"/>
        <w:rPr>
          <w:rFonts w:hint="eastAsia" w:ascii="宋体" w:hAnsi="宋体" w:eastAsia="宋体" w:cs="宋体"/>
          <w:bCs/>
          <w:color w:val="auto"/>
          <w:sz w:val="22"/>
          <w:szCs w:val="22"/>
          <w:highlight w:val="none"/>
        </w:rPr>
      </w:pPr>
    </w:p>
    <w:p w14:paraId="2B9A55AA">
      <w:pPr>
        <w:pStyle w:val="17"/>
        <w:spacing w:before="72" w:line="460" w:lineRule="exact"/>
        <w:ind w:left="396" w:right="109"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投标人（电子签章）：</w:t>
      </w:r>
    </w:p>
    <w:p w14:paraId="2F9714A6">
      <w:pPr>
        <w:pStyle w:val="17"/>
        <w:spacing w:before="72" w:line="460" w:lineRule="exact"/>
        <w:ind w:left="396" w:right="109"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日 期：  年  月  日 </w:t>
      </w:r>
    </w:p>
    <w:p w14:paraId="2302390A">
      <w:pPr>
        <w:widowControl/>
        <w:spacing w:line="440" w:lineRule="exact"/>
        <w:ind w:firstLine="630" w:firstLineChars="300"/>
        <w:jc w:val="left"/>
        <w:rPr>
          <w:rFonts w:hint="eastAsia" w:ascii="宋体" w:hAnsi="宋体" w:eastAsia="宋体" w:cs="宋体"/>
          <w:bCs/>
          <w:color w:val="auto"/>
          <w:sz w:val="21"/>
          <w:szCs w:val="21"/>
          <w:highlight w:val="none"/>
          <w:lang w:val="en-US" w:eastAsia="zh-CN"/>
        </w:rPr>
      </w:pPr>
    </w:p>
    <w:p w14:paraId="7EB8611E">
      <w:pPr>
        <w:widowControl/>
        <w:spacing w:line="440" w:lineRule="exact"/>
        <w:ind w:firstLine="630" w:firstLineChars="3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注：监狱企业提供省级以上监狱管理局、戒毒管理局（含新疆生产建设兵团）出具的属于监狱企业的证明文件扫描件（非监狱企业的不提供）。</w:t>
      </w:r>
    </w:p>
    <w:p w14:paraId="565AB816">
      <w:pPr>
        <w:widowControl/>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kern w:val="0"/>
          <w:sz w:val="36"/>
          <w:szCs w:val="36"/>
          <w:highlight w:val="none"/>
          <w:lang w:bidi="ar"/>
        </w:rPr>
        <w:br w:type="page"/>
      </w:r>
      <w:r>
        <w:rPr>
          <w:rFonts w:hint="eastAsia" w:ascii="宋体" w:hAnsi="宋体" w:eastAsia="宋体" w:cs="宋体"/>
          <w:b/>
          <w:bCs/>
          <w:color w:val="auto"/>
          <w:kern w:val="0"/>
          <w:sz w:val="36"/>
          <w:szCs w:val="36"/>
          <w:highlight w:val="none"/>
          <w:lang w:bidi="ar"/>
        </w:rPr>
        <w:t>第二部分  商务标文件（格式）</w:t>
      </w:r>
    </w:p>
    <w:p w14:paraId="15874B94">
      <w:pPr>
        <w:pStyle w:val="121"/>
        <w:spacing w:line="420" w:lineRule="exact"/>
        <w:ind w:firstLine="0" w:firstLineChars="0"/>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一、投标函</w:t>
      </w:r>
    </w:p>
    <w:p w14:paraId="76D7A0CA">
      <w:pPr>
        <w:spacing w:line="400" w:lineRule="exact"/>
        <w:ind w:firstLine="420" w:firstLineChars="200"/>
        <w:rPr>
          <w:rFonts w:hint="eastAsia" w:ascii="宋体" w:hAnsi="宋体" w:eastAsia="宋体" w:cs="宋体"/>
          <w:bCs/>
          <w:color w:val="auto"/>
          <w:sz w:val="21"/>
          <w:szCs w:val="21"/>
          <w:highlight w:val="none"/>
          <w:u w:val="single"/>
        </w:rPr>
      </w:pPr>
    </w:p>
    <w:p w14:paraId="6203FB46">
      <w:pPr>
        <w:spacing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u w:val="single"/>
        </w:rPr>
        <w:t xml:space="preserve">致：（采购人）  </w:t>
      </w:r>
      <w:r>
        <w:rPr>
          <w:rFonts w:hint="eastAsia" w:ascii="宋体" w:hAnsi="宋体" w:eastAsia="宋体" w:cs="宋体"/>
          <w:b/>
          <w:color w:val="auto"/>
          <w:sz w:val="21"/>
          <w:szCs w:val="21"/>
          <w:highlight w:val="none"/>
          <w:u w:val="single"/>
        </w:rPr>
        <w:t xml:space="preserve">                                    </w:t>
      </w:r>
    </w:p>
    <w:p w14:paraId="64F8E33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(投标人全称)授权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(投标人代表姓名)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(职务)为我方代表，参加贵方组织的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项目名称、标段</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)招标的有关活动，并对此项目进行投标。为此：</w:t>
      </w:r>
    </w:p>
    <w:p w14:paraId="386EACCD">
      <w:pPr>
        <w:pStyle w:val="121"/>
        <w:spacing w:line="400" w:lineRule="exact"/>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1、我方同意在本项目招标文件中规定的开标日起</w:t>
      </w:r>
      <w:r>
        <w:rPr>
          <w:rFonts w:hint="eastAsia" w:ascii="宋体" w:hAnsi="宋体" w:eastAsia="宋体" w:cs="宋体"/>
          <w:color w:val="auto"/>
          <w:sz w:val="21"/>
          <w:szCs w:val="21"/>
          <w:highlight w:val="none"/>
          <w:u w:val="single"/>
        </w:rPr>
        <w:t xml:space="preserve"> 90天</w:t>
      </w:r>
      <w:r>
        <w:rPr>
          <w:rFonts w:hint="eastAsia" w:ascii="宋体" w:hAnsi="宋体" w:eastAsia="宋体" w:cs="宋体"/>
          <w:color w:val="auto"/>
          <w:sz w:val="21"/>
          <w:szCs w:val="21"/>
          <w:highlight w:val="none"/>
        </w:rPr>
        <w:t>内（日历日）遵守本投标文件中的承诺且在此期限期满之前均对我方具有约束力。</w:t>
      </w:r>
    </w:p>
    <w:p w14:paraId="7EAFCED4">
      <w:pPr>
        <w:pStyle w:val="23"/>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2、我方承诺具有独立的法人资格，具备有效的企业法人营业执照且具备《中华人民共和国政府采购法》中规定的参加政府采购活动的投标人应当具备</w:t>
      </w:r>
      <w:r>
        <w:rPr>
          <w:rFonts w:hint="eastAsia" w:ascii="宋体" w:hAnsi="宋体" w:eastAsia="宋体" w:cs="宋体"/>
          <w:color w:val="auto"/>
          <w:sz w:val="21"/>
          <w:szCs w:val="21"/>
          <w:highlight w:val="none"/>
          <w:lang w:eastAsia="zh-CN"/>
        </w:rPr>
        <w:t>的其他</w:t>
      </w:r>
      <w:r>
        <w:rPr>
          <w:rFonts w:hint="eastAsia" w:ascii="宋体" w:hAnsi="宋体" w:eastAsia="宋体" w:cs="宋体"/>
          <w:color w:val="auto"/>
          <w:sz w:val="21"/>
          <w:szCs w:val="21"/>
          <w:highlight w:val="none"/>
        </w:rPr>
        <w:t>条件。</w:t>
      </w:r>
    </w:p>
    <w:p w14:paraId="13F6B4C1">
      <w:pPr>
        <w:pStyle w:val="121"/>
        <w:spacing w:line="400" w:lineRule="exact"/>
        <w:ind w:firstLine="44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3、我方按招标文件要求提供全部投标文件和交付本次采购项目的投标总报价以《开标一览表》中的投标总价为准。</w:t>
      </w:r>
    </w:p>
    <w:p w14:paraId="0CD86A6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4、如果我们的投标文件被接受，我们将严格履行招标文件中规定的每一项要求，按期、按质、按量履行合同的义务。</w:t>
      </w:r>
    </w:p>
    <w:p w14:paraId="0AE420A6">
      <w:pPr>
        <w:pStyle w:val="121"/>
        <w:spacing w:line="400" w:lineRule="exact"/>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5、我方承诺完全满足和响应招标文件中的各项商务和技术要求，若有偏差，已在投标文件中予以明确特别说明。</w:t>
      </w:r>
    </w:p>
    <w:p w14:paraId="19E87DCA">
      <w:pPr>
        <w:pStyle w:val="121"/>
        <w:spacing w:line="400" w:lineRule="exact"/>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6、如果在开标后规定的投标有效期内撤回投标，我方愿接受规定的处理处罚。</w:t>
      </w:r>
    </w:p>
    <w:p w14:paraId="0FE299EC">
      <w:pPr>
        <w:pStyle w:val="121"/>
        <w:spacing w:line="400" w:lineRule="exact"/>
        <w:ind w:left="3" w:leftChars="1"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7、我方完全理解贵方不一定接受最低价的投标,也认同你们有权接受或拒绝所有的投标人。</w:t>
      </w:r>
    </w:p>
    <w:p w14:paraId="344E4135">
      <w:pPr>
        <w:pStyle w:val="121"/>
        <w:spacing w:line="400" w:lineRule="exact"/>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8、我方愿意向贵方提供任何与本项投标有关的数据、情况和技术资料。若贵方需要，我方愿意提供我方作出的一切承诺的证明材料, 并保证所提交的文件和资料是真实、有效的。</w:t>
      </w:r>
    </w:p>
    <w:p w14:paraId="0AE0E749">
      <w:pPr>
        <w:pStyle w:val="121"/>
        <w:spacing w:line="400" w:lineRule="exact"/>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9、我方承诺接受招标文件无任何异议,并按要求审核全部投标文件及有关附件，确认无误。</w:t>
      </w:r>
    </w:p>
    <w:p w14:paraId="0A6CEC84">
      <w:pPr>
        <w:pStyle w:val="121"/>
        <w:spacing w:line="400" w:lineRule="exact"/>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10、我方已详细审核全部投标文件及有关附件，确认无误。</w:t>
      </w:r>
    </w:p>
    <w:p w14:paraId="5DA768BF">
      <w:pPr>
        <w:pStyle w:val="121"/>
        <w:spacing w:line="400" w:lineRule="exact"/>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11、我方承诺接受招标文件的全部内容且无任何异议。</w:t>
      </w:r>
    </w:p>
    <w:p w14:paraId="73332A4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与本投标有关的一切往来通讯请寄：</w:t>
      </w:r>
    </w:p>
    <w:p w14:paraId="168D5B69">
      <w:pPr>
        <w:tabs>
          <w:tab w:val="left" w:pos="48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3B35F8B0">
      <w:pPr>
        <w:tabs>
          <w:tab w:val="left" w:pos="48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35B4D120">
      <w:pPr>
        <w:tabs>
          <w:tab w:val="left" w:pos="48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投标人代表联系电话：</w:t>
      </w:r>
      <w:r>
        <w:rPr>
          <w:rFonts w:hint="eastAsia" w:ascii="宋体" w:hAnsi="宋体" w:eastAsia="宋体" w:cs="宋体"/>
          <w:color w:val="auto"/>
          <w:sz w:val="21"/>
          <w:szCs w:val="21"/>
          <w:highlight w:val="none"/>
          <w:u w:val="single"/>
        </w:rPr>
        <w:t xml:space="preserve">                      </w:t>
      </w:r>
    </w:p>
    <w:p w14:paraId="7178E8C2">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39EDFCAA">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530CBE6A">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A22460B">
      <w:pPr>
        <w:spacing w:line="400" w:lineRule="exact"/>
        <w:ind w:firstLine="440" w:firstLineChars="200"/>
        <w:rPr>
          <w:rFonts w:hint="eastAsia" w:ascii="宋体" w:hAnsi="宋体" w:eastAsia="宋体" w:cs="宋体"/>
          <w:color w:val="auto"/>
          <w:sz w:val="22"/>
          <w:szCs w:val="22"/>
          <w:highlight w:val="none"/>
        </w:rPr>
      </w:pPr>
    </w:p>
    <w:p w14:paraId="1AB3AEBC">
      <w:pPr>
        <w:pStyle w:val="113"/>
        <w:jc w:val="center"/>
        <w:outlineLvl w:val="2"/>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eastAsia="zh-CN"/>
        </w:rPr>
        <w:br w:type="page"/>
      </w:r>
      <w:r>
        <w:rPr>
          <w:rFonts w:hint="eastAsia" w:ascii="宋体" w:hAnsi="宋体" w:eastAsia="宋体" w:cs="宋体"/>
          <w:b/>
          <w:bCs/>
          <w:color w:val="auto"/>
          <w:kern w:val="2"/>
          <w:sz w:val="32"/>
          <w:szCs w:val="32"/>
          <w:highlight w:val="none"/>
          <w:lang w:eastAsia="zh-CN"/>
        </w:rPr>
        <w:t>二、采购项目承诺书</w:t>
      </w:r>
    </w:p>
    <w:p w14:paraId="20398749">
      <w:pPr>
        <w:keepNext w:val="0"/>
        <w:keepLines w:val="0"/>
        <w:pageBreakBefore w:val="0"/>
        <w:widowControl w:val="0"/>
        <w:kinsoku/>
        <w:wordWrap/>
        <w:overflowPunct/>
        <w:autoSpaceDE/>
        <w:autoSpaceDN/>
        <w:bidi w:val="0"/>
        <w:adjustRightInd/>
        <w:spacing w:line="440" w:lineRule="exact"/>
        <w:ind w:firstLine="440" w:firstLineChars="200"/>
        <w:textAlignment w:val="auto"/>
        <w:rPr>
          <w:rFonts w:hint="eastAsia" w:ascii="宋体" w:hAnsi="宋体" w:eastAsia="宋体" w:cs="宋体"/>
          <w:bCs/>
          <w:color w:val="auto"/>
          <w:sz w:val="22"/>
          <w:szCs w:val="22"/>
          <w:highlight w:val="none"/>
          <w:u w:val="single"/>
        </w:rPr>
      </w:pPr>
    </w:p>
    <w:p w14:paraId="36C6F7C2">
      <w:pPr>
        <w:keepNext w:val="0"/>
        <w:keepLines w:val="0"/>
        <w:pageBreakBefore w:val="0"/>
        <w:widowControl w:val="0"/>
        <w:kinsoku/>
        <w:wordWrap/>
        <w:overflowPunct/>
        <w:autoSpaceDE/>
        <w:autoSpaceDN/>
        <w:bidi w:val="0"/>
        <w:adjustRightInd/>
        <w:spacing w:line="44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u w:val="single"/>
        </w:rPr>
        <w:t xml:space="preserve">致：（采购人）  </w:t>
      </w:r>
      <w:r>
        <w:rPr>
          <w:rFonts w:hint="eastAsia" w:ascii="宋体" w:hAnsi="宋体" w:eastAsia="宋体" w:cs="宋体"/>
          <w:b/>
          <w:color w:val="auto"/>
          <w:sz w:val="21"/>
          <w:szCs w:val="21"/>
          <w:highlight w:val="none"/>
          <w:u w:val="single"/>
        </w:rPr>
        <w:t xml:space="preserve">              </w:t>
      </w:r>
    </w:p>
    <w:p w14:paraId="461D4E63">
      <w:pPr>
        <w:keepNext w:val="0"/>
        <w:keepLines w:val="0"/>
        <w:pageBreakBefore w:val="0"/>
        <w:widowControl w:val="0"/>
        <w:kinsoku/>
        <w:wordWrap/>
        <w:overflowPunct/>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本承诺书作为我方参加封丘县政府采购</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eastAsia="zh-CN"/>
        </w:rPr>
        <w:t>项目名称、标段</w:t>
      </w:r>
      <w:r>
        <w:rPr>
          <w:rFonts w:hint="eastAsia" w:ascii="宋体" w:hAnsi="宋体" w:eastAsia="宋体" w:cs="宋体"/>
          <w:bCs/>
          <w:color w:val="auto"/>
          <w:sz w:val="21"/>
          <w:szCs w:val="21"/>
          <w:highlight w:val="none"/>
          <w:u w:val="single"/>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投标文件不可分割的一部分。我方参加本次投标特郑重作出如下承诺：</w:t>
      </w:r>
    </w:p>
    <w:p w14:paraId="2E830BFB">
      <w:pPr>
        <w:keepNext w:val="0"/>
        <w:keepLines w:val="0"/>
        <w:pageBreakBefore w:val="0"/>
        <w:widowControl w:val="0"/>
        <w:kinsoku/>
        <w:wordWrap/>
        <w:overflowPunct/>
        <w:autoSpaceDE/>
        <w:autoSpaceDN/>
        <w:bidi w:val="0"/>
        <w:adjustRightIn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1、我方将严格履行采购文件中规定的每一项要求，</w:t>
      </w:r>
      <w:r>
        <w:rPr>
          <w:rFonts w:hint="eastAsia" w:ascii="宋体" w:hAnsi="宋体" w:eastAsia="宋体" w:cs="宋体"/>
          <w:color w:val="auto"/>
          <w:sz w:val="21"/>
          <w:szCs w:val="21"/>
          <w:highlight w:val="none"/>
        </w:rPr>
        <w:t>保证所提供的所有货物服务均符合国家相关标准规范或强制性规定，符合采购文件各项技术参数要求的规定；</w:t>
      </w:r>
    </w:p>
    <w:p w14:paraId="0B628370">
      <w:pPr>
        <w:keepNext w:val="0"/>
        <w:keepLines w:val="0"/>
        <w:pageBreakBefore w:val="0"/>
        <w:widowControl w:val="0"/>
        <w:kinsoku/>
        <w:wordWrap/>
        <w:overflowPunct/>
        <w:autoSpaceDE/>
        <w:autoSpaceDN/>
        <w:bidi w:val="0"/>
        <w:adjustRightInd/>
        <w:spacing w:line="440" w:lineRule="exact"/>
        <w:ind w:left="1"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2、如无法按我方承诺完成项目，我方愿接受采购人的处理处罚,对采购人造成损失的,我方愿承担相应赔偿责任；</w:t>
      </w:r>
    </w:p>
    <w:p w14:paraId="318081A5">
      <w:pPr>
        <w:keepNext w:val="0"/>
        <w:keepLines w:val="0"/>
        <w:pageBreakBefore w:val="0"/>
        <w:widowControl w:val="0"/>
        <w:kinsoku/>
        <w:wordWrap/>
        <w:overflowPunct/>
        <w:autoSpaceDE/>
        <w:autoSpaceDN/>
        <w:bidi w:val="0"/>
        <w:adjustRightInd/>
        <w:spacing w:line="440" w:lineRule="exact"/>
        <w:ind w:left="1"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3、采购人验收时如发现我方所提供货物服务不符合要求，我方将立即无条件更换。如因此造成超期，我方接受采购人的处理，同时愿承担合同约定的违约责任；</w:t>
      </w:r>
    </w:p>
    <w:p w14:paraId="4B2F5826">
      <w:pPr>
        <w:keepNext w:val="0"/>
        <w:keepLines w:val="0"/>
        <w:pageBreakBefore w:val="0"/>
        <w:widowControl w:val="0"/>
        <w:kinsoku/>
        <w:wordWrap/>
        <w:overflowPunct/>
        <w:autoSpaceDE/>
        <w:autoSpaceDN/>
        <w:bidi w:val="0"/>
        <w:adjustRightInd/>
        <w:spacing w:line="440" w:lineRule="exact"/>
        <w:ind w:left="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我方提供的货物服务如不能满足采购文件要求的，采购人有权拒绝接收；</w:t>
      </w:r>
    </w:p>
    <w:p w14:paraId="6E850D9F">
      <w:pPr>
        <w:keepNext w:val="0"/>
        <w:keepLines w:val="0"/>
        <w:pageBreakBefore w:val="0"/>
        <w:widowControl w:val="0"/>
        <w:kinsoku/>
        <w:wordWrap/>
        <w:overflowPunct/>
        <w:autoSpaceDE/>
        <w:autoSpaceDN/>
        <w:bidi w:val="0"/>
        <w:adjustRightInd/>
        <w:spacing w:line="440" w:lineRule="exact"/>
        <w:ind w:left="1"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5、如评标委员会确定我方为本项目的中标（成交）候选人或中标人，在公示期内或领取中标（成交）通知书后，我方无正当理由（如自身报价失误、无法组织及时交货、资金不到位、</w:t>
      </w:r>
      <w:r>
        <w:rPr>
          <w:rFonts w:hint="eastAsia" w:ascii="宋体" w:hAnsi="宋体" w:eastAsia="宋体" w:cs="宋体"/>
          <w:b/>
          <w:bCs/>
          <w:color w:val="auto"/>
          <w:sz w:val="21"/>
          <w:szCs w:val="21"/>
          <w:highlight w:val="none"/>
          <w:u w:val="single"/>
          <w:lang w:eastAsia="zh-CN"/>
        </w:rPr>
        <w:t>账户</w:t>
      </w:r>
      <w:r>
        <w:rPr>
          <w:rFonts w:hint="eastAsia" w:ascii="宋体" w:hAnsi="宋体" w:eastAsia="宋体" w:cs="宋体"/>
          <w:b/>
          <w:bCs/>
          <w:color w:val="auto"/>
          <w:sz w:val="21"/>
          <w:szCs w:val="21"/>
          <w:highlight w:val="none"/>
          <w:u w:val="single"/>
        </w:rPr>
        <w:t>无法正常使用等）放弃中标（成交）候选人资格或中标资格，我方愿接受财政部门做出的处理；</w:t>
      </w:r>
    </w:p>
    <w:p w14:paraId="4C5EFADD">
      <w:pPr>
        <w:keepNext w:val="0"/>
        <w:keepLines w:val="0"/>
        <w:pageBreakBefore w:val="0"/>
        <w:widowControl w:val="0"/>
        <w:kinsoku/>
        <w:wordWrap/>
        <w:overflowPunct/>
        <w:autoSpaceDE/>
        <w:autoSpaceDN/>
        <w:bidi w:val="0"/>
        <w:adjustRightInd/>
        <w:spacing w:line="440" w:lineRule="exact"/>
        <w:ind w:left="1"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6、我方已详细阅读了本招标文件，保证可以完全响应招标文件中所有商务、技术要求，并理解你方或评标委员会对我方进行资格审查的权利，如在资格审查中发现我方存在有违规行为愿承担相应法律责任。</w:t>
      </w:r>
    </w:p>
    <w:p w14:paraId="1BC822A5">
      <w:pPr>
        <w:keepNext w:val="0"/>
        <w:keepLines w:val="0"/>
        <w:pageBreakBefore w:val="0"/>
        <w:widowControl w:val="0"/>
        <w:kinsoku/>
        <w:wordWrap/>
        <w:overflowPunct/>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p>
    <w:p w14:paraId="2A7CD5ED">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2D286913">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589394DA">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5DD39F4">
      <w:pPr>
        <w:spacing w:line="420" w:lineRule="exact"/>
        <w:rPr>
          <w:rFonts w:hint="eastAsia" w:ascii="宋体" w:hAnsi="宋体" w:eastAsia="宋体" w:cs="宋体"/>
          <w:color w:val="auto"/>
          <w:sz w:val="22"/>
          <w:szCs w:val="22"/>
          <w:highlight w:val="none"/>
        </w:rPr>
      </w:pPr>
    </w:p>
    <w:p w14:paraId="316C92E0">
      <w:pPr>
        <w:spacing w:line="420" w:lineRule="exact"/>
        <w:ind w:left="493" w:leftChars="176" w:firstLine="420" w:firstLineChars="200"/>
        <w:rPr>
          <w:rFonts w:hint="eastAsia" w:ascii="宋体" w:hAnsi="宋体" w:eastAsia="宋体" w:cs="宋体"/>
          <w:color w:val="auto"/>
          <w:sz w:val="21"/>
          <w:highlight w:val="none"/>
        </w:rPr>
      </w:pPr>
    </w:p>
    <w:p w14:paraId="4AFCCFE3">
      <w:pPr>
        <w:spacing w:line="420" w:lineRule="exact"/>
        <w:ind w:left="493" w:leftChars="176" w:firstLine="420" w:firstLineChars="200"/>
        <w:rPr>
          <w:rFonts w:hint="eastAsia" w:ascii="宋体" w:hAnsi="宋体" w:eastAsia="宋体" w:cs="宋体"/>
          <w:color w:val="auto"/>
          <w:sz w:val="21"/>
          <w:highlight w:val="none"/>
        </w:rPr>
      </w:pPr>
    </w:p>
    <w:p w14:paraId="143F4773">
      <w:pPr>
        <w:spacing w:line="420" w:lineRule="exact"/>
        <w:ind w:left="493" w:leftChars="176" w:firstLine="422" w:firstLineChars="200"/>
        <w:rPr>
          <w:rFonts w:hint="eastAsia" w:ascii="宋体" w:hAnsi="宋体" w:eastAsia="宋体" w:cs="宋体"/>
          <w:b/>
          <w:bCs/>
          <w:color w:val="auto"/>
          <w:sz w:val="21"/>
          <w:szCs w:val="21"/>
          <w:highlight w:val="none"/>
        </w:rPr>
      </w:pPr>
    </w:p>
    <w:p w14:paraId="6C8FB282">
      <w:pPr>
        <w:spacing w:line="420" w:lineRule="exact"/>
        <w:ind w:left="493" w:leftChars="176" w:firstLine="422" w:firstLineChars="200"/>
        <w:rPr>
          <w:rFonts w:hint="eastAsia" w:ascii="宋体" w:hAnsi="宋体" w:eastAsia="宋体" w:cs="宋体"/>
          <w:b/>
          <w:bCs/>
          <w:color w:val="auto"/>
          <w:sz w:val="21"/>
          <w:szCs w:val="21"/>
          <w:highlight w:val="none"/>
        </w:rPr>
      </w:pPr>
    </w:p>
    <w:p w14:paraId="0305E506">
      <w:pPr>
        <w:pStyle w:val="67"/>
        <w:rPr>
          <w:rFonts w:hint="eastAsia" w:ascii="宋体" w:hAnsi="宋体" w:eastAsia="宋体" w:cs="宋体"/>
          <w:b/>
          <w:bCs/>
          <w:color w:val="auto"/>
          <w:sz w:val="21"/>
          <w:szCs w:val="21"/>
          <w:highlight w:val="none"/>
          <w:lang w:eastAsia="zh-CN"/>
        </w:rPr>
      </w:pPr>
    </w:p>
    <w:p w14:paraId="66C9BD4E">
      <w:pPr>
        <w:pStyle w:val="67"/>
        <w:rPr>
          <w:rFonts w:hint="eastAsia" w:ascii="宋体" w:hAnsi="宋体" w:eastAsia="宋体" w:cs="宋体"/>
          <w:b/>
          <w:bCs/>
          <w:color w:val="auto"/>
          <w:sz w:val="21"/>
          <w:szCs w:val="21"/>
          <w:highlight w:val="none"/>
          <w:lang w:eastAsia="zh-CN"/>
        </w:rPr>
      </w:pPr>
    </w:p>
    <w:p w14:paraId="5659909F">
      <w:pPr>
        <w:pStyle w:val="67"/>
        <w:rPr>
          <w:rFonts w:hint="eastAsia" w:ascii="宋体" w:hAnsi="宋体" w:eastAsia="宋体" w:cs="宋体"/>
          <w:b/>
          <w:bCs/>
          <w:color w:val="auto"/>
          <w:sz w:val="21"/>
          <w:szCs w:val="21"/>
          <w:highlight w:val="none"/>
          <w:lang w:eastAsia="zh-CN"/>
        </w:rPr>
      </w:pPr>
    </w:p>
    <w:p w14:paraId="5C9CF743">
      <w:pPr>
        <w:pStyle w:val="67"/>
        <w:rPr>
          <w:rFonts w:hint="eastAsia" w:ascii="宋体" w:hAnsi="宋体" w:eastAsia="宋体" w:cs="宋体"/>
          <w:b/>
          <w:bCs/>
          <w:color w:val="auto"/>
          <w:sz w:val="21"/>
          <w:szCs w:val="21"/>
          <w:highlight w:val="none"/>
          <w:lang w:eastAsia="zh-CN"/>
        </w:rPr>
      </w:pPr>
    </w:p>
    <w:p w14:paraId="29AEF91E">
      <w:pPr>
        <w:pStyle w:val="113"/>
        <w:jc w:val="center"/>
        <w:outlineLvl w:val="2"/>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28"/>
          <w:szCs w:val="28"/>
          <w:highlight w:val="none"/>
          <w:lang w:eastAsia="zh-CN"/>
        </w:rPr>
        <w:br w:type="page"/>
      </w:r>
      <w:r>
        <w:rPr>
          <w:rFonts w:hint="eastAsia" w:ascii="宋体" w:hAnsi="宋体" w:eastAsia="宋体" w:cs="宋体"/>
          <w:b/>
          <w:bCs/>
          <w:color w:val="auto"/>
          <w:kern w:val="2"/>
          <w:sz w:val="32"/>
          <w:szCs w:val="32"/>
          <w:highlight w:val="none"/>
          <w:lang w:eastAsia="zh-CN"/>
        </w:rPr>
        <w:t>三、反商业贿赂书</w:t>
      </w:r>
    </w:p>
    <w:p w14:paraId="39FC023D">
      <w:pPr>
        <w:spacing w:line="420" w:lineRule="exact"/>
        <w:ind w:firstLine="420" w:firstLineChars="200"/>
        <w:rPr>
          <w:rFonts w:hint="eastAsia" w:ascii="宋体" w:hAnsi="宋体" w:eastAsia="宋体" w:cs="宋体"/>
          <w:color w:val="auto"/>
          <w:sz w:val="21"/>
          <w:szCs w:val="21"/>
          <w:highlight w:val="none"/>
        </w:rPr>
      </w:pPr>
    </w:p>
    <w:p w14:paraId="5E44BADC">
      <w:pPr>
        <w:keepNext w:val="0"/>
        <w:keepLines w:val="0"/>
        <w:pageBreakBefore w:val="0"/>
        <w:widowControl w:val="0"/>
        <w:kinsoku/>
        <w:wordWrap/>
        <w:overflowPunct/>
        <w:autoSpaceDE/>
        <w:autoSpaceDN/>
        <w:bidi w:val="0"/>
        <w:adjustRightIn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w:t>
      </w:r>
    </w:p>
    <w:p w14:paraId="7C316035">
      <w:pPr>
        <w:keepNext w:val="0"/>
        <w:keepLines w:val="0"/>
        <w:pageBreakBefore w:val="0"/>
        <w:widowControl w:val="0"/>
        <w:kinsoku/>
        <w:wordWrap/>
        <w:overflowPunct/>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eastAsia="zh-CN"/>
        </w:rPr>
        <w:t>项目名称、标段</w:t>
      </w:r>
      <w:r>
        <w:rPr>
          <w:rFonts w:hint="eastAsia" w:ascii="宋体" w:hAnsi="宋体" w:eastAsia="宋体" w:cs="宋体"/>
          <w:bCs/>
          <w:color w:val="auto"/>
          <w:sz w:val="21"/>
          <w:szCs w:val="21"/>
          <w:highlight w:val="none"/>
          <w:u w:val="single"/>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招标活动中，我方保证做到：</w:t>
      </w:r>
    </w:p>
    <w:p w14:paraId="484441A7">
      <w:pPr>
        <w:keepNext w:val="0"/>
        <w:keepLines w:val="0"/>
        <w:pageBreakBefore w:val="0"/>
        <w:widowControl w:val="0"/>
        <w:kinsoku/>
        <w:wordWrap/>
        <w:overflowPunct/>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一、公平竞争参加本次招标活动。</w:t>
      </w:r>
    </w:p>
    <w:p w14:paraId="614CD1ED">
      <w:pPr>
        <w:keepNext w:val="0"/>
        <w:keepLines w:val="0"/>
        <w:pageBreakBefore w:val="0"/>
        <w:widowControl w:val="0"/>
        <w:kinsoku/>
        <w:wordWrap/>
        <w:overflowPunct/>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41EFF9B">
      <w:pPr>
        <w:keepNext w:val="0"/>
        <w:keepLines w:val="0"/>
        <w:pageBreakBefore w:val="0"/>
        <w:widowControl w:val="0"/>
        <w:kinsoku/>
        <w:wordWrap/>
        <w:overflowPunct/>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三、若出现上述行为，我方及参与投标的工作人员愿意接受按照国家法律法规等有关规定给予的处罚。</w:t>
      </w:r>
    </w:p>
    <w:p w14:paraId="12681031">
      <w:pPr>
        <w:keepNext w:val="0"/>
        <w:keepLines w:val="0"/>
        <w:pageBreakBefore w:val="0"/>
        <w:widowControl w:val="0"/>
        <w:kinsoku/>
        <w:wordWrap/>
        <w:overflowPunct/>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p>
    <w:p w14:paraId="35F552C3">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21FB76FD">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46C67BA6">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CB01E5E">
      <w:pPr>
        <w:spacing w:line="420" w:lineRule="exact"/>
        <w:ind w:firstLine="440" w:firstLineChars="200"/>
        <w:rPr>
          <w:rFonts w:hint="eastAsia" w:ascii="宋体" w:hAnsi="宋体" w:eastAsia="宋体" w:cs="宋体"/>
          <w:color w:val="auto"/>
          <w:sz w:val="22"/>
          <w:szCs w:val="22"/>
          <w:highlight w:val="none"/>
        </w:rPr>
      </w:pPr>
    </w:p>
    <w:p w14:paraId="17F644E8">
      <w:pPr>
        <w:autoSpaceDE w:val="0"/>
        <w:autoSpaceDN w:val="0"/>
        <w:spacing w:line="420" w:lineRule="exact"/>
        <w:ind w:right="26" w:firstLine="422" w:firstLineChars="200"/>
        <w:rPr>
          <w:rFonts w:hint="eastAsia" w:ascii="宋体" w:hAnsi="宋体" w:eastAsia="宋体" w:cs="宋体"/>
          <w:b/>
          <w:color w:val="auto"/>
          <w:sz w:val="21"/>
          <w:highlight w:val="none"/>
        </w:rPr>
      </w:pPr>
    </w:p>
    <w:p w14:paraId="0BC57970">
      <w:pPr>
        <w:autoSpaceDE w:val="0"/>
        <w:autoSpaceDN w:val="0"/>
        <w:spacing w:line="420" w:lineRule="exact"/>
        <w:ind w:right="26" w:firstLine="422" w:firstLineChars="200"/>
        <w:rPr>
          <w:rFonts w:hint="eastAsia" w:ascii="宋体" w:hAnsi="宋体" w:eastAsia="宋体" w:cs="宋体"/>
          <w:b/>
          <w:color w:val="auto"/>
          <w:sz w:val="21"/>
          <w:highlight w:val="none"/>
        </w:rPr>
      </w:pPr>
    </w:p>
    <w:p w14:paraId="2CD8AA61">
      <w:pPr>
        <w:autoSpaceDE w:val="0"/>
        <w:autoSpaceDN w:val="0"/>
        <w:spacing w:line="420" w:lineRule="exact"/>
        <w:ind w:right="26" w:firstLine="422" w:firstLineChars="200"/>
        <w:rPr>
          <w:rFonts w:hint="eastAsia" w:ascii="宋体" w:hAnsi="宋体" w:eastAsia="宋体" w:cs="宋体"/>
          <w:b/>
          <w:color w:val="auto"/>
          <w:sz w:val="21"/>
          <w:highlight w:val="none"/>
        </w:rPr>
      </w:pPr>
    </w:p>
    <w:p w14:paraId="111AA696">
      <w:pPr>
        <w:autoSpaceDE w:val="0"/>
        <w:autoSpaceDN w:val="0"/>
        <w:spacing w:line="420" w:lineRule="exact"/>
        <w:ind w:right="26" w:firstLine="422" w:firstLineChars="200"/>
        <w:rPr>
          <w:rFonts w:hint="eastAsia" w:ascii="宋体" w:hAnsi="宋体" w:eastAsia="宋体" w:cs="宋体"/>
          <w:b/>
          <w:color w:val="auto"/>
          <w:sz w:val="21"/>
          <w:highlight w:val="none"/>
        </w:rPr>
      </w:pPr>
    </w:p>
    <w:p w14:paraId="449889AC">
      <w:pPr>
        <w:autoSpaceDE w:val="0"/>
        <w:autoSpaceDN w:val="0"/>
        <w:spacing w:line="420" w:lineRule="exact"/>
        <w:ind w:right="26" w:firstLine="422" w:firstLineChars="200"/>
        <w:rPr>
          <w:rFonts w:hint="eastAsia" w:ascii="宋体" w:hAnsi="宋体" w:eastAsia="宋体" w:cs="宋体"/>
          <w:b/>
          <w:color w:val="auto"/>
          <w:sz w:val="21"/>
          <w:highlight w:val="none"/>
        </w:rPr>
      </w:pPr>
    </w:p>
    <w:p w14:paraId="5BE7720F">
      <w:pPr>
        <w:autoSpaceDE w:val="0"/>
        <w:autoSpaceDN w:val="0"/>
        <w:spacing w:line="420" w:lineRule="exact"/>
        <w:ind w:right="26" w:firstLine="422" w:firstLineChars="200"/>
        <w:rPr>
          <w:rFonts w:hint="eastAsia" w:ascii="宋体" w:hAnsi="宋体" w:eastAsia="宋体" w:cs="宋体"/>
          <w:b/>
          <w:color w:val="auto"/>
          <w:sz w:val="21"/>
          <w:highlight w:val="none"/>
        </w:rPr>
      </w:pPr>
    </w:p>
    <w:p w14:paraId="5CE67BE6">
      <w:pPr>
        <w:autoSpaceDE w:val="0"/>
        <w:autoSpaceDN w:val="0"/>
        <w:spacing w:line="420" w:lineRule="exact"/>
        <w:ind w:right="26" w:firstLine="422" w:firstLineChars="200"/>
        <w:rPr>
          <w:rFonts w:hint="eastAsia" w:ascii="宋体" w:hAnsi="宋体" w:eastAsia="宋体" w:cs="宋体"/>
          <w:b/>
          <w:color w:val="auto"/>
          <w:sz w:val="21"/>
          <w:highlight w:val="none"/>
        </w:rPr>
      </w:pPr>
    </w:p>
    <w:p w14:paraId="4E259FCB">
      <w:pPr>
        <w:autoSpaceDE w:val="0"/>
        <w:autoSpaceDN w:val="0"/>
        <w:spacing w:line="420" w:lineRule="exact"/>
        <w:ind w:right="26" w:firstLine="422" w:firstLineChars="200"/>
        <w:rPr>
          <w:rFonts w:hint="eastAsia" w:ascii="宋体" w:hAnsi="宋体" w:eastAsia="宋体" w:cs="宋体"/>
          <w:b/>
          <w:color w:val="auto"/>
          <w:sz w:val="21"/>
          <w:highlight w:val="none"/>
        </w:rPr>
      </w:pPr>
    </w:p>
    <w:p w14:paraId="2898DFEE">
      <w:pPr>
        <w:autoSpaceDE w:val="0"/>
        <w:autoSpaceDN w:val="0"/>
        <w:spacing w:line="420" w:lineRule="exact"/>
        <w:ind w:right="26" w:firstLine="422" w:firstLineChars="200"/>
        <w:rPr>
          <w:rFonts w:hint="eastAsia" w:ascii="宋体" w:hAnsi="宋体" w:eastAsia="宋体" w:cs="宋体"/>
          <w:b/>
          <w:color w:val="auto"/>
          <w:sz w:val="21"/>
          <w:highlight w:val="none"/>
        </w:rPr>
      </w:pPr>
    </w:p>
    <w:p w14:paraId="6D85C226">
      <w:pPr>
        <w:autoSpaceDE w:val="0"/>
        <w:autoSpaceDN w:val="0"/>
        <w:spacing w:line="420" w:lineRule="exact"/>
        <w:ind w:right="26" w:firstLine="422" w:firstLineChars="200"/>
        <w:rPr>
          <w:rFonts w:hint="eastAsia" w:ascii="宋体" w:hAnsi="宋体" w:eastAsia="宋体" w:cs="宋体"/>
          <w:b/>
          <w:color w:val="auto"/>
          <w:sz w:val="21"/>
          <w:highlight w:val="none"/>
        </w:rPr>
      </w:pPr>
    </w:p>
    <w:p w14:paraId="01D4CA7B">
      <w:pPr>
        <w:autoSpaceDE w:val="0"/>
        <w:autoSpaceDN w:val="0"/>
        <w:spacing w:line="420" w:lineRule="exact"/>
        <w:ind w:right="26" w:firstLine="422" w:firstLineChars="200"/>
        <w:rPr>
          <w:rFonts w:hint="eastAsia" w:ascii="宋体" w:hAnsi="宋体" w:eastAsia="宋体" w:cs="宋体"/>
          <w:b/>
          <w:color w:val="auto"/>
          <w:sz w:val="21"/>
          <w:highlight w:val="none"/>
        </w:rPr>
      </w:pPr>
    </w:p>
    <w:p w14:paraId="4FDFB8FF">
      <w:pPr>
        <w:autoSpaceDE w:val="0"/>
        <w:autoSpaceDN w:val="0"/>
        <w:spacing w:line="420" w:lineRule="exact"/>
        <w:ind w:right="26" w:firstLine="422" w:firstLineChars="200"/>
        <w:rPr>
          <w:rFonts w:hint="eastAsia" w:ascii="宋体" w:hAnsi="宋体" w:eastAsia="宋体" w:cs="宋体"/>
          <w:b/>
          <w:color w:val="auto"/>
          <w:sz w:val="21"/>
          <w:highlight w:val="none"/>
        </w:rPr>
      </w:pPr>
    </w:p>
    <w:p w14:paraId="4FCA629A">
      <w:pPr>
        <w:autoSpaceDE w:val="0"/>
        <w:autoSpaceDN w:val="0"/>
        <w:spacing w:line="420" w:lineRule="exact"/>
        <w:ind w:right="26" w:firstLine="422" w:firstLineChars="200"/>
        <w:rPr>
          <w:rFonts w:hint="eastAsia" w:ascii="宋体" w:hAnsi="宋体" w:eastAsia="宋体" w:cs="宋体"/>
          <w:b/>
          <w:color w:val="auto"/>
          <w:sz w:val="21"/>
          <w:highlight w:val="none"/>
        </w:rPr>
      </w:pPr>
    </w:p>
    <w:p w14:paraId="4BA81773">
      <w:pPr>
        <w:autoSpaceDE w:val="0"/>
        <w:autoSpaceDN w:val="0"/>
        <w:spacing w:line="420" w:lineRule="exact"/>
        <w:ind w:right="26" w:firstLine="422" w:firstLineChars="200"/>
        <w:rPr>
          <w:rFonts w:hint="eastAsia" w:ascii="宋体" w:hAnsi="宋体" w:eastAsia="宋体" w:cs="宋体"/>
          <w:b/>
          <w:color w:val="auto"/>
          <w:sz w:val="21"/>
          <w:highlight w:val="none"/>
        </w:rPr>
      </w:pPr>
    </w:p>
    <w:p w14:paraId="161CF332">
      <w:pPr>
        <w:autoSpaceDE w:val="0"/>
        <w:autoSpaceDN w:val="0"/>
        <w:spacing w:line="420" w:lineRule="exact"/>
        <w:ind w:right="26" w:firstLine="422" w:firstLineChars="200"/>
        <w:rPr>
          <w:rFonts w:hint="eastAsia" w:ascii="宋体" w:hAnsi="宋体" w:eastAsia="宋体" w:cs="宋体"/>
          <w:b/>
          <w:color w:val="auto"/>
          <w:sz w:val="21"/>
          <w:highlight w:val="none"/>
        </w:rPr>
      </w:pPr>
    </w:p>
    <w:p w14:paraId="1D07F2C8">
      <w:pPr>
        <w:autoSpaceDE w:val="0"/>
        <w:autoSpaceDN w:val="0"/>
        <w:spacing w:line="420" w:lineRule="exact"/>
        <w:ind w:right="26" w:firstLine="422" w:firstLineChars="200"/>
        <w:rPr>
          <w:rFonts w:hint="eastAsia" w:ascii="宋体" w:hAnsi="宋体" w:eastAsia="宋体" w:cs="宋体"/>
          <w:b/>
          <w:color w:val="auto"/>
          <w:sz w:val="21"/>
          <w:highlight w:val="none"/>
        </w:rPr>
      </w:pPr>
    </w:p>
    <w:p w14:paraId="08FD4B46">
      <w:pPr>
        <w:pStyle w:val="12"/>
        <w:ind w:firstLine="0" w:firstLineChars="0"/>
        <w:rPr>
          <w:rFonts w:hint="eastAsia" w:ascii="宋体" w:hAnsi="宋体" w:eastAsia="宋体" w:cs="宋体"/>
          <w:color w:val="auto"/>
          <w:highlight w:val="none"/>
        </w:rPr>
      </w:pPr>
    </w:p>
    <w:p w14:paraId="4A37D79C">
      <w:pPr>
        <w:topLinePunct/>
        <w:snapToGrid w:val="0"/>
        <w:spacing w:line="420" w:lineRule="exact"/>
        <w:ind w:firstLine="643" w:firstLineChars="200"/>
        <w:rPr>
          <w:rFonts w:hint="eastAsia" w:ascii="宋体" w:hAnsi="宋体" w:eastAsia="宋体" w:cs="宋体"/>
          <w:color w:val="auto"/>
          <w:sz w:val="22"/>
          <w:szCs w:val="22"/>
          <w:highlight w:val="none"/>
        </w:rPr>
      </w:pPr>
      <w:r>
        <w:rPr>
          <w:rFonts w:hint="eastAsia" w:ascii="宋体" w:hAnsi="宋体" w:eastAsia="宋体" w:cs="宋体"/>
          <w:b/>
          <w:bCs/>
          <w:color w:val="auto"/>
          <w:kern w:val="2"/>
          <w:sz w:val="32"/>
          <w:szCs w:val="32"/>
          <w:highlight w:val="none"/>
          <w:lang w:eastAsia="zh-CN"/>
        </w:rPr>
        <w:br w:type="page"/>
      </w:r>
    </w:p>
    <w:p w14:paraId="53E11ED3">
      <w:pPr>
        <w:pStyle w:val="113"/>
        <w:jc w:val="center"/>
        <w:outlineLvl w:val="2"/>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四</w:t>
      </w:r>
      <w:r>
        <w:rPr>
          <w:rFonts w:hint="eastAsia" w:ascii="宋体" w:hAnsi="宋体" w:eastAsia="宋体" w:cs="宋体"/>
          <w:b/>
          <w:bCs/>
          <w:color w:val="auto"/>
          <w:kern w:val="2"/>
          <w:sz w:val="32"/>
          <w:szCs w:val="32"/>
          <w:highlight w:val="none"/>
          <w:lang w:eastAsia="zh-CN"/>
        </w:rPr>
        <w:t>、</w:t>
      </w:r>
      <w:r>
        <w:rPr>
          <w:rFonts w:hint="eastAsia" w:ascii="宋体" w:hAnsi="宋体" w:eastAsia="宋体" w:cs="宋体"/>
          <w:b/>
          <w:bCs/>
          <w:color w:val="auto"/>
          <w:kern w:val="2"/>
          <w:sz w:val="32"/>
          <w:szCs w:val="32"/>
          <w:highlight w:val="none"/>
          <w:lang w:val="en-US" w:eastAsia="zh-CN"/>
        </w:rPr>
        <w:t>使用绿色包装承诺书</w:t>
      </w:r>
    </w:p>
    <w:p w14:paraId="1CAA7BB8">
      <w:pPr>
        <w:pStyle w:val="17"/>
        <w:rPr>
          <w:rFonts w:hint="eastAsia" w:ascii="宋体" w:hAnsi="宋体" w:eastAsia="宋体" w:cs="宋体"/>
          <w:b/>
          <w:color w:val="auto"/>
          <w:sz w:val="20"/>
          <w:highlight w:val="none"/>
        </w:rPr>
      </w:pPr>
    </w:p>
    <w:p w14:paraId="080CAB2D">
      <w:pPr>
        <w:pStyle w:val="17"/>
        <w:spacing w:before="3"/>
        <w:rPr>
          <w:rFonts w:hint="eastAsia" w:ascii="宋体" w:hAnsi="宋体" w:eastAsia="宋体" w:cs="宋体"/>
          <w:b/>
          <w:color w:val="auto"/>
          <w:sz w:val="17"/>
          <w:highlight w:val="none"/>
        </w:rPr>
      </w:pPr>
    </w:p>
    <w:p w14:paraId="0BC41EB4">
      <w:pPr>
        <w:pStyle w:val="17"/>
        <w:ind w:left="88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我方承诺：</w:t>
      </w:r>
    </w:p>
    <w:p w14:paraId="41F3AA34">
      <w:pPr>
        <w:pStyle w:val="17"/>
        <w:rPr>
          <w:rFonts w:hint="eastAsia" w:ascii="宋体" w:hAnsi="宋体" w:eastAsia="宋体" w:cs="宋体"/>
          <w:bCs/>
          <w:color w:val="auto"/>
          <w:kern w:val="2"/>
          <w:sz w:val="21"/>
          <w:szCs w:val="21"/>
          <w:highlight w:val="none"/>
          <w:lang w:val="en-US" w:eastAsia="zh-CN" w:bidi="ar-SA"/>
        </w:rPr>
      </w:pPr>
    </w:p>
    <w:p w14:paraId="4C6C4121">
      <w:pPr>
        <w:pStyle w:val="17"/>
        <w:spacing w:before="128" w:line="583" w:lineRule="auto"/>
        <w:ind w:left="460" w:right="299" w:firstLine="42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根据关于印发《商品包装政府采购需求标准（试行）》、 《快递包装政府采购需求标准（试行）》的通知（财办库〔2020〕123 号）在政府采购货物、工程和服务项目中涉及商品包装和快递包装的，参考包装需求标准，我方保证做到按照要求使用绿色包装。</w:t>
      </w:r>
    </w:p>
    <w:p w14:paraId="36DCCB9A">
      <w:pPr>
        <w:pStyle w:val="17"/>
        <w:spacing w:line="266" w:lineRule="exact"/>
        <w:ind w:left="88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特此承诺！</w:t>
      </w:r>
    </w:p>
    <w:p w14:paraId="657F4054">
      <w:pPr>
        <w:pStyle w:val="17"/>
        <w:rPr>
          <w:rFonts w:hint="eastAsia" w:ascii="宋体" w:hAnsi="宋体" w:eastAsia="宋体" w:cs="宋体"/>
          <w:color w:val="auto"/>
          <w:sz w:val="21"/>
          <w:szCs w:val="21"/>
          <w:highlight w:val="none"/>
        </w:rPr>
      </w:pPr>
    </w:p>
    <w:p w14:paraId="2CD2A6EB">
      <w:pPr>
        <w:pStyle w:val="17"/>
        <w:rPr>
          <w:rFonts w:hint="eastAsia" w:ascii="宋体" w:hAnsi="宋体" w:eastAsia="宋体" w:cs="宋体"/>
          <w:color w:val="auto"/>
          <w:sz w:val="21"/>
          <w:szCs w:val="21"/>
          <w:highlight w:val="none"/>
        </w:rPr>
      </w:pPr>
    </w:p>
    <w:p w14:paraId="289CBFAD">
      <w:pPr>
        <w:keepNext w:val="0"/>
        <w:keepLines w:val="0"/>
        <w:pageBreakBefore w:val="0"/>
        <w:widowControl w:val="0"/>
        <w:kinsoku/>
        <w:wordWrap/>
        <w:overflowPunct/>
        <w:topLinePunct w:val="0"/>
        <w:autoSpaceDE/>
        <w:autoSpaceDN/>
        <w:bidi w:val="0"/>
        <w:adjustRightInd/>
        <w:snapToGrid/>
        <w:spacing w:line="420" w:lineRule="exact"/>
        <w:ind w:firstLine="1050" w:firstLineChars="500"/>
        <w:textAlignment w:val="auto"/>
        <w:rPr>
          <w:rFonts w:hint="eastAsia" w:ascii="宋体" w:hAnsi="宋体" w:eastAsia="宋体" w:cs="宋体"/>
          <w:bCs/>
          <w:color w:val="auto"/>
          <w:sz w:val="21"/>
          <w:szCs w:val="21"/>
          <w:highlight w:val="none"/>
        </w:rPr>
      </w:pPr>
    </w:p>
    <w:p w14:paraId="4A5708AF">
      <w:pPr>
        <w:keepNext w:val="0"/>
        <w:keepLines w:val="0"/>
        <w:pageBreakBefore w:val="0"/>
        <w:widowControl w:val="0"/>
        <w:kinsoku/>
        <w:wordWrap/>
        <w:overflowPunct/>
        <w:topLinePunct w:val="0"/>
        <w:autoSpaceDE/>
        <w:autoSpaceDN/>
        <w:bidi w:val="0"/>
        <w:adjustRightInd/>
        <w:snapToGrid/>
        <w:spacing w:line="420" w:lineRule="exact"/>
        <w:ind w:firstLine="1050" w:firstLineChars="500"/>
        <w:textAlignment w:val="auto"/>
        <w:rPr>
          <w:rFonts w:hint="eastAsia" w:ascii="宋体" w:hAnsi="宋体" w:eastAsia="宋体" w:cs="宋体"/>
          <w:bCs/>
          <w:color w:val="auto"/>
          <w:sz w:val="21"/>
          <w:szCs w:val="21"/>
          <w:highlight w:val="none"/>
        </w:rPr>
      </w:pPr>
    </w:p>
    <w:p w14:paraId="643753A0">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093F7DA2">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6A0AD54D">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868579C">
      <w:pPr>
        <w:keepNext w:val="0"/>
        <w:keepLines w:val="0"/>
        <w:pageBreakBefore w:val="0"/>
        <w:widowControl w:val="0"/>
        <w:kinsoku/>
        <w:wordWrap/>
        <w:overflowPunct/>
        <w:topLinePunct w:val="0"/>
        <w:autoSpaceDE/>
        <w:autoSpaceDN/>
        <w:bidi w:val="0"/>
        <w:adjustRightInd/>
        <w:snapToGrid/>
        <w:spacing w:line="420" w:lineRule="exact"/>
        <w:ind w:firstLine="720" w:firstLineChars="400"/>
        <w:textAlignment w:val="auto"/>
        <w:rPr>
          <w:rFonts w:hint="eastAsia" w:ascii="宋体" w:hAnsi="宋体" w:eastAsia="宋体" w:cs="宋体"/>
          <w:color w:val="auto"/>
          <w:sz w:val="18"/>
          <w:highlight w:val="none"/>
        </w:rPr>
      </w:pPr>
    </w:p>
    <w:p w14:paraId="40AB6B5A">
      <w:pPr>
        <w:pStyle w:val="17"/>
        <w:keepNext w:val="0"/>
        <w:keepLines w:val="0"/>
        <w:pageBreakBefore w:val="0"/>
        <w:widowControl w:val="0"/>
        <w:kinsoku/>
        <w:wordWrap/>
        <w:overflowPunct/>
        <w:topLinePunct w:val="0"/>
        <w:autoSpaceDE/>
        <w:autoSpaceDN/>
        <w:bidi w:val="0"/>
        <w:adjustRightInd/>
        <w:snapToGrid/>
        <w:spacing w:before="8"/>
        <w:ind w:firstLine="1000" w:firstLineChars="400"/>
        <w:textAlignment w:val="auto"/>
        <w:rPr>
          <w:rFonts w:hint="eastAsia" w:ascii="宋体" w:hAnsi="宋体" w:eastAsia="宋体" w:cs="宋体"/>
          <w:color w:val="auto"/>
          <w:sz w:val="25"/>
          <w:highlight w:val="none"/>
        </w:rPr>
      </w:pPr>
    </w:p>
    <w:p w14:paraId="49750B87">
      <w:pPr>
        <w:pStyle w:val="17"/>
        <w:tabs>
          <w:tab w:val="left" w:pos="2768"/>
          <w:tab w:val="left" w:pos="3505"/>
          <w:tab w:val="left" w:pos="4345"/>
          <w:tab w:val="left" w:pos="5394"/>
        </w:tabs>
        <w:spacing w:line="583" w:lineRule="auto"/>
        <w:ind w:left="880" w:right="3279"/>
        <w:rPr>
          <w:rFonts w:hint="eastAsia" w:ascii="宋体" w:hAnsi="宋体" w:eastAsia="宋体" w:cs="宋体"/>
          <w:color w:val="auto"/>
          <w:highlight w:val="none"/>
        </w:rPr>
      </w:pPr>
    </w:p>
    <w:p w14:paraId="7E1AF977">
      <w:pPr>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br w:type="page"/>
      </w:r>
    </w:p>
    <w:p w14:paraId="1D8AFB0D">
      <w:pPr>
        <w:pStyle w:val="113"/>
        <w:jc w:val="center"/>
        <w:outlineLvl w:val="2"/>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五</w:t>
      </w:r>
      <w:r>
        <w:rPr>
          <w:rFonts w:hint="eastAsia" w:ascii="宋体" w:hAnsi="宋体" w:eastAsia="宋体" w:cs="宋体"/>
          <w:b/>
          <w:bCs/>
          <w:color w:val="auto"/>
          <w:kern w:val="2"/>
          <w:sz w:val="32"/>
          <w:szCs w:val="32"/>
          <w:highlight w:val="none"/>
          <w:lang w:eastAsia="zh-CN"/>
        </w:rPr>
        <w:t>、</w:t>
      </w:r>
      <w:r>
        <w:rPr>
          <w:rFonts w:hint="eastAsia" w:ascii="宋体" w:hAnsi="宋体" w:eastAsia="宋体" w:cs="宋体"/>
          <w:b/>
          <w:bCs/>
          <w:color w:val="auto"/>
          <w:kern w:val="2"/>
          <w:sz w:val="32"/>
          <w:szCs w:val="32"/>
          <w:highlight w:val="none"/>
          <w:lang w:val="en-US" w:eastAsia="zh-CN"/>
        </w:rPr>
        <w:t>服务承诺</w:t>
      </w:r>
    </w:p>
    <w:p w14:paraId="5732FD62">
      <w:pPr>
        <w:spacing w:line="420" w:lineRule="exact"/>
        <w:ind w:firstLine="420" w:firstLineChars="200"/>
        <w:rPr>
          <w:rFonts w:hint="eastAsia" w:ascii="宋体" w:hAnsi="宋体" w:eastAsia="宋体" w:cs="宋体"/>
          <w:bCs/>
          <w:color w:val="auto"/>
          <w:sz w:val="21"/>
          <w:highlight w:val="none"/>
          <w:u w:val="single"/>
        </w:rPr>
      </w:pPr>
    </w:p>
    <w:p w14:paraId="7EC0939B">
      <w:pP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 xml:space="preserve">致：（采购人）                     </w:t>
      </w:r>
    </w:p>
    <w:p w14:paraId="2F3976F6">
      <w:pP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我方保证按以下承诺内容认真履行，如未履行，我方愿意承担违约责任：</w:t>
      </w:r>
    </w:p>
    <w:p w14:paraId="2941D74A">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761394C">
      <w:pPr>
        <w:spacing w:line="420" w:lineRule="exact"/>
        <w:ind w:left="493" w:leftChars="176" w:firstLine="420" w:firstLineChars="200"/>
        <w:rPr>
          <w:rFonts w:hint="eastAsia" w:ascii="宋体" w:hAnsi="宋体" w:eastAsia="宋体" w:cs="宋体"/>
          <w:color w:val="auto"/>
          <w:sz w:val="21"/>
          <w:szCs w:val="21"/>
          <w:highlight w:val="none"/>
        </w:rPr>
      </w:pPr>
    </w:p>
    <w:p w14:paraId="61C1AE59">
      <w:pPr>
        <w:spacing w:line="420" w:lineRule="exact"/>
        <w:rPr>
          <w:rFonts w:hint="eastAsia" w:ascii="宋体" w:hAnsi="宋体" w:eastAsia="宋体" w:cs="宋体"/>
          <w:color w:val="auto"/>
          <w:sz w:val="21"/>
          <w:szCs w:val="21"/>
          <w:highlight w:val="none"/>
        </w:rPr>
      </w:pPr>
    </w:p>
    <w:p w14:paraId="2A77808C">
      <w:pPr>
        <w:spacing w:line="420" w:lineRule="exact"/>
        <w:rPr>
          <w:rFonts w:hint="eastAsia" w:ascii="宋体" w:hAnsi="宋体" w:eastAsia="宋体" w:cs="宋体"/>
          <w:color w:val="auto"/>
          <w:sz w:val="21"/>
          <w:szCs w:val="21"/>
          <w:highlight w:val="none"/>
        </w:rPr>
      </w:pPr>
    </w:p>
    <w:p w14:paraId="5CDA9479">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6D9412F4">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7C17549C">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D893A1D">
      <w:pPr>
        <w:spacing w:after="0" w:line="583" w:lineRule="auto"/>
        <w:rPr>
          <w:rFonts w:hint="eastAsia" w:ascii="宋体" w:hAnsi="宋体" w:eastAsia="宋体" w:cs="宋体"/>
          <w:color w:val="auto"/>
          <w:sz w:val="21"/>
          <w:szCs w:val="21"/>
          <w:highlight w:val="none"/>
        </w:rPr>
        <w:sectPr>
          <w:pgSz w:w="11910" w:h="16840"/>
          <w:pgMar w:top="1020" w:right="780" w:bottom="820" w:left="980" w:header="0" w:footer="624" w:gutter="0"/>
          <w:pgNumType w:fmt="decimal"/>
          <w:cols w:space="720" w:num="1"/>
        </w:sectPr>
      </w:pPr>
    </w:p>
    <w:p w14:paraId="6C52318B">
      <w:pPr>
        <w:widowControl/>
        <w:jc w:val="center"/>
        <w:outlineLvl w:val="1"/>
        <w:rPr>
          <w:rFonts w:hint="eastAsia" w:ascii="宋体" w:hAnsi="宋体" w:eastAsia="宋体" w:cs="宋体"/>
          <w:b/>
          <w:bCs/>
          <w:color w:val="auto"/>
          <w:kern w:val="0"/>
          <w:sz w:val="36"/>
          <w:szCs w:val="36"/>
          <w:highlight w:val="none"/>
          <w:lang w:bidi="ar"/>
        </w:rPr>
      </w:pPr>
      <w:r>
        <w:rPr>
          <w:rFonts w:hint="eastAsia" w:ascii="宋体" w:hAnsi="宋体" w:eastAsia="宋体" w:cs="宋体"/>
          <w:b/>
          <w:bCs/>
          <w:color w:val="auto"/>
          <w:kern w:val="0"/>
          <w:sz w:val="36"/>
          <w:szCs w:val="36"/>
          <w:highlight w:val="none"/>
          <w:lang w:bidi="ar"/>
        </w:rPr>
        <w:t>第三部分 技术标文件</w:t>
      </w:r>
    </w:p>
    <w:p w14:paraId="7C4411A0">
      <w:pPr>
        <w:pStyle w:val="121"/>
        <w:spacing w:line="420" w:lineRule="exact"/>
        <w:ind w:firstLine="0" w:firstLineChars="0"/>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t>一、开标一览表</w:t>
      </w:r>
    </w:p>
    <w:p w14:paraId="6E6BC0B8">
      <w:pPr>
        <w:pStyle w:val="2"/>
        <w:rPr>
          <w:rFonts w:hint="eastAsia" w:ascii="宋体" w:hAnsi="宋体" w:eastAsia="宋体" w:cs="宋体"/>
          <w:color w:val="auto"/>
          <w:highlight w:val="none"/>
        </w:rPr>
      </w:pPr>
    </w:p>
    <w:tbl>
      <w:tblPr>
        <w:tblStyle w:val="39"/>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0" w:type="dxa"/>
          <w:bottom w:w="0" w:type="dxa"/>
          <w:right w:w="0" w:type="dxa"/>
        </w:tblCellMar>
      </w:tblPr>
      <w:tblGrid>
        <w:gridCol w:w="4064"/>
        <w:gridCol w:w="4515"/>
      </w:tblGrid>
      <w:tr w14:paraId="125F26E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1161" w:hRule="atLeast"/>
          <w:jc w:val="center"/>
        </w:trPr>
        <w:tc>
          <w:tcPr>
            <w:tcW w:w="4064" w:type="dxa"/>
            <w:tcBorders>
              <w:top w:val="single" w:color="auto" w:sz="4" w:space="0"/>
              <w:left w:val="single" w:color="auto" w:sz="4" w:space="0"/>
              <w:bottom w:val="single" w:color="auto" w:sz="4" w:space="0"/>
              <w:right w:val="single" w:color="auto" w:sz="4" w:space="0"/>
            </w:tcBorders>
            <w:vAlign w:val="center"/>
          </w:tcPr>
          <w:p w14:paraId="53C3A687">
            <w:pPr>
              <w:widowControl/>
              <w:spacing w:line="3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标题 </w:t>
            </w:r>
          </w:p>
        </w:tc>
        <w:tc>
          <w:tcPr>
            <w:tcW w:w="4515" w:type="dxa"/>
            <w:tcBorders>
              <w:top w:val="single" w:color="auto" w:sz="4" w:space="0"/>
              <w:left w:val="single" w:color="auto" w:sz="4" w:space="0"/>
              <w:bottom w:val="single" w:color="auto" w:sz="4" w:space="0"/>
              <w:right w:val="single" w:color="auto" w:sz="4" w:space="0"/>
            </w:tcBorders>
            <w:vAlign w:val="center"/>
          </w:tcPr>
          <w:p w14:paraId="4F8118A4">
            <w:pPr>
              <w:widowControl/>
              <w:spacing w:line="3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内容 </w:t>
            </w:r>
          </w:p>
        </w:tc>
      </w:tr>
      <w:tr w14:paraId="442AA0A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064" w:type="dxa"/>
            <w:tcBorders>
              <w:top w:val="single" w:color="auto" w:sz="4" w:space="0"/>
              <w:left w:val="single" w:color="auto" w:sz="4" w:space="0"/>
              <w:bottom w:val="single" w:color="auto" w:sz="4" w:space="0"/>
              <w:right w:val="single" w:color="auto" w:sz="4" w:space="0"/>
            </w:tcBorders>
            <w:vAlign w:val="center"/>
          </w:tcPr>
          <w:p w14:paraId="4A4B41DB">
            <w:pPr>
              <w:widowControl/>
              <w:spacing w:line="39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投标单位名称： </w:t>
            </w:r>
          </w:p>
        </w:tc>
        <w:tc>
          <w:tcPr>
            <w:tcW w:w="4515" w:type="dxa"/>
            <w:tcBorders>
              <w:top w:val="single" w:color="auto" w:sz="4" w:space="0"/>
              <w:left w:val="single" w:color="auto" w:sz="4" w:space="0"/>
              <w:bottom w:val="single" w:color="auto" w:sz="4" w:space="0"/>
              <w:right w:val="single" w:color="auto" w:sz="4" w:space="0"/>
            </w:tcBorders>
            <w:vAlign w:val="center"/>
          </w:tcPr>
          <w:p w14:paraId="403951FB">
            <w:pPr>
              <w:widowControl/>
              <w:spacing w:line="390" w:lineRule="atLeast"/>
              <w:jc w:val="left"/>
              <w:rPr>
                <w:rFonts w:hint="eastAsia" w:ascii="宋体" w:hAnsi="宋体" w:eastAsia="宋体" w:cs="宋体"/>
                <w:color w:val="auto"/>
                <w:sz w:val="21"/>
                <w:szCs w:val="21"/>
                <w:highlight w:val="none"/>
              </w:rPr>
            </w:pPr>
          </w:p>
        </w:tc>
      </w:tr>
      <w:tr w14:paraId="00C2F4C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064" w:type="dxa"/>
            <w:tcBorders>
              <w:top w:val="single" w:color="auto" w:sz="4" w:space="0"/>
              <w:left w:val="single" w:color="auto" w:sz="4" w:space="0"/>
              <w:bottom w:val="single" w:color="auto" w:sz="4" w:space="0"/>
              <w:right w:val="single" w:color="auto" w:sz="4" w:space="0"/>
            </w:tcBorders>
            <w:vAlign w:val="center"/>
          </w:tcPr>
          <w:p w14:paraId="3888AEE8">
            <w:pPr>
              <w:widowControl/>
              <w:spacing w:line="39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项目名称： </w:t>
            </w:r>
          </w:p>
        </w:tc>
        <w:tc>
          <w:tcPr>
            <w:tcW w:w="4515" w:type="dxa"/>
            <w:tcBorders>
              <w:top w:val="single" w:color="auto" w:sz="4" w:space="0"/>
              <w:left w:val="single" w:color="auto" w:sz="4" w:space="0"/>
              <w:bottom w:val="single" w:color="auto" w:sz="4" w:space="0"/>
              <w:right w:val="single" w:color="auto" w:sz="4" w:space="0"/>
            </w:tcBorders>
            <w:vAlign w:val="center"/>
          </w:tcPr>
          <w:p w14:paraId="5780FC64">
            <w:pPr>
              <w:widowControl/>
              <w:spacing w:line="39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项目名称</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标段</w:t>
            </w:r>
            <w:r>
              <w:rPr>
                <w:rFonts w:hint="eastAsia" w:ascii="宋体" w:hAnsi="宋体" w:eastAsia="宋体" w:cs="宋体"/>
                <w:color w:val="auto"/>
                <w:sz w:val="21"/>
                <w:szCs w:val="21"/>
                <w:highlight w:val="none"/>
                <w:lang w:eastAsia="zh-CN" w:bidi="ar"/>
              </w:rPr>
              <w:t>）</w:t>
            </w:r>
          </w:p>
        </w:tc>
      </w:tr>
      <w:tr w14:paraId="1681B75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064" w:type="dxa"/>
            <w:tcBorders>
              <w:top w:val="single" w:color="auto" w:sz="4" w:space="0"/>
              <w:left w:val="single" w:color="auto" w:sz="4" w:space="0"/>
              <w:bottom w:val="single" w:color="auto" w:sz="4" w:space="0"/>
              <w:right w:val="single" w:color="auto" w:sz="4" w:space="0"/>
            </w:tcBorders>
            <w:vAlign w:val="center"/>
          </w:tcPr>
          <w:p w14:paraId="24FCFA25">
            <w:pPr>
              <w:widowControl/>
              <w:spacing w:line="39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分包编号： </w:t>
            </w:r>
          </w:p>
        </w:tc>
        <w:tc>
          <w:tcPr>
            <w:tcW w:w="4515" w:type="dxa"/>
            <w:tcBorders>
              <w:top w:val="single" w:color="auto" w:sz="4" w:space="0"/>
              <w:left w:val="single" w:color="auto" w:sz="4" w:space="0"/>
              <w:bottom w:val="single" w:color="auto" w:sz="4" w:space="0"/>
              <w:right w:val="single" w:color="auto" w:sz="4" w:space="0"/>
            </w:tcBorders>
            <w:vAlign w:val="center"/>
          </w:tcPr>
          <w:p w14:paraId="191171FD">
            <w:pPr>
              <w:widowControl/>
              <w:spacing w:line="390" w:lineRule="atLeast"/>
              <w:jc w:val="left"/>
              <w:rPr>
                <w:rFonts w:hint="eastAsia" w:ascii="宋体" w:hAnsi="宋体" w:eastAsia="宋体" w:cs="宋体"/>
                <w:color w:val="auto"/>
                <w:sz w:val="21"/>
                <w:szCs w:val="21"/>
                <w:highlight w:val="none"/>
              </w:rPr>
            </w:pPr>
          </w:p>
        </w:tc>
      </w:tr>
      <w:tr w14:paraId="2BA7918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064" w:type="dxa"/>
            <w:tcBorders>
              <w:top w:val="single" w:color="auto" w:sz="4" w:space="0"/>
              <w:left w:val="single" w:color="auto" w:sz="4" w:space="0"/>
              <w:bottom w:val="single" w:color="auto" w:sz="4" w:space="0"/>
              <w:right w:val="single" w:color="auto" w:sz="4" w:space="0"/>
            </w:tcBorders>
            <w:vAlign w:val="center"/>
          </w:tcPr>
          <w:p w14:paraId="14395FF9">
            <w:pPr>
              <w:widowControl/>
              <w:spacing w:line="39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报价金额（小写）： </w:t>
            </w:r>
          </w:p>
        </w:tc>
        <w:tc>
          <w:tcPr>
            <w:tcW w:w="4515" w:type="dxa"/>
            <w:tcBorders>
              <w:top w:val="single" w:color="auto" w:sz="4" w:space="0"/>
              <w:left w:val="single" w:color="auto" w:sz="4" w:space="0"/>
              <w:bottom w:val="single" w:color="auto" w:sz="4" w:space="0"/>
              <w:right w:val="single" w:color="auto" w:sz="4" w:space="0"/>
            </w:tcBorders>
            <w:vAlign w:val="center"/>
          </w:tcPr>
          <w:p w14:paraId="4B344271">
            <w:pPr>
              <w:widowControl/>
              <w:spacing w:line="390" w:lineRule="atLeast"/>
              <w:ind w:firstLine="420" w:firstLineChars="200"/>
              <w:jc w:val="left"/>
              <w:rPr>
                <w:rFonts w:hint="eastAsia" w:ascii="宋体" w:hAnsi="宋体" w:eastAsia="宋体" w:cs="宋体"/>
                <w:color w:val="auto"/>
                <w:sz w:val="21"/>
                <w:szCs w:val="21"/>
                <w:highlight w:val="none"/>
              </w:rPr>
            </w:pPr>
          </w:p>
        </w:tc>
      </w:tr>
      <w:tr w14:paraId="751F7C7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064" w:type="dxa"/>
            <w:tcBorders>
              <w:top w:val="single" w:color="auto" w:sz="4" w:space="0"/>
              <w:left w:val="single" w:color="auto" w:sz="4" w:space="0"/>
              <w:bottom w:val="single" w:color="auto" w:sz="4" w:space="0"/>
              <w:right w:val="single" w:color="auto" w:sz="4" w:space="0"/>
            </w:tcBorders>
            <w:vAlign w:val="center"/>
          </w:tcPr>
          <w:p w14:paraId="73E0D1FF">
            <w:pPr>
              <w:widowControl/>
              <w:spacing w:line="39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报价金额（大写）： </w:t>
            </w:r>
          </w:p>
        </w:tc>
        <w:tc>
          <w:tcPr>
            <w:tcW w:w="4515" w:type="dxa"/>
            <w:tcBorders>
              <w:top w:val="single" w:color="auto" w:sz="4" w:space="0"/>
              <w:left w:val="single" w:color="auto" w:sz="4" w:space="0"/>
              <w:bottom w:val="single" w:color="auto" w:sz="4" w:space="0"/>
              <w:right w:val="single" w:color="auto" w:sz="4" w:space="0"/>
            </w:tcBorders>
            <w:vAlign w:val="center"/>
          </w:tcPr>
          <w:p w14:paraId="0F8304D7">
            <w:pPr>
              <w:widowControl/>
              <w:spacing w:line="390" w:lineRule="atLeast"/>
              <w:jc w:val="left"/>
              <w:rPr>
                <w:rFonts w:hint="eastAsia" w:ascii="宋体" w:hAnsi="宋体" w:eastAsia="宋体" w:cs="宋体"/>
                <w:color w:val="auto"/>
                <w:sz w:val="21"/>
                <w:szCs w:val="21"/>
                <w:highlight w:val="none"/>
              </w:rPr>
            </w:pPr>
          </w:p>
        </w:tc>
      </w:tr>
      <w:tr w14:paraId="032BC72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4064" w:type="dxa"/>
            <w:tcBorders>
              <w:top w:val="single" w:color="auto" w:sz="4" w:space="0"/>
              <w:left w:val="single" w:color="auto" w:sz="4" w:space="0"/>
              <w:bottom w:val="single" w:color="auto" w:sz="4" w:space="0"/>
              <w:right w:val="single" w:color="auto" w:sz="4" w:space="0"/>
            </w:tcBorders>
            <w:vAlign w:val="center"/>
          </w:tcPr>
          <w:p w14:paraId="534D671F">
            <w:pPr>
              <w:widowControl/>
              <w:spacing w:line="39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交货及完工期： </w:t>
            </w:r>
          </w:p>
        </w:tc>
        <w:tc>
          <w:tcPr>
            <w:tcW w:w="4515" w:type="dxa"/>
            <w:tcBorders>
              <w:top w:val="single" w:color="auto" w:sz="4" w:space="0"/>
              <w:left w:val="single" w:color="auto" w:sz="4" w:space="0"/>
              <w:bottom w:val="single" w:color="auto" w:sz="4" w:space="0"/>
              <w:right w:val="single" w:color="auto" w:sz="4" w:space="0"/>
            </w:tcBorders>
            <w:vAlign w:val="center"/>
          </w:tcPr>
          <w:p w14:paraId="7D81B1B1">
            <w:pPr>
              <w:widowControl/>
              <w:spacing w:line="390" w:lineRule="atLeast"/>
              <w:jc w:val="left"/>
              <w:rPr>
                <w:rFonts w:hint="eastAsia" w:ascii="宋体" w:hAnsi="宋体" w:eastAsia="宋体" w:cs="宋体"/>
                <w:color w:val="auto"/>
                <w:sz w:val="21"/>
                <w:szCs w:val="21"/>
                <w:highlight w:val="none"/>
              </w:rPr>
            </w:pPr>
          </w:p>
        </w:tc>
      </w:tr>
    </w:tbl>
    <w:p w14:paraId="07E69A03">
      <w:pPr>
        <w:spacing w:line="420" w:lineRule="exact"/>
        <w:rPr>
          <w:rFonts w:hint="eastAsia" w:ascii="宋体" w:hAnsi="宋体" w:eastAsia="宋体" w:cs="宋体"/>
          <w:b/>
          <w:color w:val="auto"/>
          <w:sz w:val="21"/>
          <w:szCs w:val="21"/>
          <w:highlight w:val="none"/>
        </w:rPr>
      </w:pPr>
    </w:p>
    <w:p w14:paraId="447AC6DB">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250FDF65">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27D6AA81">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23A25CA">
      <w:pPr>
        <w:autoSpaceDE w:val="0"/>
        <w:autoSpaceDN w:val="0"/>
        <w:spacing w:line="420" w:lineRule="exact"/>
        <w:ind w:right="26" w:firstLine="422" w:firstLineChars="200"/>
        <w:rPr>
          <w:rFonts w:hint="eastAsia" w:ascii="宋体" w:hAnsi="宋体" w:eastAsia="宋体" w:cs="宋体"/>
          <w:b/>
          <w:color w:val="auto"/>
          <w:sz w:val="21"/>
          <w:szCs w:val="21"/>
          <w:highlight w:val="none"/>
        </w:rPr>
      </w:pPr>
    </w:p>
    <w:p w14:paraId="525C5B84">
      <w:pPr>
        <w:pStyle w:val="113"/>
        <w:rPr>
          <w:rFonts w:hint="eastAsia" w:ascii="宋体" w:hAnsi="宋体" w:eastAsia="宋体" w:cs="宋体"/>
          <w:color w:val="auto"/>
          <w:sz w:val="21"/>
          <w:szCs w:val="21"/>
          <w:highlight w:val="none"/>
          <w:lang w:eastAsia="zh-CN"/>
        </w:rPr>
      </w:pPr>
    </w:p>
    <w:p w14:paraId="5DD36ECE">
      <w:pPr>
        <w:pStyle w:val="113"/>
        <w:rPr>
          <w:rFonts w:hint="eastAsia" w:ascii="宋体" w:hAnsi="宋体" w:eastAsia="宋体" w:cs="宋体"/>
          <w:b/>
          <w:bCs/>
          <w:color w:val="auto"/>
          <w:sz w:val="21"/>
          <w:szCs w:val="21"/>
          <w:highlight w:val="none"/>
          <w:lang w:eastAsia="zh-CN"/>
        </w:rPr>
      </w:pPr>
    </w:p>
    <w:p w14:paraId="4B3BD13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填</w:t>
      </w:r>
      <w:r>
        <w:rPr>
          <w:rFonts w:hint="eastAsia" w:ascii="宋体" w:hAnsi="宋体" w:eastAsia="宋体" w:cs="宋体"/>
          <w:color w:val="auto"/>
          <w:spacing w:val="6"/>
          <w:sz w:val="21"/>
          <w:szCs w:val="21"/>
          <w:highlight w:val="none"/>
        </w:rPr>
        <w:t>写说明：</w:t>
      </w:r>
    </w:p>
    <w:p w14:paraId="02DA1728">
      <w:pPr>
        <w:spacing w:line="440" w:lineRule="exact"/>
        <w:ind w:firstLine="422"/>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开标一</w:t>
      </w:r>
      <w:r>
        <w:rPr>
          <w:rFonts w:hint="eastAsia" w:ascii="宋体" w:hAnsi="宋体" w:eastAsia="宋体" w:cs="宋体"/>
          <w:color w:val="auto"/>
          <w:spacing w:val="14"/>
          <w:sz w:val="21"/>
          <w:szCs w:val="21"/>
          <w:highlight w:val="none"/>
        </w:rPr>
        <w:t>览</w:t>
      </w:r>
      <w:r>
        <w:rPr>
          <w:rFonts w:hint="eastAsia" w:ascii="宋体" w:hAnsi="宋体" w:eastAsia="宋体" w:cs="宋体"/>
          <w:color w:val="auto"/>
          <w:spacing w:val="9"/>
          <w:sz w:val="21"/>
          <w:szCs w:val="21"/>
          <w:highlight w:val="none"/>
        </w:rPr>
        <w:t>表中的“投标总价”应包括招标文件所规定的招标范围的全部内容，包括货物(服务)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价格 、培训、运费 、验收、安装 、调试</w:t>
      </w:r>
      <w:r>
        <w:rPr>
          <w:rFonts w:hint="eastAsia" w:ascii="宋体" w:hAnsi="宋体" w:eastAsia="宋体" w:cs="宋体"/>
          <w:color w:val="auto"/>
          <w:spacing w:val="1"/>
          <w:sz w:val="21"/>
          <w:szCs w:val="21"/>
          <w:highlight w:val="none"/>
        </w:rPr>
        <w:t>、维护 、税金等相关所有费用；</w:t>
      </w:r>
    </w:p>
    <w:p w14:paraId="1E7A4C4B">
      <w:pPr>
        <w:pStyle w:val="121"/>
        <w:spacing w:line="420" w:lineRule="exact"/>
        <w:ind w:firstLine="0" w:firstLineChars="0"/>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二、报价明细表</w:t>
      </w:r>
    </w:p>
    <w:p w14:paraId="5575E619">
      <w:pPr>
        <w:pStyle w:val="113"/>
        <w:rPr>
          <w:rFonts w:hint="eastAsia" w:ascii="宋体" w:hAnsi="宋体" w:eastAsia="宋体" w:cs="宋体"/>
          <w:color w:val="auto"/>
          <w:sz w:val="21"/>
          <w:highlight w:val="none"/>
          <w:lang w:eastAsia="zh-CN"/>
        </w:rPr>
      </w:pPr>
    </w:p>
    <w:p w14:paraId="42886587">
      <w:pPr>
        <w:pStyle w:val="113"/>
        <w:ind w:firstLine="210" w:firstLineChars="1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项目名称</w:t>
      </w:r>
      <w:r>
        <w:rPr>
          <w:rFonts w:hint="eastAsia" w:cs="宋体"/>
          <w:color w:val="auto"/>
          <w:sz w:val="21"/>
          <w:szCs w:val="21"/>
          <w:highlight w:val="none"/>
          <w:u w:val="none"/>
          <w:lang w:eastAsia="zh-CN"/>
        </w:rPr>
        <w:t>、标段</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单位：人民币/元</w:t>
      </w:r>
    </w:p>
    <w:tbl>
      <w:tblPr>
        <w:tblStyle w:val="39"/>
        <w:tblW w:w="10315" w:type="dxa"/>
        <w:tblInd w:w="-461" w:type="dxa"/>
        <w:tblLayout w:type="fixed"/>
        <w:tblCellMar>
          <w:top w:w="0" w:type="dxa"/>
          <w:left w:w="108" w:type="dxa"/>
          <w:bottom w:w="0" w:type="dxa"/>
          <w:right w:w="108" w:type="dxa"/>
        </w:tblCellMar>
      </w:tblPr>
      <w:tblGrid>
        <w:gridCol w:w="647"/>
        <w:gridCol w:w="1657"/>
        <w:gridCol w:w="1163"/>
        <w:gridCol w:w="1575"/>
        <w:gridCol w:w="1554"/>
        <w:gridCol w:w="1111"/>
        <w:gridCol w:w="789"/>
        <w:gridCol w:w="673"/>
        <w:gridCol w:w="1146"/>
      </w:tblGrid>
      <w:tr w14:paraId="2B52490E">
        <w:tblPrEx>
          <w:tblCellMar>
            <w:top w:w="0" w:type="dxa"/>
            <w:left w:w="108" w:type="dxa"/>
            <w:bottom w:w="0" w:type="dxa"/>
            <w:right w:w="108" w:type="dxa"/>
          </w:tblCellMar>
        </w:tblPrEx>
        <w:trPr>
          <w:trHeight w:val="1319" w:hRule="atLeast"/>
        </w:trPr>
        <w:tc>
          <w:tcPr>
            <w:tcW w:w="647" w:type="dxa"/>
            <w:tcBorders>
              <w:top w:val="single" w:color="auto" w:sz="6" w:space="0"/>
              <w:left w:val="single" w:color="auto" w:sz="6" w:space="0"/>
              <w:bottom w:val="single" w:color="auto" w:sz="6" w:space="0"/>
              <w:right w:val="single" w:color="auto" w:sz="6" w:space="0"/>
            </w:tcBorders>
          </w:tcPr>
          <w:p w14:paraId="35F8FA99">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57" w:type="dxa"/>
            <w:tcBorders>
              <w:top w:val="single" w:color="auto" w:sz="6" w:space="0"/>
              <w:left w:val="single" w:color="auto" w:sz="6" w:space="0"/>
              <w:bottom w:val="single" w:color="auto" w:sz="6" w:space="0"/>
              <w:right w:val="single" w:color="auto" w:sz="6" w:space="0"/>
            </w:tcBorders>
          </w:tcPr>
          <w:p w14:paraId="05BE70AB">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货物名称</w:t>
            </w:r>
          </w:p>
        </w:tc>
        <w:tc>
          <w:tcPr>
            <w:tcW w:w="1163" w:type="dxa"/>
            <w:tcBorders>
              <w:top w:val="single" w:color="auto" w:sz="6" w:space="0"/>
              <w:left w:val="single" w:color="auto" w:sz="6" w:space="0"/>
              <w:bottom w:val="single" w:color="auto" w:sz="6" w:space="0"/>
              <w:right w:val="single" w:color="auto" w:sz="6" w:space="0"/>
            </w:tcBorders>
          </w:tcPr>
          <w:p w14:paraId="4219BAD0">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575" w:type="dxa"/>
            <w:tcBorders>
              <w:top w:val="single" w:color="auto" w:sz="6" w:space="0"/>
              <w:left w:val="single" w:color="auto" w:sz="6" w:space="0"/>
              <w:bottom w:val="single" w:color="auto" w:sz="6" w:space="0"/>
              <w:right w:val="single" w:color="auto" w:sz="6" w:space="0"/>
            </w:tcBorders>
          </w:tcPr>
          <w:p w14:paraId="6D296C75">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554" w:type="dxa"/>
            <w:tcBorders>
              <w:top w:val="single" w:color="auto" w:sz="6" w:space="0"/>
              <w:left w:val="single" w:color="auto" w:sz="6" w:space="0"/>
              <w:bottom w:val="single" w:color="auto" w:sz="6" w:space="0"/>
              <w:right w:val="single" w:color="auto" w:sz="6" w:space="0"/>
            </w:tcBorders>
          </w:tcPr>
          <w:p w14:paraId="108A6B5E">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单位</w:t>
            </w:r>
          </w:p>
        </w:tc>
        <w:tc>
          <w:tcPr>
            <w:tcW w:w="1111" w:type="dxa"/>
            <w:tcBorders>
              <w:top w:val="single" w:color="auto" w:sz="6" w:space="0"/>
              <w:left w:val="single" w:color="auto" w:sz="6" w:space="0"/>
              <w:bottom w:val="single" w:color="auto" w:sz="6" w:space="0"/>
              <w:right w:val="single" w:color="auto" w:sz="6" w:space="0"/>
            </w:tcBorders>
          </w:tcPr>
          <w:p w14:paraId="6A63511C">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单价</w:t>
            </w:r>
          </w:p>
        </w:tc>
        <w:tc>
          <w:tcPr>
            <w:tcW w:w="789" w:type="dxa"/>
            <w:tcBorders>
              <w:top w:val="single" w:color="auto" w:sz="6" w:space="0"/>
              <w:left w:val="single" w:color="auto" w:sz="6" w:space="0"/>
              <w:bottom w:val="single" w:color="auto" w:sz="6" w:space="0"/>
              <w:right w:val="single" w:color="auto" w:sz="6" w:space="0"/>
            </w:tcBorders>
          </w:tcPr>
          <w:p w14:paraId="218C171F">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数量</w:t>
            </w:r>
          </w:p>
        </w:tc>
        <w:tc>
          <w:tcPr>
            <w:tcW w:w="673" w:type="dxa"/>
            <w:tcBorders>
              <w:top w:val="single" w:color="auto" w:sz="6" w:space="0"/>
              <w:left w:val="single" w:color="auto" w:sz="6" w:space="0"/>
              <w:bottom w:val="single" w:color="auto" w:sz="6" w:space="0"/>
              <w:right w:val="single" w:color="auto" w:sz="6" w:space="0"/>
            </w:tcBorders>
          </w:tcPr>
          <w:p w14:paraId="4395B755">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小</w:t>
            </w:r>
            <w:r>
              <w:rPr>
                <w:rFonts w:hint="eastAsia" w:ascii="宋体" w:hAnsi="宋体" w:eastAsia="宋体" w:cs="宋体"/>
                <w:color w:val="auto"/>
                <w:sz w:val="21"/>
                <w:szCs w:val="21"/>
                <w:highlight w:val="none"/>
                <w:lang w:val="zh-CN"/>
              </w:rPr>
              <w:t>计</w:t>
            </w:r>
          </w:p>
          <w:p w14:paraId="141D5DEA">
            <w:pPr>
              <w:spacing w:line="440" w:lineRule="exact"/>
              <w:jc w:val="center"/>
              <w:rPr>
                <w:rFonts w:hint="eastAsia" w:ascii="宋体" w:hAnsi="宋体" w:eastAsia="宋体" w:cs="宋体"/>
                <w:color w:val="auto"/>
                <w:sz w:val="21"/>
                <w:szCs w:val="21"/>
                <w:highlight w:val="none"/>
                <w:lang w:val="zh-CN"/>
              </w:rPr>
            </w:pPr>
          </w:p>
        </w:tc>
        <w:tc>
          <w:tcPr>
            <w:tcW w:w="1146" w:type="dxa"/>
            <w:tcBorders>
              <w:top w:val="single" w:color="auto" w:sz="6" w:space="0"/>
              <w:left w:val="single" w:color="auto" w:sz="6" w:space="0"/>
              <w:bottom w:val="single" w:color="auto" w:sz="6" w:space="0"/>
              <w:right w:val="single" w:color="auto" w:sz="6" w:space="0"/>
            </w:tcBorders>
          </w:tcPr>
          <w:p w14:paraId="7DA1B247">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免费质保期</w:t>
            </w:r>
          </w:p>
        </w:tc>
      </w:tr>
      <w:tr w14:paraId="79B54FB5">
        <w:tblPrEx>
          <w:tblCellMar>
            <w:top w:w="0" w:type="dxa"/>
            <w:left w:w="108" w:type="dxa"/>
            <w:bottom w:w="0" w:type="dxa"/>
            <w:right w:w="108" w:type="dxa"/>
          </w:tblCellMar>
        </w:tblPrEx>
        <w:trPr>
          <w:trHeight w:val="696" w:hRule="atLeast"/>
        </w:trPr>
        <w:tc>
          <w:tcPr>
            <w:tcW w:w="647" w:type="dxa"/>
            <w:tcBorders>
              <w:top w:val="single" w:color="auto" w:sz="6" w:space="0"/>
              <w:left w:val="single" w:color="auto" w:sz="6" w:space="0"/>
              <w:bottom w:val="single" w:color="auto" w:sz="6" w:space="0"/>
              <w:right w:val="single" w:color="auto" w:sz="6" w:space="0"/>
            </w:tcBorders>
          </w:tcPr>
          <w:p w14:paraId="3CB13DD9">
            <w:pPr>
              <w:spacing w:line="440" w:lineRule="exact"/>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tcPr>
          <w:p w14:paraId="571CAA98">
            <w:pPr>
              <w:spacing w:line="440" w:lineRule="exact"/>
              <w:jc w:val="center"/>
              <w:rPr>
                <w:rFonts w:hint="eastAsia" w:ascii="宋体" w:hAnsi="宋体" w:eastAsia="宋体" w:cs="宋体"/>
                <w:color w:val="auto"/>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tcPr>
          <w:p w14:paraId="3B30B0DA">
            <w:pPr>
              <w:spacing w:line="440" w:lineRule="exact"/>
              <w:jc w:val="center"/>
              <w:rPr>
                <w:rFonts w:hint="eastAsia" w:ascii="宋体" w:hAnsi="宋体" w:eastAsia="宋体" w:cs="宋体"/>
                <w:color w:val="auto"/>
                <w:sz w:val="21"/>
                <w:szCs w:val="21"/>
                <w:highlight w:val="none"/>
              </w:rPr>
            </w:pPr>
          </w:p>
        </w:tc>
        <w:tc>
          <w:tcPr>
            <w:tcW w:w="1575" w:type="dxa"/>
            <w:tcBorders>
              <w:top w:val="single" w:color="auto" w:sz="6" w:space="0"/>
              <w:left w:val="single" w:color="auto" w:sz="6" w:space="0"/>
              <w:bottom w:val="single" w:color="auto" w:sz="6" w:space="0"/>
              <w:right w:val="single" w:color="auto" w:sz="6" w:space="0"/>
            </w:tcBorders>
          </w:tcPr>
          <w:p w14:paraId="4D48026F">
            <w:pPr>
              <w:spacing w:line="440" w:lineRule="exact"/>
              <w:jc w:val="center"/>
              <w:rPr>
                <w:rFonts w:hint="eastAsia" w:ascii="宋体" w:hAnsi="宋体" w:eastAsia="宋体" w:cs="宋体"/>
                <w:color w:val="auto"/>
                <w:sz w:val="21"/>
                <w:szCs w:val="21"/>
                <w:highlight w:val="none"/>
              </w:rPr>
            </w:pPr>
          </w:p>
        </w:tc>
        <w:tc>
          <w:tcPr>
            <w:tcW w:w="1554" w:type="dxa"/>
            <w:tcBorders>
              <w:top w:val="single" w:color="auto" w:sz="6" w:space="0"/>
              <w:left w:val="single" w:color="auto" w:sz="6" w:space="0"/>
              <w:bottom w:val="single" w:color="auto" w:sz="6" w:space="0"/>
              <w:right w:val="single" w:color="auto" w:sz="6" w:space="0"/>
            </w:tcBorders>
          </w:tcPr>
          <w:p w14:paraId="72EF9D03">
            <w:pPr>
              <w:spacing w:line="440" w:lineRule="exact"/>
              <w:jc w:val="center"/>
              <w:rPr>
                <w:rFonts w:hint="eastAsia" w:ascii="宋体" w:hAnsi="宋体" w:eastAsia="宋体" w:cs="宋体"/>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tcPr>
          <w:p w14:paraId="17DDF1DF">
            <w:pPr>
              <w:spacing w:line="440" w:lineRule="exact"/>
              <w:jc w:val="center"/>
              <w:rPr>
                <w:rFonts w:hint="eastAsia" w:ascii="宋体" w:hAnsi="宋体" w:eastAsia="宋体" w:cs="宋体"/>
                <w:color w:val="auto"/>
                <w:sz w:val="21"/>
                <w:szCs w:val="21"/>
                <w:highlight w:val="none"/>
              </w:rPr>
            </w:pPr>
          </w:p>
        </w:tc>
        <w:tc>
          <w:tcPr>
            <w:tcW w:w="789" w:type="dxa"/>
            <w:tcBorders>
              <w:top w:val="single" w:color="auto" w:sz="6" w:space="0"/>
              <w:left w:val="single" w:color="auto" w:sz="6" w:space="0"/>
              <w:bottom w:val="single" w:color="auto" w:sz="6" w:space="0"/>
              <w:right w:val="single" w:color="auto" w:sz="6" w:space="0"/>
            </w:tcBorders>
          </w:tcPr>
          <w:p w14:paraId="56EFE9E7">
            <w:pPr>
              <w:spacing w:line="440" w:lineRule="exact"/>
              <w:jc w:val="center"/>
              <w:rPr>
                <w:rFonts w:hint="eastAsia" w:ascii="宋体" w:hAnsi="宋体" w:eastAsia="宋体" w:cs="宋体"/>
                <w:color w:val="auto"/>
                <w:sz w:val="21"/>
                <w:szCs w:val="21"/>
                <w:highlight w:val="none"/>
              </w:rPr>
            </w:pPr>
          </w:p>
        </w:tc>
        <w:tc>
          <w:tcPr>
            <w:tcW w:w="673" w:type="dxa"/>
            <w:tcBorders>
              <w:top w:val="single" w:color="auto" w:sz="6" w:space="0"/>
              <w:left w:val="single" w:color="auto" w:sz="6" w:space="0"/>
              <w:bottom w:val="single" w:color="auto" w:sz="6" w:space="0"/>
              <w:right w:val="single" w:color="auto" w:sz="6" w:space="0"/>
            </w:tcBorders>
          </w:tcPr>
          <w:p w14:paraId="0BAF46AD">
            <w:pPr>
              <w:spacing w:line="440" w:lineRule="exact"/>
              <w:jc w:val="center"/>
              <w:rPr>
                <w:rFonts w:hint="eastAsia" w:ascii="宋体" w:hAnsi="宋体" w:eastAsia="宋体" w:cs="宋体"/>
                <w:color w:val="auto"/>
                <w:sz w:val="21"/>
                <w:szCs w:val="21"/>
                <w:highlight w:val="none"/>
              </w:rPr>
            </w:pPr>
          </w:p>
        </w:tc>
        <w:tc>
          <w:tcPr>
            <w:tcW w:w="1146" w:type="dxa"/>
            <w:tcBorders>
              <w:top w:val="single" w:color="auto" w:sz="6" w:space="0"/>
              <w:left w:val="single" w:color="auto" w:sz="6" w:space="0"/>
              <w:bottom w:val="single" w:color="auto" w:sz="6" w:space="0"/>
              <w:right w:val="single" w:color="auto" w:sz="6" w:space="0"/>
            </w:tcBorders>
          </w:tcPr>
          <w:p w14:paraId="13FD4DAE">
            <w:pPr>
              <w:spacing w:line="440" w:lineRule="exact"/>
              <w:jc w:val="center"/>
              <w:rPr>
                <w:rFonts w:hint="eastAsia" w:ascii="宋体" w:hAnsi="宋体" w:eastAsia="宋体" w:cs="宋体"/>
                <w:color w:val="auto"/>
                <w:sz w:val="21"/>
                <w:szCs w:val="21"/>
                <w:highlight w:val="none"/>
              </w:rPr>
            </w:pPr>
          </w:p>
        </w:tc>
      </w:tr>
      <w:tr w14:paraId="2FF3F151">
        <w:tblPrEx>
          <w:tblCellMar>
            <w:top w:w="0" w:type="dxa"/>
            <w:left w:w="108" w:type="dxa"/>
            <w:bottom w:w="0" w:type="dxa"/>
            <w:right w:w="108" w:type="dxa"/>
          </w:tblCellMar>
        </w:tblPrEx>
        <w:trPr>
          <w:trHeight w:val="818" w:hRule="atLeast"/>
        </w:trPr>
        <w:tc>
          <w:tcPr>
            <w:tcW w:w="647" w:type="dxa"/>
            <w:tcBorders>
              <w:top w:val="single" w:color="auto" w:sz="6" w:space="0"/>
              <w:left w:val="single" w:color="auto" w:sz="6" w:space="0"/>
              <w:bottom w:val="single" w:color="auto" w:sz="6" w:space="0"/>
              <w:right w:val="single" w:color="auto" w:sz="6" w:space="0"/>
            </w:tcBorders>
          </w:tcPr>
          <w:p w14:paraId="4E173661">
            <w:pPr>
              <w:spacing w:line="440" w:lineRule="exact"/>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tcPr>
          <w:p w14:paraId="04770F76">
            <w:pPr>
              <w:spacing w:line="440" w:lineRule="exact"/>
              <w:jc w:val="center"/>
              <w:rPr>
                <w:rFonts w:hint="eastAsia" w:ascii="宋体" w:hAnsi="宋体" w:eastAsia="宋体" w:cs="宋体"/>
                <w:color w:val="auto"/>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tcPr>
          <w:p w14:paraId="54CE0245">
            <w:pPr>
              <w:spacing w:line="440" w:lineRule="exact"/>
              <w:jc w:val="center"/>
              <w:rPr>
                <w:rFonts w:hint="eastAsia" w:ascii="宋体" w:hAnsi="宋体" w:eastAsia="宋体" w:cs="宋体"/>
                <w:color w:val="auto"/>
                <w:sz w:val="21"/>
                <w:szCs w:val="21"/>
                <w:highlight w:val="none"/>
              </w:rPr>
            </w:pPr>
          </w:p>
        </w:tc>
        <w:tc>
          <w:tcPr>
            <w:tcW w:w="1575" w:type="dxa"/>
            <w:tcBorders>
              <w:top w:val="single" w:color="auto" w:sz="6" w:space="0"/>
              <w:left w:val="single" w:color="auto" w:sz="6" w:space="0"/>
              <w:bottom w:val="single" w:color="auto" w:sz="6" w:space="0"/>
              <w:right w:val="single" w:color="auto" w:sz="6" w:space="0"/>
            </w:tcBorders>
          </w:tcPr>
          <w:p w14:paraId="63B2E38F">
            <w:pPr>
              <w:spacing w:line="440" w:lineRule="exact"/>
              <w:jc w:val="center"/>
              <w:rPr>
                <w:rFonts w:hint="eastAsia" w:ascii="宋体" w:hAnsi="宋体" w:eastAsia="宋体" w:cs="宋体"/>
                <w:color w:val="auto"/>
                <w:sz w:val="21"/>
                <w:szCs w:val="21"/>
                <w:highlight w:val="none"/>
              </w:rPr>
            </w:pPr>
          </w:p>
        </w:tc>
        <w:tc>
          <w:tcPr>
            <w:tcW w:w="1554" w:type="dxa"/>
            <w:tcBorders>
              <w:top w:val="single" w:color="auto" w:sz="6" w:space="0"/>
              <w:left w:val="single" w:color="auto" w:sz="6" w:space="0"/>
              <w:bottom w:val="single" w:color="auto" w:sz="6" w:space="0"/>
              <w:right w:val="single" w:color="auto" w:sz="6" w:space="0"/>
            </w:tcBorders>
          </w:tcPr>
          <w:p w14:paraId="56235761">
            <w:pPr>
              <w:spacing w:line="440" w:lineRule="exact"/>
              <w:jc w:val="center"/>
              <w:rPr>
                <w:rFonts w:hint="eastAsia" w:ascii="宋体" w:hAnsi="宋体" w:eastAsia="宋体" w:cs="宋体"/>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tcPr>
          <w:p w14:paraId="2FFE92D8">
            <w:pPr>
              <w:spacing w:line="440" w:lineRule="exact"/>
              <w:jc w:val="center"/>
              <w:rPr>
                <w:rFonts w:hint="eastAsia" w:ascii="宋体" w:hAnsi="宋体" w:eastAsia="宋体" w:cs="宋体"/>
                <w:color w:val="auto"/>
                <w:sz w:val="21"/>
                <w:szCs w:val="21"/>
                <w:highlight w:val="none"/>
              </w:rPr>
            </w:pPr>
          </w:p>
        </w:tc>
        <w:tc>
          <w:tcPr>
            <w:tcW w:w="789" w:type="dxa"/>
            <w:tcBorders>
              <w:top w:val="single" w:color="auto" w:sz="6" w:space="0"/>
              <w:left w:val="single" w:color="auto" w:sz="6" w:space="0"/>
              <w:bottom w:val="single" w:color="auto" w:sz="6" w:space="0"/>
              <w:right w:val="single" w:color="auto" w:sz="6" w:space="0"/>
            </w:tcBorders>
          </w:tcPr>
          <w:p w14:paraId="6E0F8198">
            <w:pPr>
              <w:spacing w:line="440" w:lineRule="exact"/>
              <w:jc w:val="center"/>
              <w:rPr>
                <w:rFonts w:hint="eastAsia" w:ascii="宋体" w:hAnsi="宋体" w:eastAsia="宋体" w:cs="宋体"/>
                <w:color w:val="auto"/>
                <w:sz w:val="21"/>
                <w:szCs w:val="21"/>
                <w:highlight w:val="none"/>
              </w:rPr>
            </w:pPr>
          </w:p>
        </w:tc>
        <w:tc>
          <w:tcPr>
            <w:tcW w:w="673" w:type="dxa"/>
            <w:tcBorders>
              <w:top w:val="single" w:color="auto" w:sz="6" w:space="0"/>
              <w:left w:val="single" w:color="auto" w:sz="6" w:space="0"/>
              <w:bottom w:val="single" w:color="auto" w:sz="6" w:space="0"/>
              <w:right w:val="single" w:color="auto" w:sz="6" w:space="0"/>
            </w:tcBorders>
          </w:tcPr>
          <w:p w14:paraId="54215C1F">
            <w:pPr>
              <w:spacing w:line="440" w:lineRule="exact"/>
              <w:jc w:val="center"/>
              <w:rPr>
                <w:rFonts w:hint="eastAsia" w:ascii="宋体" w:hAnsi="宋体" w:eastAsia="宋体" w:cs="宋体"/>
                <w:color w:val="auto"/>
                <w:sz w:val="21"/>
                <w:szCs w:val="21"/>
                <w:highlight w:val="none"/>
              </w:rPr>
            </w:pPr>
          </w:p>
        </w:tc>
        <w:tc>
          <w:tcPr>
            <w:tcW w:w="1146" w:type="dxa"/>
            <w:tcBorders>
              <w:top w:val="single" w:color="auto" w:sz="6" w:space="0"/>
              <w:left w:val="single" w:color="auto" w:sz="6" w:space="0"/>
              <w:bottom w:val="single" w:color="auto" w:sz="6" w:space="0"/>
              <w:right w:val="single" w:color="auto" w:sz="6" w:space="0"/>
            </w:tcBorders>
          </w:tcPr>
          <w:p w14:paraId="793086E0">
            <w:pPr>
              <w:spacing w:line="440" w:lineRule="exact"/>
              <w:jc w:val="center"/>
              <w:rPr>
                <w:rFonts w:hint="eastAsia" w:ascii="宋体" w:hAnsi="宋体" w:eastAsia="宋体" w:cs="宋体"/>
                <w:color w:val="auto"/>
                <w:sz w:val="21"/>
                <w:szCs w:val="21"/>
                <w:highlight w:val="none"/>
              </w:rPr>
            </w:pPr>
          </w:p>
        </w:tc>
      </w:tr>
      <w:tr w14:paraId="76AB720F">
        <w:tblPrEx>
          <w:tblCellMar>
            <w:top w:w="0" w:type="dxa"/>
            <w:left w:w="108" w:type="dxa"/>
            <w:bottom w:w="0" w:type="dxa"/>
            <w:right w:w="108" w:type="dxa"/>
          </w:tblCellMar>
        </w:tblPrEx>
        <w:trPr>
          <w:trHeight w:val="788" w:hRule="atLeast"/>
        </w:trPr>
        <w:tc>
          <w:tcPr>
            <w:tcW w:w="647" w:type="dxa"/>
            <w:tcBorders>
              <w:top w:val="single" w:color="auto" w:sz="6" w:space="0"/>
              <w:left w:val="single" w:color="auto" w:sz="6" w:space="0"/>
              <w:bottom w:val="single" w:color="auto" w:sz="6" w:space="0"/>
              <w:right w:val="single" w:color="auto" w:sz="6" w:space="0"/>
            </w:tcBorders>
          </w:tcPr>
          <w:p w14:paraId="680727A2">
            <w:pPr>
              <w:spacing w:line="440" w:lineRule="exact"/>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tcPr>
          <w:p w14:paraId="0AF916AD">
            <w:pPr>
              <w:spacing w:line="440" w:lineRule="exact"/>
              <w:jc w:val="center"/>
              <w:rPr>
                <w:rFonts w:hint="eastAsia" w:ascii="宋体" w:hAnsi="宋体" w:eastAsia="宋体" w:cs="宋体"/>
                <w:color w:val="auto"/>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tcPr>
          <w:p w14:paraId="18F00AB0">
            <w:pPr>
              <w:spacing w:line="440" w:lineRule="exact"/>
              <w:jc w:val="center"/>
              <w:rPr>
                <w:rFonts w:hint="eastAsia" w:ascii="宋体" w:hAnsi="宋体" w:eastAsia="宋体" w:cs="宋体"/>
                <w:color w:val="auto"/>
                <w:sz w:val="21"/>
                <w:szCs w:val="21"/>
                <w:highlight w:val="none"/>
              </w:rPr>
            </w:pPr>
          </w:p>
        </w:tc>
        <w:tc>
          <w:tcPr>
            <w:tcW w:w="1575" w:type="dxa"/>
            <w:tcBorders>
              <w:top w:val="single" w:color="auto" w:sz="6" w:space="0"/>
              <w:left w:val="single" w:color="auto" w:sz="6" w:space="0"/>
              <w:bottom w:val="single" w:color="auto" w:sz="6" w:space="0"/>
              <w:right w:val="single" w:color="auto" w:sz="6" w:space="0"/>
            </w:tcBorders>
          </w:tcPr>
          <w:p w14:paraId="12716022">
            <w:pPr>
              <w:spacing w:line="440" w:lineRule="exact"/>
              <w:jc w:val="center"/>
              <w:rPr>
                <w:rFonts w:hint="eastAsia" w:ascii="宋体" w:hAnsi="宋体" w:eastAsia="宋体" w:cs="宋体"/>
                <w:color w:val="auto"/>
                <w:sz w:val="21"/>
                <w:szCs w:val="21"/>
                <w:highlight w:val="none"/>
              </w:rPr>
            </w:pPr>
          </w:p>
        </w:tc>
        <w:tc>
          <w:tcPr>
            <w:tcW w:w="1554" w:type="dxa"/>
            <w:tcBorders>
              <w:top w:val="single" w:color="auto" w:sz="6" w:space="0"/>
              <w:left w:val="single" w:color="auto" w:sz="6" w:space="0"/>
              <w:bottom w:val="single" w:color="auto" w:sz="6" w:space="0"/>
              <w:right w:val="single" w:color="auto" w:sz="6" w:space="0"/>
            </w:tcBorders>
          </w:tcPr>
          <w:p w14:paraId="58208517">
            <w:pPr>
              <w:spacing w:line="440" w:lineRule="exact"/>
              <w:jc w:val="center"/>
              <w:rPr>
                <w:rFonts w:hint="eastAsia" w:ascii="宋体" w:hAnsi="宋体" w:eastAsia="宋体" w:cs="宋体"/>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tcPr>
          <w:p w14:paraId="3E5A8D9A">
            <w:pPr>
              <w:spacing w:line="440" w:lineRule="exact"/>
              <w:jc w:val="center"/>
              <w:rPr>
                <w:rFonts w:hint="eastAsia" w:ascii="宋体" w:hAnsi="宋体" w:eastAsia="宋体" w:cs="宋体"/>
                <w:color w:val="auto"/>
                <w:sz w:val="21"/>
                <w:szCs w:val="21"/>
                <w:highlight w:val="none"/>
              </w:rPr>
            </w:pPr>
          </w:p>
        </w:tc>
        <w:tc>
          <w:tcPr>
            <w:tcW w:w="789" w:type="dxa"/>
            <w:tcBorders>
              <w:top w:val="single" w:color="auto" w:sz="6" w:space="0"/>
              <w:left w:val="single" w:color="auto" w:sz="6" w:space="0"/>
              <w:bottom w:val="single" w:color="auto" w:sz="6" w:space="0"/>
              <w:right w:val="single" w:color="auto" w:sz="6" w:space="0"/>
            </w:tcBorders>
          </w:tcPr>
          <w:p w14:paraId="2E6905F1">
            <w:pPr>
              <w:spacing w:line="440" w:lineRule="exact"/>
              <w:jc w:val="center"/>
              <w:rPr>
                <w:rFonts w:hint="eastAsia" w:ascii="宋体" w:hAnsi="宋体" w:eastAsia="宋体" w:cs="宋体"/>
                <w:color w:val="auto"/>
                <w:sz w:val="21"/>
                <w:szCs w:val="21"/>
                <w:highlight w:val="none"/>
              </w:rPr>
            </w:pPr>
          </w:p>
        </w:tc>
        <w:tc>
          <w:tcPr>
            <w:tcW w:w="673" w:type="dxa"/>
            <w:tcBorders>
              <w:top w:val="single" w:color="auto" w:sz="6" w:space="0"/>
              <w:left w:val="single" w:color="auto" w:sz="6" w:space="0"/>
              <w:bottom w:val="single" w:color="auto" w:sz="6" w:space="0"/>
              <w:right w:val="single" w:color="auto" w:sz="6" w:space="0"/>
            </w:tcBorders>
          </w:tcPr>
          <w:p w14:paraId="3B3B64CD">
            <w:pPr>
              <w:spacing w:line="440" w:lineRule="exact"/>
              <w:jc w:val="center"/>
              <w:rPr>
                <w:rFonts w:hint="eastAsia" w:ascii="宋体" w:hAnsi="宋体" w:eastAsia="宋体" w:cs="宋体"/>
                <w:color w:val="auto"/>
                <w:sz w:val="21"/>
                <w:szCs w:val="21"/>
                <w:highlight w:val="none"/>
              </w:rPr>
            </w:pPr>
          </w:p>
        </w:tc>
        <w:tc>
          <w:tcPr>
            <w:tcW w:w="1146" w:type="dxa"/>
            <w:tcBorders>
              <w:top w:val="single" w:color="auto" w:sz="6" w:space="0"/>
              <w:left w:val="single" w:color="auto" w:sz="6" w:space="0"/>
              <w:bottom w:val="single" w:color="auto" w:sz="6" w:space="0"/>
              <w:right w:val="single" w:color="auto" w:sz="6" w:space="0"/>
            </w:tcBorders>
          </w:tcPr>
          <w:p w14:paraId="19C47358">
            <w:pPr>
              <w:spacing w:line="440" w:lineRule="exact"/>
              <w:jc w:val="center"/>
              <w:rPr>
                <w:rFonts w:hint="eastAsia" w:ascii="宋体" w:hAnsi="宋体" w:eastAsia="宋体" w:cs="宋体"/>
                <w:color w:val="auto"/>
                <w:sz w:val="21"/>
                <w:szCs w:val="21"/>
                <w:highlight w:val="none"/>
              </w:rPr>
            </w:pPr>
          </w:p>
        </w:tc>
      </w:tr>
      <w:tr w14:paraId="37BF3E7E">
        <w:tblPrEx>
          <w:tblCellMar>
            <w:top w:w="0" w:type="dxa"/>
            <w:left w:w="108" w:type="dxa"/>
            <w:bottom w:w="0" w:type="dxa"/>
            <w:right w:w="108" w:type="dxa"/>
          </w:tblCellMar>
        </w:tblPrEx>
        <w:trPr>
          <w:trHeight w:val="491" w:hRule="atLeast"/>
        </w:trPr>
        <w:tc>
          <w:tcPr>
            <w:tcW w:w="3467" w:type="dxa"/>
            <w:gridSpan w:val="3"/>
            <w:vMerge w:val="restart"/>
            <w:tcBorders>
              <w:top w:val="single" w:color="auto" w:sz="6" w:space="0"/>
              <w:left w:val="single" w:color="auto" w:sz="6" w:space="0"/>
              <w:right w:val="single" w:color="auto" w:sz="6" w:space="0"/>
            </w:tcBorders>
            <w:vAlign w:val="center"/>
          </w:tcPr>
          <w:p w14:paraId="206A053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总价（人民币）</w:t>
            </w:r>
          </w:p>
        </w:tc>
        <w:tc>
          <w:tcPr>
            <w:tcW w:w="6848" w:type="dxa"/>
            <w:gridSpan w:val="6"/>
            <w:tcBorders>
              <w:top w:val="single" w:color="auto" w:sz="6" w:space="0"/>
              <w:left w:val="single" w:color="auto" w:sz="6" w:space="0"/>
              <w:bottom w:val="single" w:color="auto" w:sz="6" w:space="0"/>
              <w:right w:val="single" w:color="auto" w:sz="6" w:space="0"/>
            </w:tcBorders>
          </w:tcPr>
          <w:p w14:paraId="49F93C35">
            <w:pPr>
              <w:spacing w:line="44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p>
        </w:tc>
      </w:tr>
      <w:tr w14:paraId="1D25CA3D">
        <w:tblPrEx>
          <w:tblCellMar>
            <w:top w:w="0" w:type="dxa"/>
            <w:left w:w="108" w:type="dxa"/>
            <w:bottom w:w="0" w:type="dxa"/>
            <w:right w:w="108" w:type="dxa"/>
          </w:tblCellMar>
        </w:tblPrEx>
        <w:trPr>
          <w:trHeight w:val="543" w:hRule="atLeast"/>
        </w:trPr>
        <w:tc>
          <w:tcPr>
            <w:tcW w:w="3467" w:type="dxa"/>
            <w:gridSpan w:val="3"/>
            <w:vMerge w:val="continue"/>
            <w:tcBorders>
              <w:left w:val="single" w:color="auto" w:sz="6" w:space="0"/>
              <w:bottom w:val="single" w:color="auto" w:sz="6" w:space="0"/>
              <w:right w:val="single" w:color="auto" w:sz="6" w:space="0"/>
            </w:tcBorders>
          </w:tcPr>
          <w:p w14:paraId="59AAC97C">
            <w:pPr>
              <w:spacing w:line="440" w:lineRule="exact"/>
              <w:jc w:val="center"/>
              <w:rPr>
                <w:rFonts w:hint="eastAsia" w:ascii="宋体" w:hAnsi="宋体" w:eastAsia="宋体" w:cs="宋体"/>
                <w:color w:val="auto"/>
                <w:sz w:val="21"/>
                <w:szCs w:val="21"/>
                <w:highlight w:val="none"/>
              </w:rPr>
            </w:pPr>
          </w:p>
        </w:tc>
        <w:tc>
          <w:tcPr>
            <w:tcW w:w="6848" w:type="dxa"/>
            <w:gridSpan w:val="6"/>
            <w:tcBorders>
              <w:top w:val="single" w:color="auto" w:sz="6" w:space="0"/>
              <w:left w:val="single" w:color="auto" w:sz="6" w:space="0"/>
              <w:bottom w:val="single" w:color="auto" w:sz="6" w:space="0"/>
              <w:right w:val="single" w:color="auto" w:sz="6" w:space="0"/>
            </w:tcBorders>
          </w:tcPr>
          <w:p w14:paraId="323AB00F">
            <w:pPr>
              <w:spacing w:line="44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大写：</w:t>
            </w:r>
          </w:p>
        </w:tc>
      </w:tr>
    </w:tbl>
    <w:p w14:paraId="75D169BE">
      <w:pPr>
        <w:pStyle w:val="113"/>
        <w:rPr>
          <w:rFonts w:hint="eastAsia" w:ascii="宋体" w:hAnsi="宋体" w:eastAsia="宋体" w:cs="宋体"/>
          <w:color w:val="auto"/>
          <w:sz w:val="21"/>
          <w:szCs w:val="21"/>
          <w:highlight w:val="none"/>
          <w:lang w:eastAsia="zh-CN"/>
        </w:rPr>
      </w:pPr>
    </w:p>
    <w:p w14:paraId="1347795B">
      <w:pPr>
        <w:pStyle w:val="113"/>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p>
    <w:p w14:paraId="2CFF6640">
      <w:pPr>
        <w:pStyle w:val="113"/>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1、投标人根据招标文件中涉及内容填写，未涉及内容可填”/"。</w:t>
      </w:r>
    </w:p>
    <w:p w14:paraId="72E27F66">
      <w:pPr>
        <w:pStyle w:val="113"/>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2、以上表中各项可进一步细分，栏数不够可自加或附表；</w:t>
      </w:r>
    </w:p>
    <w:p w14:paraId="73D9510D">
      <w:pPr>
        <w:pStyle w:val="113"/>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3、投标人应按招标文件中《项目需求、货物清单》所列货物填写本表，</w:t>
      </w:r>
      <w:r>
        <w:rPr>
          <w:rFonts w:hint="eastAsia" w:ascii="宋体" w:hAnsi="宋体" w:eastAsia="宋体" w:cs="宋体"/>
          <w:color w:val="auto"/>
          <w:sz w:val="21"/>
          <w:szCs w:val="21"/>
          <w:highlight w:val="none"/>
          <w:lang w:val="en-US" w:eastAsia="zh-CN"/>
        </w:rPr>
        <w:t>不得缺项、漏项</w:t>
      </w:r>
      <w:r>
        <w:rPr>
          <w:rFonts w:hint="eastAsia" w:ascii="宋体" w:hAnsi="宋体" w:eastAsia="宋体" w:cs="宋体"/>
          <w:color w:val="auto"/>
          <w:sz w:val="21"/>
          <w:szCs w:val="21"/>
          <w:highlight w:val="none"/>
          <w:lang w:eastAsia="zh-CN"/>
        </w:rPr>
        <w:t>。</w:t>
      </w:r>
    </w:p>
    <w:p w14:paraId="7B7C0261">
      <w:pPr>
        <w:pStyle w:val="113"/>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4、大写参考字样：壹贰叁肆伍陆柒捌玖，万仟佰拾，元角分。</w:t>
      </w:r>
    </w:p>
    <w:p w14:paraId="3755A3D6">
      <w:pPr>
        <w:pStyle w:val="113"/>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5、对于质保期未填写部分，视同投标人承诺完全满足招标文件要求。</w:t>
      </w:r>
    </w:p>
    <w:p w14:paraId="13CB0ED6">
      <w:pPr>
        <w:pStyle w:val="113"/>
        <w:rPr>
          <w:rFonts w:hint="eastAsia" w:ascii="宋体" w:hAnsi="宋体" w:eastAsia="宋体" w:cs="宋体"/>
          <w:color w:val="auto"/>
          <w:sz w:val="21"/>
          <w:szCs w:val="21"/>
          <w:highlight w:val="none"/>
          <w:lang w:eastAsia="zh-CN"/>
        </w:rPr>
      </w:pPr>
    </w:p>
    <w:p w14:paraId="431EF77F">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0597513E">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7974D8A4">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8F3ACD4">
      <w:pPr>
        <w:pStyle w:val="113"/>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14:paraId="7284E2A8">
      <w:pPr>
        <w:widowControl/>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三、技术偏离表</w:t>
      </w:r>
    </w:p>
    <w:p w14:paraId="76632C68">
      <w:pPr>
        <w:pStyle w:val="2"/>
        <w:ind w:left="560" w:leftChars="200"/>
        <w:rPr>
          <w:rFonts w:hint="eastAsia" w:ascii="宋体" w:hAnsi="宋体" w:eastAsia="宋体" w:cs="宋体"/>
          <w:color w:val="auto"/>
          <w:highlight w:val="none"/>
        </w:rPr>
      </w:pPr>
    </w:p>
    <w:p w14:paraId="76EACE7B">
      <w:pPr>
        <w:pStyle w:val="3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项目名称</w:t>
      </w:r>
      <w:r>
        <w:rPr>
          <w:rFonts w:hint="eastAsia" w:cs="宋体"/>
          <w:color w:val="auto"/>
          <w:sz w:val="21"/>
          <w:szCs w:val="21"/>
          <w:highlight w:val="none"/>
          <w:u w:val="none"/>
          <w:lang w:eastAsia="zh-CN"/>
        </w:rPr>
        <w:t>、标段</w:t>
      </w:r>
      <w:r>
        <w:rPr>
          <w:rFonts w:hint="eastAsia" w:ascii="宋体" w:hAnsi="宋体" w:eastAsia="宋体" w:cs="宋体"/>
          <w:color w:val="auto"/>
          <w:sz w:val="21"/>
          <w:szCs w:val="21"/>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78"/>
        <w:gridCol w:w="2125"/>
        <w:gridCol w:w="2546"/>
        <w:gridCol w:w="2978"/>
      </w:tblGrid>
      <w:tr w14:paraId="7DF1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50" w:type="dxa"/>
          </w:tcPr>
          <w:p w14:paraId="36DB9EA3">
            <w:pPr>
              <w:pStyle w:val="113"/>
              <w:widowControl w:val="0"/>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378" w:type="dxa"/>
          </w:tcPr>
          <w:p w14:paraId="5E84CCE0">
            <w:pPr>
              <w:widowControl/>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zh-CN"/>
              </w:rPr>
              <w:t>名称</w:t>
            </w:r>
          </w:p>
        </w:tc>
        <w:tc>
          <w:tcPr>
            <w:tcW w:w="2125" w:type="dxa"/>
          </w:tcPr>
          <w:p w14:paraId="176C3FCB">
            <w:pPr>
              <w:widowControl/>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bidi="ar"/>
              </w:rPr>
              <w:t>招标文件技术参数及要求</w:t>
            </w:r>
          </w:p>
        </w:tc>
        <w:tc>
          <w:tcPr>
            <w:tcW w:w="2546" w:type="dxa"/>
          </w:tcPr>
          <w:p w14:paraId="1AF7D0A0">
            <w:pPr>
              <w:widowControl/>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bidi="ar"/>
              </w:rPr>
              <w:t>投标文件技术参数响应情况</w:t>
            </w:r>
          </w:p>
        </w:tc>
        <w:tc>
          <w:tcPr>
            <w:tcW w:w="2978" w:type="dxa"/>
          </w:tcPr>
          <w:p w14:paraId="4EABF817">
            <w:pPr>
              <w:widowControl/>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bidi="ar"/>
              </w:rPr>
              <w:t>偏差描述（描述技术是否具有正、负偏差或无偏差）</w:t>
            </w:r>
          </w:p>
        </w:tc>
      </w:tr>
      <w:tr w14:paraId="052A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0" w:type="dxa"/>
          </w:tcPr>
          <w:p w14:paraId="16B133A4">
            <w:pPr>
              <w:pStyle w:val="113"/>
              <w:widowControl w:val="0"/>
              <w:jc w:val="both"/>
              <w:rPr>
                <w:rFonts w:hint="eastAsia" w:ascii="宋体" w:hAnsi="宋体" w:eastAsia="宋体" w:cs="宋体"/>
                <w:b/>
                <w:bCs/>
                <w:color w:val="auto"/>
                <w:sz w:val="21"/>
                <w:szCs w:val="21"/>
                <w:highlight w:val="none"/>
                <w:lang w:eastAsia="zh-CN"/>
              </w:rPr>
            </w:pPr>
          </w:p>
        </w:tc>
        <w:tc>
          <w:tcPr>
            <w:tcW w:w="1378" w:type="dxa"/>
          </w:tcPr>
          <w:p w14:paraId="7270D070">
            <w:pPr>
              <w:pStyle w:val="113"/>
              <w:widowControl w:val="0"/>
              <w:jc w:val="both"/>
              <w:rPr>
                <w:rFonts w:hint="eastAsia" w:ascii="宋体" w:hAnsi="宋体" w:eastAsia="宋体" w:cs="宋体"/>
                <w:b/>
                <w:bCs/>
                <w:color w:val="auto"/>
                <w:sz w:val="21"/>
                <w:szCs w:val="21"/>
                <w:highlight w:val="none"/>
                <w:lang w:eastAsia="zh-CN"/>
              </w:rPr>
            </w:pPr>
          </w:p>
        </w:tc>
        <w:tc>
          <w:tcPr>
            <w:tcW w:w="2125" w:type="dxa"/>
          </w:tcPr>
          <w:p w14:paraId="72EA9BF2">
            <w:pPr>
              <w:pStyle w:val="113"/>
              <w:widowControl w:val="0"/>
              <w:jc w:val="both"/>
              <w:rPr>
                <w:rFonts w:hint="eastAsia" w:ascii="宋体" w:hAnsi="宋体" w:eastAsia="宋体" w:cs="宋体"/>
                <w:b/>
                <w:bCs/>
                <w:color w:val="auto"/>
                <w:sz w:val="21"/>
                <w:szCs w:val="21"/>
                <w:highlight w:val="none"/>
                <w:lang w:eastAsia="zh-CN"/>
              </w:rPr>
            </w:pPr>
          </w:p>
        </w:tc>
        <w:tc>
          <w:tcPr>
            <w:tcW w:w="2546" w:type="dxa"/>
          </w:tcPr>
          <w:p w14:paraId="30CC327C">
            <w:pPr>
              <w:pStyle w:val="113"/>
              <w:widowControl w:val="0"/>
              <w:jc w:val="both"/>
              <w:rPr>
                <w:rFonts w:hint="eastAsia" w:ascii="宋体" w:hAnsi="宋体" w:eastAsia="宋体" w:cs="宋体"/>
                <w:b/>
                <w:bCs/>
                <w:color w:val="auto"/>
                <w:sz w:val="21"/>
                <w:szCs w:val="21"/>
                <w:highlight w:val="none"/>
                <w:lang w:eastAsia="zh-CN"/>
              </w:rPr>
            </w:pPr>
          </w:p>
        </w:tc>
        <w:tc>
          <w:tcPr>
            <w:tcW w:w="2978" w:type="dxa"/>
          </w:tcPr>
          <w:p w14:paraId="6D4B8B7A">
            <w:pPr>
              <w:pStyle w:val="113"/>
              <w:widowControl w:val="0"/>
              <w:jc w:val="both"/>
              <w:rPr>
                <w:rFonts w:hint="eastAsia" w:ascii="宋体" w:hAnsi="宋体" w:eastAsia="宋体" w:cs="宋体"/>
                <w:b/>
                <w:bCs/>
                <w:color w:val="auto"/>
                <w:sz w:val="21"/>
                <w:szCs w:val="21"/>
                <w:highlight w:val="none"/>
                <w:lang w:eastAsia="zh-CN"/>
              </w:rPr>
            </w:pPr>
          </w:p>
        </w:tc>
      </w:tr>
      <w:tr w14:paraId="2286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0" w:type="dxa"/>
          </w:tcPr>
          <w:p w14:paraId="1CE7EF14">
            <w:pPr>
              <w:pStyle w:val="113"/>
              <w:widowControl w:val="0"/>
              <w:jc w:val="both"/>
              <w:rPr>
                <w:rFonts w:hint="eastAsia" w:ascii="宋体" w:hAnsi="宋体" w:eastAsia="宋体" w:cs="宋体"/>
                <w:b/>
                <w:bCs/>
                <w:color w:val="auto"/>
                <w:sz w:val="21"/>
                <w:szCs w:val="21"/>
                <w:highlight w:val="none"/>
                <w:lang w:eastAsia="zh-CN"/>
              </w:rPr>
            </w:pPr>
          </w:p>
        </w:tc>
        <w:tc>
          <w:tcPr>
            <w:tcW w:w="1378" w:type="dxa"/>
          </w:tcPr>
          <w:p w14:paraId="363FD077">
            <w:pPr>
              <w:pStyle w:val="113"/>
              <w:widowControl w:val="0"/>
              <w:jc w:val="both"/>
              <w:rPr>
                <w:rFonts w:hint="eastAsia" w:ascii="宋体" w:hAnsi="宋体" w:eastAsia="宋体" w:cs="宋体"/>
                <w:b/>
                <w:bCs/>
                <w:color w:val="auto"/>
                <w:sz w:val="21"/>
                <w:szCs w:val="21"/>
                <w:highlight w:val="none"/>
                <w:lang w:eastAsia="zh-CN"/>
              </w:rPr>
            </w:pPr>
          </w:p>
        </w:tc>
        <w:tc>
          <w:tcPr>
            <w:tcW w:w="2125" w:type="dxa"/>
          </w:tcPr>
          <w:p w14:paraId="504B9078">
            <w:pPr>
              <w:pStyle w:val="113"/>
              <w:widowControl w:val="0"/>
              <w:jc w:val="both"/>
              <w:rPr>
                <w:rFonts w:hint="eastAsia" w:ascii="宋体" w:hAnsi="宋体" w:eastAsia="宋体" w:cs="宋体"/>
                <w:b/>
                <w:bCs/>
                <w:color w:val="auto"/>
                <w:sz w:val="21"/>
                <w:szCs w:val="21"/>
                <w:highlight w:val="none"/>
                <w:lang w:eastAsia="zh-CN"/>
              </w:rPr>
            </w:pPr>
          </w:p>
        </w:tc>
        <w:tc>
          <w:tcPr>
            <w:tcW w:w="2546" w:type="dxa"/>
          </w:tcPr>
          <w:p w14:paraId="0E948648">
            <w:pPr>
              <w:pStyle w:val="113"/>
              <w:widowControl w:val="0"/>
              <w:jc w:val="both"/>
              <w:rPr>
                <w:rFonts w:hint="eastAsia" w:ascii="宋体" w:hAnsi="宋体" w:eastAsia="宋体" w:cs="宋体"/>
                <w:b/>
                <w:bCs/>
                <w:color w:val="auto"/>
                <w:sz w:val="21"/>
                <w:szCs w:val="21"/>
                <w:highlight w:val="none"/>
                <w:lang w:eastAsia="zh-CN"/>
              </w:rPr>
            </w:pPr>
          </w:p>
        </w:tc>
        <w:tc>
          <w:tcPr>
            <w:tcW w:w="2978" w:type="dxa"/>
          </w:tcPr>
          <w:p w14:paraId="53E0F5B7">
            <w:pPr>
              <w:pStyle w:val="113"/>
              <w:widowControl w:val="0"/>
              <w:jc w:val="both"/>
              <w:rPr>
                <w:rFonts w:hint="eastAsia" w:ascii="宋体" w:hAnsi="宋体" w:eastAsia="宋体" w:cs="宋体"/>
                <w:b/>
                <w:bCs/>
                <w:color w:val="auto"/>
                <w:sz w:val="21"/>
                <w:szCs w:val="21"/>
                <w:highlight w:val="none"/>
                <w:lang w:eastAsia="zh-CN"/>
              </w:rPr>
            </w:pPr>
          </w:p>
        </w:tc>
      </w:tr>
      <w:tr w14:paraId="08CA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0" w:type="dxa"/>
          </w:tcPr>
          <w:p w14:paraId="2677080C">
            <w:pPr>
              <w:pStyle w:val="113"/>
              <w:widowControl w:val="0"/>
              <w:jc w:val="both"/>
              <w:rPr>
                <w:rFonts w:hint="eastAsia" w:ascii="宋体" w:hAnsi="宋体" w:eastAsia="宋体" w:cs="宋体"/>
                <w:b/>
                <w:bCs/>
                <w:color w:val="auto"/>
                <w:sz w:val="21"/>
                <w:szCs w:val="21"/>
                <w:highlight w:val="none"/>
                <w:lang w:eastAsia="zh-CN"/>
              </w:rPr>
            </w:pPr>
          </w:p>
        </w:tc>
        <w:tc>
          <w:tcPr>
            <w:tcW w:w="1378" w:type="dxa"/>
          </w:tcPr>
          <w:p w14:paraId="6FAF1B46">
            <w:pPr>
              <w:pStyle w:val="113"/>
              <w:widowControl w:val="0"/>
              <w:jc w:val="both"/>
              <w:rPr>
                <w:rFonts w:hint="eastAsia" w:ascii="宋体" w:hAnsi="宋体" w:eastAsia="宋体" w:cs="宋体"/>
                <w:b/>
                <w:bCs/>
                <w:color w:val="auto"/>
                <w:sz w:val="21"/>
                <w:szCs w:val="21"/>
                <w:highlight w:val="none"/>
                <w:lang w:eastAsia="zh-CN"/>
              </w:rPr>
            </w:pPr>
          </w:p>
        </w:tc>
        <w:tc>
          <w:tcPr>
            <w:tcW w:w="2125" w:type="dxa"/>
          </w:tcPr>
          <w:p w14:paraId="31F610C4">
            <w:pPr>
              <w:pStyle w:val="113"/>
              <w:widowControl w:val="0"/>
              <w:jc w:val="both"/>
              <w:rPr>
                <w:rFonts w:hint="eastAsia" w:ascii="宋体" w:hAnsi="宋体" w:eastAsia="宋体" w:cs="宋体"/>
                <w:b/>
                <w:bCs/>
                <w:color w:val="auto"/>
                <w:sz w:val="21"/>
                <w:szCs w:val="21"/>
                <w:highlight w:val="none"/>
                <w:lang w:eastAsia="zh-CN"/>
              </w:rPr>
            </w:pPr>
          </w:p>
        </w:tc>
        <w:tc>
          <w:tcPr>
            <w:tcW w:w="2546" w:type="dxa"/>
          </w:tcPr>
          <w:p w14:paraId="5C3412D3">
            <w:pPr>
              <w:pStyle w:val="113"/>
              <w:widowControl w:val="0"/>
              <w:jc w:val="both"/>
              <w:rPr>
                <w:rFonts w:hint="eastAsia" w:ascii="宋体" w:hAnsi="宋体" w:eastAsia="宋体" w:cs="宋体"/>
                <w:b/>
                <w:bCs/>
                <w:color w:val="auto"/>
                <w:sz w:val="21"/>
                <w:szCs w:val="21"/>
                <w:highlight w:val="none"/>
                <w:lang w:eastAsia="zh-CN"/>
              </w:rPr>
            </w:pPr>
          </w:p>
        </w:tc>
        <w:tc>
          <w:tcPr>
            <w:tcW w:w="2978" w:type="dxa"/>
          </w:tcPr>
          <w:p w14:paraId="188B6C92">
            <w:pPr>
              <w:pStyle w:val="113"/>
              <w:widowControl w:val="0"/>
              <w:jc w:val="both"/>
              <w:rPr>
                <w:rFonts w:hint="eastAsia" w:ascii="宋体" w:hAnsi="宋体" w:eastAsia="宋体" w:cs="宋体"/>
                <w:b/>
                <w:bCs/>
                <w:color w:val="auto"/>
                <w:sz w:val="21"/>
                <w:szCs w:val="21"/>
                <w:highlight w:val="none"/>
                <w:lang w:eastAsia="zh-CN"/>
              </w:rPr>
            </w:pPr>
          </w:p>
        </w:tc>
      </w:tr>
      <w:tr w14:paraId="465E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50" w:type="dxa"/>
          </w:tcPr>
          <w:p w14:paraId="6CE8D3AD">
            <w:pPr>
              <w:pStyle w:val="113"/>
              <w:widowControl w:val="0"/>
              <w:jc w:val="both"/>
              <w:rPr>
                <w:rFonts w:hint="eastAsia" w:ascii="宋体" w:hAnsi="宋体" w:eastAsia="宋体" w:cs="宋体"/>
                <w:b/>
                <w:bCs/>
                <w:color w:val="auto"/>
                <w:sz w:val="21"/>
                <w:szCs w:val="21"/>
                <w:highlight w:val="none"/>
                <w:lang w:eastAsia="zh-CN"/>
              </w:rPr>
            </w:pPr>
          </w:p>
        </w:tc>
        <w:tc>
          <w:tcPr>
            <w:tcW w:w="1378" w:type="dxa"/>
          </w:tcPr>
          <w:p w14:paraId="1DCE87EB">
            <w:pPr>
              <w:pStyle w:val="113"/>
              <w:widowControl w:val="0"/>
              <w:jc w:val="both"/>
              <w:rPr>
                <w:rFonts w:hint="eastAsia" w:ascii="宋体" w:hAnsi="宋体" w:eastAsia="宋体" w:cs="宋体"/>
                <w:b/>
                <w:bCs/>
                <w:color w:val="auto"/>
                <w:sz w:val="21"/>
                <w:szCs w:val="21"/>
                <w:highlight w:val="none"/>
                <w:lang w:eastAsia="zh-CN"/>
              </w:rPr>
            </w:pPr>
          </w:p>
        </w:tc>
        <w:tc>
          <w:tcPr>
            <w:tcW w:w="2125" w:type="dxa"/>
          </w:tcPr>
          <w:p w14:paraId="7E2AA04F">
            <w:pPr>
              <w:pStyle w:val="113"/>
              <w:widowControl w:val="0"/>
              <w:jc w:val="both"/>
              <w:rPr>
                <w:rFonts w:hint="eastAsia" w:ascii="宋体" w:hAnsi="宋体" w:eastAsia="宋体" w:cs="宋体"/>
                <w:b/>
                <w:bCs/>
                <w:color w:val="auto"/>
                <w:sz w:val="21"/>
                <w:szCs w:val="21"/>
                <w:highlight w:val="none"/>
                <w:lang w:eastAsia="zh-CN"/>
              </w:rPr>
            </w:pPr>
          </w:p>
        </w:tc>
        <w:tc>
          <w:tcPr>
            <w:tcW w:w="2546" w:type="dxa"/>
          </w:tcPr>
          <w:p w14:paraId="4AD88BB7">
            <w:pPr>
              <w:pStyle w:val="113"/>
              <w:widowControl w:val="0"/>
              <w:jc w:val="both"/>
              <w:rPr>
                <w:rFonts w:hint="eastAsia" w:ascii="宋体" w:hAnsi="宋体" w:eastAsia="宋体" w:cs="宋体"/>
                <w:b/>
                <w:bCs/>
                <w:color w:val="auto"/>
                <w:sz w:val="21"/>
                <w:szCs w:val="21"/>
                <w:highlight w:val="none"/>
                <w:lang w:eastAsia="zh-CN"/>
              </w:rPr>
            </w:pPr>
          </w:p>
        </w:tc>
        <w:tc>
          <w:tcPr>
            <w:tcW w:w="2978" w:type="dxa"/>
          </w:tcPr>
          <w:p w14:paraId="51DC3947">
            <w:pPr>
              <w:pStyle w:val="113"/>
              <w:widowControl w:val="0"/>
              <w:jc w:val="both"/>
              <w:rPr>
                <w:rFonts w:hint="eastAsia" w:ascii="宋体" w:hAnsi="宋体" w:eastAsia="宋体" w:cs="宋体"/>
                <w:b/>
                <w:bCs/>
                <w:color w:val="auto"/>
                <w:sz w:val="21"/>
                <w:szCs w:val="21"/>
                <w:highlight w:val="none"/>
                <w:lang w:eastAsia="zh-CN"/>
              </w:rPr>
            </w:pPr>
          </w:p>
        </w:tc>
      </w:tr>
    </w:tbl>
    <w:p w14:paraId="164DD80A">
      <w:pPr>
        <w:pStyle w:val="113"/>
        <w:rPr>
          <w:rFonts w:hint="eastAsia" w:ascii="宋体" w:hAnsi="宋体" w:eastAsia="宋体" w:cs="宋体"/>
          <w:b/>
          <w:bCs/>
          <w:color w:val="auto"/>
          <w:sz w:val="21"/>
          <w:szCs w:val="21"/>
          <w:highlight w:val="none"/>
          <w:lang w:eastAsia="zh-CN"/>
        </w:rPr>
      </w:pPr>
    </w:p>
    <w:p w14:paraId="4D1AF1AA">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4D54F787">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19EB44FA">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6B8CBA">
      <w:pPr>
        <w:pStyle w:val="113"/>
        <w:ind w:firstLine="422" w:firstLineChars="200"/>
        <w:rPr>
          <w:rFonts w:hint="eastAsia" w:ascii="宋体" w:hAnsi="宋体" w:eastAsia="宋体" w:cs="宋体"/>
          <w:b/>
          <w:bCs/>
          <w:color w:val="auto"/>
          <w:sz w:val="21"/>
          <w:szCs w:val="21"/>
          <w:highlight w:val="none"/>
          <w:lang w:eastAsia="zh-CN"/>
        </w:rPr>
      </w:pPr>
    </w:p>
    <w:p w14:paraId="55A52A93">
      <w:pPr>
        <w:pStyle w:val="113"/>
        <w:ind w:firstLine="420" w:firstLineChars="200"/>
        <w:rPr>
          <w:rFonts w:hint="eastAsia" w:ascii="宋体" w:hAnsi="宋体" w:eastAsia="宋体" w:cs="宋体"/>
          <w:color w:val="auto"/>
          <w:sz w:val="21"/>
          <w:szCs w:val="21"/>
          <w:highlight w:val="none"/>
          <w:lang w:eastAsia="zh-CN"/>
        </w:rPr>
      </w:pPr>
    </w:p>
    <w:p w14:paraId="71481DF1">
      <w:pPr>
        <w:pStyle w:val="113"/>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p>
    <w:p w14:paraId="263D9208">
      <w:pPr>
        <w:pStyle w:val="113"/>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1、投标人必须按要求规范填写所有投报产品的技术偏差表。</w:t>
      </w:r>
    </w:p>
    <w:p w14:paraId="707B3921">
      <w:pPr>
        <w:pStyle w:val="113"/>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2、投标人必须根据所投产品的实际情况如实填写 ，</w:t>
      </w:r>
      <w:r>
        <w:rPr>
          <w:rFonts w:hint="eastAsia" w:ascii="宋体" w:hAnsi="宋体" w:eastAsia="宋体" w:cs="宋体"/>
          <w:b/>
          <w:bCs/>
          <w:color w:val="auto"/>
          <w:sz w:val="21"/>
          <w:szCs w:val="21"/>
          <w:highlight w:val="none"/>
          <w:lang w:eastAsia="zh-CN"/>
        </w:rPr>
        <w:t>评委会</w:t>
      </w:r>
      <w:r>
        <w:rPr>
          <w:rFonts w:hint="eastAsia" w:ascii="宋体" w:hAnsi="宋体" w:cs="宋体"/>
          <w:b/>
          <w:bCs/>
          <w:color w:val="auto"/>
          <w:sz w:val="21"/>
          <w:szCs w:val="21"/>
          <w:highlight w:val="none"/>
          <w:lang w:val="en-US" w:eastAsia="zh-CN"/>
        </w:rPr>
        <w:t>应认真核查投标文件中关于所投报产品提供的所有资料，</w:t>
      </w:r>
      <w:r>
        <w:rPr>
          <w:rFonts w:hint="eastAsia" w:ascii="宋体" w:hAnsi="宋体" w:eastAsia="宋体" w:cs="宋体"/>
          <w:b/>
          <w:bCs/>
          <w:color w:val="auto"/>
          <w:sz w:val="21"/>
          <w:szCs w:val="21"/>
          <w:highlight w:val="none"/>
          <w:lang w:eastAsia="zh-CN"/>
        </w:rPr>
        <w:t>如发现有虚假描述的，</w:t>
      </w:r>
      <w:r>
        <w:rPr>
          <w:rFonts w:hint="eastAsia" w:ascii="宋体" w:hAnsi="宋体" w:eastAsia="宋体" w:cs="宋体"/>
          <w:color w:val="auto"/>
          <w:sz w:val="21"/>
          <w:szCs w:val="21"/>
          <w:highlight w:val="none"/>
          <w:lang w:eastAsia="zh-CN"/>
        </w:rPr>
        <w:t>技术标部分将视为 0 分。</w:t>
      </w:r>
    </w:p>
    <w:p w14:paraId="67CB43B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E5FE782">
      <w:pPr>
        <w:pStyle w:val="113"/>
        <w:keepNext w:val="0"/>
        <w:keepLines w:val="0"/>
        <w:pageBreakBefore w:val="0"/>
        <w:widowControl/>
        <w:kinsoku/>
        <w:wordWrap/>
        <w:overflowPunct/>
        <w:topLinePunct w:val="0"/>
        <w:autoSpaceDE/>
        <w:autoSpaceDN/>
        <w:bidi w:val="0"/>
        <w:adjustRightInd/>
        <w:snapToGrid/>
        <w:spacing w:line="440" w:lineRule="exact"/>
        <w:ind w:firstLine="643" w:firstLineChars="200"/>
        <w:jc w:val="center"/>
        <w:textAlignment w:val="auto"/>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四、政府采购节能、环保产品汇总表</w:t>
      </w:r>
    </w:p>
    <w:p w14:paraId="5425F1EF">
      <w:pPr>
        <w:bidi w:val="0"/>
        <w:rPr>
          <w:rFonts w:hint="eastAsia"/>
          <w:color w:val="auto"/>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260"/>
        <w:gridCol w:w="1002"/>
        <w:gridCol w:w="544"/>
        <w:gridCol w:w="1382"/>
        <w:gridCol w:w="1656"/>
        <w:gridCol w:w="1722"/>
        <w:gridCol w:w="1574"/>
      </w:tblGrid>
      <w:tr w14:paraId="5F6B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73" w:type="dxa"/>
            <w:vMerge w:val="restart"/>
            <w:vAlign w:val="center"/>
          </w:tcPr>
          <w:p w14:paraId="63CA50FE">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260" w:type="dxa"/>
            <w:vMerge w:val="restart"/>
            <w:vAlign w:val="center"/>
          </w:tcPr>
          <w:p w14:paraId="06A0F613">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投报产品</w:t>
            </w:r>
          </w:p>
          <w:p w14:paraId="04E903FE">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名称</w:t>
            </w:r>
          </w:p>
        </w:tc>
        <w:tc>
          <w:tcPr>
            <w:tcW w:w="1002" w:type="dxa"/>
            <w:vMerge w:val="restart"/>
            <w:vAlign w:val="center"/>
          </w:tcPr>
          <w:p w14:paraId="3F696A35">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制造商</w:t>
            </w:r>
          </w:p>
        </w:tc>
        <w:tc>
          <w:tcPr>
            <w:tcW w:w="544" w:type="dxa"/>
            <w:vMerge w:val="restart"/>
            <w:vAlign w:val="center"/>
          </w:tcPr>
          <w:p w14:paraId="0FB43366">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w:t>
            </w:r>
          </w:p>
        </w:tc>
        <w:tc>
          <w:tcPr>
            <w:tcW w:w="1382" w:type="dxa"/>
            <w:vMerge w:val="restart"/>
            <w:vAlign w:val="center"/>
          </w:tcPr>
          <w:p w14:paraId="22036C84">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型号</w:t>
            </w:r>
          </w:p>
        </w:tc>
        <w:tc>
          <w:tcPr>
            <w:tcW w:w="3378" w:type="dxa"/>
            <w:gridSpan w:val="2"/>
            <w:vAlign w:val="center"/>
          </w:tcPr>
          <w:p w14:paraId="75B5121F">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节能产品</w:t>
            </w:r>
          </w:p>
        </w:tc>
        <w:tc>
          <w:tcPr>
            <w:tcW w:w="1574" w:type="dxa"/>
            <w:vMerge w:val="restart"/>
            <w:vAlign w:val="center"/>
          </w:tcPr>
          <w:p w14:paraId="2FFB3810">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环境标志产品认证证书编号</w:t>
            </w:r>
          </w:p>
        </w:tc>
      </w:tr>
      <w:tr w14:paraId="4A29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73" w:type="dxa"/>
            <w:vMerge w:val="continue"/>
            <w:vAlign w:val="center"/>
          </w:tcPr>
          <w:p w14:paraId="236FBC54">
            <w:pPr>
              <w:snapToGrid w:val="0"/>
              <w:jc w:val="center"/>
              <w:rPr>
                <w:rFonts w:hint="eastAsia" w:ascii="宋体" w:hAnsi="宋体" w:eastAsia="宋体" w:cs="宋体"/>
                <w:bCs/>
                <w:color w:val="auto"/>
                <w:sz w:val="21"/>
                <w:szCs w:val="21"/>
                <w:highlight w:val="none"/>
              </w:rPr>
            </w:pPr>
          </w:p>
        </w:tc>
        <w:tc>
          <w:tcPr>
            <w:tcW w:w="1260" w:type="dxa"/>
            <w:vMerge w:val="continue"/>
            <w:vAlign w:val="center"/>
          </w:tcPr>
          <w:p w14:paraId="7C9197E2">
            <w:pPr>
              <w:snapToGrid w:val="0"/>
              <w:jc w:val="center"/>
              <w:rPr>
                <w:rFonts w:hint="eastAsia" w:ascii="宋体" w:hAnsi="宋体" w:eastAsia="宋体" w:cs="宋体"/>
                <w:bCs/>
                <w:color w:val="auto"/>
                <w:sz w:val="21"/>
                <w:szCs w:val="21"/>
                <w:highlight w:val="none"/>
              </w:rPr>
            </w:pPr>
          </w:p>
        </w:tc>
        <w:tc>
          <w:tcPr>
            <w:tcW w:w="1002" w:type="dxa"/>
            <w:vMerge w:val="continue"/>
            <w:vAlign w:val="center"/>
          </w:tcPr>
          <w:p w14:paraId="62AF20A9">
            <w:pPr>
              <w:snapToGrid w:val="0"/>
              <w:jc w:val="center"/>
              <w:rPr>
                <w:rFonts w:hint="eastAsia" w:ascii="宋体" w:hAnsi="宋体" w:eastAsia="宋体" w:cs="宋体"/>
                <w:bCs/>
                <w:color w:val="auto"/>
                <w:sz w:val="21"/>
                <w:szCs w:val="21"/>
                <w:highlight w:val="none"/>
              </w:rPr>
            </w:pPr>
          </w:p>
        </w:tc>
        <w:tc>
          <w:tcPr>
            <w:tcW w:w="544" w:type="dxa"/>
            <w:vMerge w:val="continue"/>
            <w:vAlign w:val="center"/>
          </w:tcPr>
          <w:p w14:paraId="4C7AA8B4">
            <w:pPr>
              <w:snapToGrid w:val="0"/>
              <w:jc w:val="center"/>
              <w:rPr>
                <w:rFonts w:hint="eastAsia" w:ascii="宋体" w:hAnsi="宋体" w:eastAsia="宋体" w:cs="宋体"/>
                <w:bCs/>
                <w:color w:val="auto"/>
                <w:sz w:val="21"/>
                <w:szCs w:val="21"/>
                <w:highlight w:val="none"/>
              </w:rPr>
            </w:pPr>
          </w:p>
        </w:tc>
        <w:tc>
          <w:tcPr>
            <w:tcW w:w="1382" w:type="dxa"/>
            <w:vMerge w:val="continue"/>
            <w:vAlign w:val="center"/>
          </w:tcPr>
          <w:p w14:paraId="3EC56742">
            <w:pPr>
              <w:snapToGrid w:val="0"/>
              <w:jc w:val="center"/>
              <w:rPr>
                <w:rFonts w:hint="eastAsia" w:ascii="宋体" w:hAnsi="宋体" w:eastAsia="宋体" w:cs="宋体"/>
                <w:bCs/>
                <w:color w:val="auto"/>
                <w:sz w:val="21"/>
                <w:szCs w:val="21"/>
                <w:highlight w:val="none"/>
              </w:rPr>
            </w:pPr>
          </w:p>
        </w:tc>
        <w:tc>
          <w:tcPr>
            <w:tcW w:w="1656" w:type="dxa"/>
            <w:vAlign w:val="center"/>
          </w:tcPr>
          <w:p w14:paraId="24AA9D9B">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是否属于强制</w:t>
            </w:r>
          </w:p>
          <w:p w14:paraId="4E0E5D5C">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采购产品</w:t>
            </w:r>
          </w:p>
        </w:tc>
        <w:tc>
          <w:tcPr>
            <w:tcW w:w="1722" w:type="dxa"/>
            <w:vAlign w:val="center"/>
          </w:tcPr>
          <w:p w14:paraId="013F9C94">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节能标志</w:t>
            </w:r>
          </w:p>
          <w:p w14:paraId="13FF831B">
            <w:pPr>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认证证书号</w:t>
            </w:r>
          </w:p>
        </w:tc>
        <w:tc>
          <w:tcPr>
            <w:tcW w:w="1574" w:type="dxa"/>
            <w:vMerge w:val="continue"/>
            <w:vAlign w:val="center"/>
          </w:tcPr>
          <w:p w14:paraId="791E803B">
            <w:pPr>
              <w:snapToGrid w:val="0"/>
              <w:jc w:val="center"/>
              <w:rPr>
                <w:rFonts w:hint="eastAsia" w:ascii="宋体" w:hAnsi="宋体" w:eastAsia="宋体" w:cs="宋体"/>
                <w:bCs/>
                <w:color w:val="auto"/>
                <w:sz w:val="21"/>
                <w:szCs w:val="21"/>
                <w:highlight w:val="none"/>
              </w:rPr>
            </w:pPr>
          </w:p>
        </w:tc>
      </w:tr>
      <w:tr w14:paraId="633C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75A0CEE5">
            <w:pPr>
              <w:snapToGrid w:val="0"/>
              <w:rPr>
                <w:rFonts w:hint="eastAsia" w:ascii="宋体" w:hAnsi="宋体" w:eastAsia="宋体" w:cs="宋体"/>
                <w:bCs/>
                <w:color w:val="auto"/>
                <w:spacing w:val="38"/>
                <w:sz w:val="21"/>
                <w:szCs w:val="21"/>
                <w:highlight w:val="none"/>
              </w:rPr>
            </w:pPr>
          </w:p>
        </w:tc>
        <w:tc>
          <w:tcPr>
            <w:tcW w:w="1260" w:type="dxa"/>
          </w:tcPr>
          <w:p w14:paraId="654BEBF0">
            <w:pPr>
              <w:snapToGrid w:val="0"/>
              <w:rPr>
                <w:rFonts w:hint="eastAsia" w:ascii="宋体" w:hAnsi="宋体" w:eastAsia="宋体" w:cs="宋体"/>
                <w:bCs/>
                <w:color w:val="auto"/>
                <w:spacing w:val="38"/>
                <w:sz w:val="21"/>
                <w:szCs w:val="21"/>
                <w:highlight w:val="none"/>
              </w:rPr>
            </w:pPr>
          </w:p>
        </w:tc>
        <w:tc>
          <w:tcPr>
            <w:tcW w:w="1002" w:type="dxa"/>
          </w:tcPr>
          <w:p w14:paraId="0C6D8429">
            <w:pPr>
              <w:snapToGrid w:val="0"/>
              <w:rPr>
                <w:rFonts w:hint="eastAsia" w:ascii="宋体" w:hAnsi="宋体" w:eastAsia="宋体" w:cs="宋体"/>
                <w:bCs/>
                <w:color w:val="auto"/>
                <w:spacing w:val="38"/>
                <w:sz w:val="21"/>
                <w:szCs w:val="21"/>
                <w:highlight w:val="none"/>
              </w:rPr>
            </w:pPr>
          </w:p>
        </w:tc>
        <w:tc>
          <w:tcPr>
            <w:tcW w:w="544" w:type="dxa"/>
          </w:tcPr>
          <w:p w14:paraId="5DEE26EF">
            <w:pPr>
              <w:snapToGrid w:val="0"/>
              <w:rPr>
                <w:rFonts w:hint="eastAsia" w:ascii="宋体" w:hAnsi="宋体" w:eastAsia="宋体" w:cs="宋体"/>
                <w:bCs/>
                <w:color w:val="auto"/>
                <w:spacing w:val="38"/>
                <w:sz w:val="21"/>
                <w:szCs w:val="21"/>
                <w:highlight w:val="none"/>
              </w:rPr>
            </w:pPr>
          </w:p>
        </w:tc>
        <w:tc>
          <w:tcPr>
            <w:tcW w:w="1382" w:type="dxa"/>
          </w:tcPr>
          <w:p w14:paraId="4D3432E6">
            <w:pPr>
              <w:snapToGrid w:val="0"/>
              <w:rPr>
                <w:rFonts w:hint="eastAsia" w:ascii="宋体" w:hAnsi="宋体" w:eastAsia="宋体" w:cs="宋体"/>
                <w:bCs/>
                <w:color w:val="auto"/>
                <w:spacing w:val="38"/>
                <w:sz w:val="21"/>
                <w:szCs w:val="21"/>
                <w:highlight w:val="none"/>
              </w:rPr>
            </w:pPr>
          </w:p>
        </w:tc>
        <w:tc>
          <w:tcPr>
            <w:tcW w:w="1656" w:type="dxa"/>
          </w:tcPr>
          <w:p w14:paraId="3B4049E6">
            <w:pPr>
              <w:widowControl/>
              <w:snapToGrid w:val="0"/>
              <w:spacing w:line="400" w:lineRule="exact"/>
              <w:jc w:val="center"/>
              <w:rPr>
                <w:rFonts w:hint="eastAsia" w:ascii="宋体" w:hAnsi="宋体" w:eastAsia="宋体" w:cs="宋体"/>
                <w:bCs/>
                <w:color w:val="auto"/>
                <w:sz w:val="21"/>
                <w:szCs w:val="21"/>
                <w:highlight w:val="none"/>
              </w:rPr>
            </w:pPr>
          </w:p>
        </w:tc>
        <w:tc>
          <w:tcPr>
            <w:tcW w:w="1722" w:type="dxa"/>
          </w:tcPr>
          <w:p w14:paraId="05A8905F">
            <w:pPr>
              <w:widowControl/>
              <w:snapToGrid w:val="0"/>
              <w:spacing w:line="400" w:lineRule="exact"/>
              <w:jc w:val="center"/>
              <w:rPr>
                <w:rFonts w:hint="eastAsia" w:ascii="宋体" w:hAnsi="宋体" w:eastAsia="宋体" w:cs="宋体"/>
                <w:bCs/>
                <w:color w:val="auto"/>
                <w:sz w:val="21"/>
                <w:szCs w:val="21"/>
                <w:highlight w:val="none"/>
              </w:rPr>
            </w:pPr>
          </w:p>
        </w:tc>
        <w:tc>
          <w:tcPr>
            <w:tcW w:w="1574" w:type="dxa"/>
          </w:tcPr>
          <w:p w14:paraId="4F4DBA10">
            <w:pPr>
              <w:snapToGrid w:val="0"/>
              <w:spacing w:line="400" w:lineRule="exact"/>
              <w:rPr>
                <w:rFonts w:hint="eastAsia" w:ascii="宋体" w:hAnsi="宋体" w:eastAsia="宋体" w:cs="宋体"/>
                <w:bCs/>
                <w:color w:val="auto"/>
                <w:spacing w:val="38"/>
                <w:sz w:val="21"/>
                <w:szCs w:val="21"/>
                <w:highlight w:val="none"/>
              </w:rPr>
            </w:pPr>
          </w:p>
        </w:tc>
      </w:tr>
      <w:tr w14:paraId="184F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3910CD7A">
            <w:pPr>
              <w:widowControl/>
              <w:snapToGrid w:val="0"/>
              <w:spacing w:line="400" w:lineRule="exact"/>
              <w:jc w:val="center"/>
              <w:rPr>
                <w:rFonts w:hint="eastAsia" w:ascii="宋体" w:hAnsi="宋体" w:eastAsia="宋体" w:cs="宋体"/>
                <w:bCs/>
                <w:color w:val="auto"/>
                <w:sz w:val="21"/>
                <w:szCs w:val="21"/>
                <w:highlight w:val="none"/>
              </w:rPr>
            </w:pPr>
          </w:p>
        </w:tc>
        <w:tc>
          <w:tcPr>
            <w:tcW w:w="1260" w:type="dxa"/>
          </w:tcPr>
          <w:p w14:paraId="27585368">
            <w:pPr>
              <w:widowControl/>
              <w:snapToGrid w:val="0"/>
              <w:spacing w:line="400" w:lineRule="exact"/>
              <w:jc w:val="center"/>
              <w:rPr>
                <w:rFonts w:hint="eastAsia" w:ascii="宋体" w:hAnsi="宋体" w:eastAsia="宋体" w:cs="宋体"/>
                <w:bCs/>
                <w:color w:val="auto"/>
                <w:sz w:val="21"/>
                <w:szCs w:val="21"/>
                <w:highlight w:val="none"/>
              </w:rPr>
            </w:pPr>
          </w:p>
        </w:tc>
        <w:tc>
          <w:tcPr>
            <w:tcW w:w="1002" w:type="dxa"/>
          </w:tcPr>
          <w:p w14:paraId="2D856D92">
            <w:pPr>
              <w:widowControl/>
              <w:snapToGrid w:val="0"/>
              <w:spacing w:line="400" w:lineRule="exact"/>
              <w:jc w:val="center"/>
              <w:rPr>
                <w:rFonts w:hint="eastAsia" w:ascii="宋体" w:hAnsi="宋体" w:eastAsia="宋体" w:cs="宋体"/>
                <w:bCs/>
                <w:color w:val="auto"/>
                <w:sz w:val="21"/>
                <w:szCs w:val="21"/>
                <w:highlight w:val="none"/>
              </w:rPr>
            </w:pPr>
          </w:p>
        </w:tc>
        <w:tc>
          <w:tcPr>
            <w:tcW w:w="544" w:type="dxa"/>
          </w:tcPr>
          <w:p w14:paraId="081D69D4">
            <w:pPr>
              <w:widowControl/>
              <w:snapToGrid w:val="0"/>
              <w:spacing w:line="400" w:lineRule="exact"/>
              <w:jc w:val="center"/>
              <w:rPr>
                <w:rFonts w:hint="eastAsia" w:ascii="宋体" w:hAnsi="宋体" w:eastAsia="宋体" w:cs="宋体"/>
                <w:bCs/>
                <w:color w:val="auto"/>
                <w:sz w:val="21"/>
                <w:szCs w:val="21"/>
                <w:highlight w:val="none"/>
              </w:rPr>
            </w:pPr>
          </w:p>
        </w:tc>
        <w:tc>
          <w:tcPr>
            <w:tcW w:w="1382" w:type="dxa"/>
          </w:tcPr>
          <w:p w14:paraId="2A42FDE9">
            <w:pPr>
              <w:widowControl/>
              <w:snapToGrid w:val="0"/>
              <w:spacing w:line="400" w:lineRule="exact"/>
              <w:jc w:val="center"/>
              <w:rPr>
                <w:rFonts w:hint="eastAsia" w:ascii="宋体" w:hAnsi="宋体" w:eastAsia="宋体" w:cs="宋体"/>
                <w:bCs/>
                <w:color w:val="auto"/>
                <w:sz w:val="21"/>
                <w:szCs w:val="21"/>
                <w:highlight w:val="none"/>
              </w:rPr>
            </w:pPr>
          </w:p>
        </w:tc>
        <w:tc>
          <w:tcPr>
            <w:tcW w:w="1656" w:type="dxa"/>
          </w:tcPr>
          <w:p w14:paraId="51C21436">
            <w:pPr>
              <w:widowControl/>
              <w:snapToGrid w:val="0"/>
              <w:spacing w:line="400" w:lineRule="exact"/>
              <w:jc w:val="center"/>
              <w:rPr>
                <w:rFonts w:hint="eastAsia" w:ascii="宋体" w:hAnsi="宋体" w:eastAsia="宋体" w:cs="宋体"/>
                <w:bCs/>
                <w:color w:val="auto"/>
                <w:sz w:val="21"/>
                <w:szCs w:val="21"/>
                <w:highlight w:val="none"/>
              </w:rPr>
            </w:pPr>
          </w:p>
        </w:tc>
        <w:tc>
          <w:tcPr>
            <w:tcW w:w="1722" w:type="dxa"/>
          </w:tcPr>
          <w:p w14:paraId="65E5ADA8">
            <w:pPr>
              <w:widowControl/>
              <w:snapToGrid w:val="0"/>
              <w:spacing w:line="400" w:lineRule="exact"/>
              <w:jc w:val="center"/>
              <w:rPr>
                <w:rFonts w:hint="eastAsia" w:ascii="宋体" w:hAnsi="宋体" w:eastAsia="宋体" w:cs="宋体"/>
                <w:bCs/>
                <w:color w:val="auto"/>
                <w:sz w:val="21"/>
                <w:szCs w:val="21"/>
                <w:highlight w:val="none"/>
              </w:rPr>
            </w:pPr>
          </w:p>
        </w:tc>
        <w:tc>
          <w:tcPr>
            <w:tcW w:w="1574" w:type="dxa"/>
          </w:tcPr>
          <w:p w14:paraId="26F2487E">
            <w:pPr>
              <w:snapToGrid w:val="0"/>
              <w:spacing w:line="400" w:lineRule="exact"/>
              <w:rPr>
                <w:rFonts w:hint="eastAsia" w:ascii="宋体" w:hAnsi="宋体" w:eastAsia="宋体" w:cs="宋体"/>
                <w:bCs/>
                <w:color w:val="auto"/>
                <w:spacing w:val="38"/>
                <w:sz w:val="21"/>
                <w:szCs w:val="21"/>
                <w:highlight w:val="none"/>
              </w:rPr>
            </w:pPr>
          </w:p>
        </w:tc>
      </w:tr>
      <w:tr w14:paraId="3B5E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5CB66ADE">
            <w:pPr>
              <w:widowControl/>
              <w:snapToGrid w:val="0"/>
              <w:spacing w:line="400" w:lineRule="exact"/>
              <w:jc w:val="center"/>
              <w:rPr>
                <w:rFonts w:hint="eastAsia" w:ascii="宋体" w:hAnsi="宋体" w:eastAsia="宋体" w:cs="宋体"/>
                <w:bCs/>
                <w:color w:val="auto"/>
                <w:sz w:val="21"/>
                <w:szCs w:val="21"/>
                <w:highlight w:val="none"/>
              </w:rPr>
            </w:pPr>
          </w:p>
        </w:tc>
        <w:tc>
          <w:tcPr>
            <w:tcW w:w="1260" w:type="dxa"/>
          </w:tcPr>
          <w:p w14:paraId="61BC92F1">
            <w:pPr>
              <w:widowControl/>
              <w:snapToGrid w:val="0"/>
              <w:spacing w:line="400" w:lineRule="exact"/>
              <w:jc w:val="center"/>
              <w:rPr>
                <w:rFonts w:hint="eastAsia" w:ascii="宋体" w:hAnsi="宋体" w:eastAsia="宋体" w:cs="宋体"/>
                <w:bCs/>
                <w:color w:val="auto"/>
                <w:sz w:val="21"/>
                <w:szCs w:val="21"/>
                <w:highlight w:val="none"/>
              </w:rPr>
            </w:pPr>
          </w:p>
        </w:tc>
        <w:tc>
          <w:tcPr>
            <w:tcW w:w="1002" w:type="dxa"/>
          </w:tcPr>
          <w:p w14:paraId="2FB29E96">
            <w:pPr>
              <w:widowControl/>
              <w:snapToGrid w:val="0"/>
              <w:spacing w:line="400" w:lineRule="exact"/>
              <w:jc w:val="center"/>
              <w:rPr>
                <w:rFonts w:hint="eastAsia" w:ascii="宋体" w:hAnsi="宋体" w:eastAsia="宋体" w:cs="宋体"/>
                <w:bCs/>
                <w:color w:val="auto"/>
                <w:sz w:val="21"/>
                <w:szCs w:val="21"/>
                <w:highlight w:val="none"/>
              </w:rPr>
            </w:pPr>
          </w:p>
        </w:tc>
        <w:tc>
          <w:tcPr>
            <w:tcW w:w="544" w:type="dxa"/>
          </w:tcPr>
          <w:p w14:paraId="0D21F1EE">
            <w:pPr>
              <w:widowControl/>
              <w:snapToGrid w:val="0"/>
              <w:spacing w:line="400" w:lineRule="exact"/>
              <w:jc w:val="center"/>
              <w:rPr>
                <w:rFonts w:hint="eastAsia" w:ascii="宋体" w:hAnsi="宋体" w:eastAsia="宋体" w:cs="宋体"/>
                <w:bCs/>
                <w:color w:val="auto"/>
                <w:sz w:val="21"/>
                <w:szCs w:val="21"/>
                <w:highlight w:val="none"/>
              </w:rPr>
            </w:pPr>
          </w:p>
        </w:tc>
        <w:tc>
          <w:tcPr>
            <w:tcW w:w="1382" w:type="dxa"/>
          </w:tcPr>
          <w:p w14:paraId="65E450D1">
            <w:pPr>
              <w:widowControl/>
              <w:snapToGrid w:val="0"/>
              <w:spacing w:line="400" w:lineRule="exact"/>
              <w:jc w:val="center"/>
              <w:rPr>
                <w:rFonts w:hint="eastAsia" w:ascii="宋体" w:hAnsi="宋体" w:eastAsia="宋体" w:cs="宋体"/>
                <w:bCs/>
                <w:color w:val="auto"/>
                <w:sz w:val="21"/>
                <w:szCs w:val="21"/>
                <w:highlight w:val="none"/>
              </w:rPr>
            </w:pPr>
          </w:p>
        </w:tc>
        <w:tc>
          <w:tcPr>
            <w:tcW w:w="1656" w:type="dxa"/>
          </w:tcPr>
          <w:p w14:paraId="6DF9D742">
            <w:pPr>
              <w:widowControl/>
              <w:snapToGrid w:val="0"/>
              <w:spacing w:line="400" w:lineRule="exact"/>
              <w:jc w:val="center"/>
              <w:rPr>
                <w:rFonts w:hint="eastAsia" w:ascii="宋体" w:hAnsi="宋体" w:eastAsia="宋体" w:cs="宋体"/>
                <w:bCs/>
                <w:color w:val="auto"/>
                <w:sz w:val="21"/>
                <w:szCs w:val="21"/>
                <w:highlight w:val="none"/>
              </w:rPr>
            </w:pPr>
          </w:p>
        </w:tc>
        <w:tc>
          <w:tcPr>
            <w:tcW w:w="1722" w:type="dxa"/>
          </w:tcPr>
          <w:p w14:paraId="0337CB2E">
            <w:pPr>
              <w:widowControl/>
              <w:snapToGrid w:val="0"/>
              <w:spacing w:line="400" w:lineRule="exact"/>
              <w:jc w:val="center"/>
              <w:rPr>
                <w:rFonts w:hint="eastAsia" w:ascii="宋体" w:hAnsi="宋体" w:eastAsia="宋体" w:cs="宋体"/>
                <w:bCs/>
                <w:color w:val="auto"/>
                <w:sz w:val="21"/>
                <w:szCs w:val="21"/>
                <w:highlight w:val="none"/>
              </w:rPr>
            </w:pPr>
          </w:p>
        </w:tc>
        <w:tc>
          <w:tcPr>
            <w:tcW w:w="1574" w:type="dxa"/>
          </w:tcPr>
          <w:p w14:paraId="324E08A2">
            <w:pPr>
              <w:snapToGrid w:val="0"/>
              <w:spacing w:line="400" w:lineRule="exact"/>
              <w:rPr>
                <w:rFonts w:hint="eastAsia" w:ascii="宋体" w:hAnsi="宋体" w:eastAsia="宋体" w:cs="宋体"/>
                <w:bCs/>
                <w:color w:val="auto"/>
                <w:spacing w:val="38"/>
                <w:sz w:val="21"/>
                <w:szCs w:val="21"/>
                <w:highlight w:val="none"/>
              </w:rPr>
            </w:pPr>
          </w:p>
        </w:tc>
      </w:tr>
      <w:tr w14:paraId="2C88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08673FDF">
            <w:pPr>
              <w:widowControl/>
              <w:snapToGrid w:val="0"/>
              <w:spacing w:line="400" w:lineRule="exact"/>
              <w:jc w:val="center"/>
              <w:rPr>
                <w:rFonts w:hint="eastAsia" w:ascii="宋体" w:hAnsi="宋体" w:eastAsia="宋体" w:cs="宋体"/>
                <w:bCs/>
                <w:color w:val="auto"/>
                <w:sz w:val="21"/>
                <w:szCs w:val="21"/>
                <w:highlight w:val="none"/>
              </w:rPr>
            </w:pPr>
          </w:p>
        </w:tc>
        <w:tc>
          <w:tcPr>
            <w:tcW w:w="1260" w:type="dxa"/>
          </w:tcPr>
          <w:p w14:paraId="56FDD2EF">
            <w:pPr>
              <w:widowControl/>
              <w:snapToGrid w:val="0"/>
              <w:spacing w:line="400" w:lineRule="exact"/>
              <w:jc w:val="center"/>
              <w:rPr>
                <w:rFonts w:hint="eastAsia" w:ascii="宋体" w:hAnsi="宋体" w:eastAsia="宋体" w:cs="宋体"/>
                <w:bCs/>
                <w:color w:val="auto"/>
                <w:sz w:val="21"/>
                <w:szCs w:val="21"/>
                <w:highlight w:val="none"/>
              </w:rPr>
            </w:pPr>
          </w:p>
        </w:tc>
        <w:tc>
          <w:tcPr>
            <w:tcW w:w="1002" w:type="dxa"/>
          </w:tcPr>
          <w:p w14:paraId="64575283">
            <w:pPr>
              <w:widowControl/>
              <w:snapToGrid w:val="0"/>
              <w:spacing w:line="400" w:lineRule="exact"/>
              <w:jc w:val="center"/>
              <w:rPr>
                <w:rFonts w:hint="eastAsia" w:ascii="宋体" w:hAnsi="宋体" w:eastAsia="宋体" w:cs="宋体"/>
                <w:bCs/>
                <w:color w:val="auto"/>
                <w:sz w:val="21"/>
                <w:szCs w:val="21"/>
                <w:highlight w:val="none"/>
              </w:rPr>
            </w:pPr>
          </w:p>
        </w:tc>
        <w:tc>
          <w:tcPr>
            <w:tcW w:w="544" w:type="dxa"/>
          </w:tcPr>
          <w:p w14:paraId="317FC985">
            <w:pPr>
              <w:widowControl/>
              <w:snapToGrid w:val="0"/>
              <w:spacing w:line="400" w:lineRule="exact"/>
              <w:jc w:val="center"/>
              <w:rPr>
                <w:rFonts w:hint="eastAsia" w:ascii="宋体" w:hAnsi="宋体" w:eastAsia="宋体" w:cs="宋体"/>
                <w:bCs/>
                <w:color w:val="auto"/>
                <w:sz w:val="21"/>
                <w:szCs w:val="21"/>
                <w:highlight w:val="none"/>
              </w:rPr>
            </w:pPr>
          </w:p>
        </w:tc>
        <w:tc>
          <w:tcPr>
            <w:tcW w:w="1382" w:type="dxa"/>
          </w:tcPr>
          <w:p w14:paraId="3F919D3D">
            <w:pPr>
              <w:widowControl/>
              <w:snapToGrid w:val="0"/>
              <w:spacing w:line="400" w:lineRule="exact"/>
              <w:jc w:val="center"/>
              <w:rPr>
                <w:rFonts w:hint="eastAsia" w:ascii="宋体" w:hAnsi="宋体" w:eastAsia="宋体" w:cs="宋体"/>
                <w:bCs/>
                <w:color w:val="auto"/>
                <w:sz w:val="21"/>
                <w:szCs w:val="21"/>
                <w:highlight w:val="none"/>
              </w:rPr>
            </w:pPr>
          </w:p>
        </w:tc>
        <w:tc>
          <w:tcPr>
            <w:tcW w:w="1656" w:type="dxa"/>
          </w:tcPr>
          <w:p w14:paraId="70AF7B45">
            <w:pPr>
              <w:widowControl/>
              <w:snapToGrid w:val="0"/>
              <w:spacing w:line="400" w:lineRule="exact"/>
              <w:jc w:val="center"/>
              <w:rPr>
                <w:rFonts w:hint="eastAsia" w:ascii="宋体" w:hAnsi="宋体" w:eastAsia="宋体" w:cs="宋体"/>
                <w:bCs/>
                <w:color w:val="auto"/>
                <w:sz w:val="21"/>
                <w:szCs w:val="21"/>
                <w:highlight w:val="none"/>
              </w:rPr>
            </w:pPr>
          </w:p>
        </w:tc>
        <w:tc>
          <w:tcPr>
            <w:tcW w:w="1722" w:type="dxa"/>
          </w:tcPr>
          <w:p w14:paraId="59B89A58">
            <w:pPr>
              <w:widowControl/>
              <w:snapToGrid w:val="0"/>
              <w:spacing w:line="400" w:lineRule="exact"/>
              <w:jc w:val="center"/>
              <w:rPr>
                <w:rFonts w:hint="eastAsia" w:ascii="宋体" w:hAnsi="宋体" w:eastAsia="宋体" w:cs="宋体"/>
                <w:bCs/>
                <w:color w:val="auto"/>
                <w:sz w:val="21"/>
                <w:szCs w:val="21"/>
                <w:highlight w:val="none"/>
              </w:rPr>
            </w:pPr>
          </w:p>
        </w:tc>
        <w:tc>
          <w:tcPr>
            <w:tcW w:w="1574" w:type="dxa"/>
          </w:tcPr>
          <w:p w14:paraId="3D3BAF23">
            <w:pPr>
              <w:snapToGrid w:val="0"/>
              <w:spacing w:line="400" w:lineRule="exact"/>
              <w:rPr>
                <w:rFonts w:hint="eastAsia" w:ascii="宋体" w:hAnsi="宋体" w:eastAsia="宋体" w:cs="宋体"/>
                <w:bCs/>
                <w:color w:val="auto"/>
                <w:spacing w:val="38"/>
                <w:sz w:val="21"/>
                <w:szCs w:val="21"/>
                <w:highlight w:val="none"/>
              </w:rPr>
            </w:pPr>
          </w:p>
        </w:tc>
      </w:tr>
      <w:tr w14:paraId="32E1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6BF56329">
            <w:pPr>
              <w:widowControl/>
              <w:snapToGrid w:val="0"/>
              <w:spacing w:line="400" w:lineRule="exact"/>
              <w:jc w:val="center"/>
              <w:rPr>
                <w:rFonts w:hint="eastAsia" w:ascii="宋体" w:hAnsi="宋体" w:eastAsia="宋体" w:cs="宋体"/>
                <w:bCs/>
                <w:color w:val="auto"/>
                <w:sz w:val="21"/>
                <w:szCs w:val="21"/>
                <w:highlight w:val="none"/>
              </w:rPr>
            </w:pPr>
          </w:p>
        </w:tc>
        <w:tc>
          <w:tcPr>
            <w:tcW w:w="1260" w:type="dxa"/>
          </w:tcPr>
          <w:p w14:paraId="3FBA555E">
            <w:pPr>
              <w:widowControl/>
              <w:snapToGrid w:val="0"/>
              <w:spacing w:line="400" w:lineRule="exact"/>
              <w:jc w:val="center"/>
              <w:rPr>
                <w:rFonts w:hint="eastAsia" w:ascii="宋体" w:hAnsi="宋体" w:eastAsia="宋体" w:cs="宋体"/>
                <w:bCs/>
                <w:color w:val="auto"/>
                <w:sz w:val="21"/>
                <w:szCs w:val="21"/>
                <w:highlight w:val="none"/>
              </w:rPr>
            </w:pPr>
          </w:p>
        </w:tc>
        <w:tc>
          <w:tcPr>
            <w:tcW w:w="1002" w:type="dxa"/>
          </w:tcPr>
          <w:p w14:paraId="12B8CB80">
            <w:pPr>
              <w:widowControl/>
              <w:snapToGrid w:val="0"/>
              <w:spacing w:line="400" w:lineRule="exact"/>
              <w:jc w:val="center"/>
              <w:rPr>
                <w:rFonts w:hint="eastAsia" w:ascii="宋体" w:hAnsi="宋体" w:eastAsia="宋体" w:cs="宋体"/>
                <w:bCs/>
                <w:color w:val="auto"/>
                <w:sz w:val="21"/>
                <w:szCs w:val="21"/>
                <w:highlight w:val="none"/>
              </w:rPr>
            </w:pPr>
          </w:p>
        </w:tc>
        <w:tc>
          <w:tcPr>
            <w:tcW w:w="544" w:type="dxa"/>
          </w:tcPr>
          <w:p w14:paraId="7C74B645">
            <w:pPr>
              <w:widowControl/>
              <w:snapToGrid w:val="0"/>
              <w:spacing w:line="400" w:lineRule="exact"/>
              <w:jc w:val="center"/>
              <w:rPr>
                <w:rFonts w:hint="eastAsia" w:ascii="宋体" w:hAnsi="宋体" w:eastAsia="宋体" w:cs="宋体"/>
                <w:bCs/>
                <w:color w:val="auto"/>
                <w:sz w:val="21"/>
                <w:szCs w:val="21"/>
                <w:highlight w:val="none"/>
              </w:rPr>
            </w:pPr>
          </w:p>
        </w:tc>
        <w:tc>
          <w:tcPr>
            <w:tcW w:w="1382" w:type="dxa"/>
          </w:tcPr>
          <w:p w14:paraId="2C8FEFC1">
            <w:pPr>
              <w:widowControl/>
              <w:snapToGrid w:val="0"/>
              <w:spacing w:line="400" w:lineRule="exact"/>
              <w:jc w:val="center"/>
              <w:rPr>
                <w:rFonts w:hint="eastAsia" w:ascii="宋体" w:hAnsi="宋体" w:eastAsia="宋体" w:cs="宋体"/>
                <w:bCs/>
                <w:color w:val="auto"/>
                <w:sz w:val="21"/>
                <w:szCs w:val="21"/>
                <w:highlight w:val="none"/>
              </w:rPr>
            </w:pPr>
          </w:p>
        </w:tc>
        <w:tc>
          <w:tcPr>
            <w:tcW w:w="1656" w:type="dxa"/>
          </w:tcPr>
          <w:p w14:paraId="3A3ACC1F">
            <w:pPr>
              <w:widowControl/>
              <w:snapToGrid w:val="0"/>
              <w:spacing w:line="400" w:lineRule="exact"/>
              <w:jc w:val="center"/>
              <w:rPr>
                <w:rFonts w:hint="eastAsia" w:ascii="宋体" w:hAnsi="宋体" w:eastAsia="宋体" w:cs="宋体"/>
                <w:bCs/>
                <w:color w:val="auto"/>
                <w:sz w:val="21"/>
                <w:szCs w:val="21"/>
                <w:highlight w:val="none"/>
              </w:rPr>
            </w:pPr>
          </w:p>
        </w:tc>
        <w:tc>
          <w:tcPr>
            <w:tcW w:w="1722" w:type="dxa"/>
          </w:tcPr>
          <w:p w14:paraId="404A56D4">
            <w:pPr>
              <w:widowControl/>
              <w:snapToGrid w:val="0"/>
              <w:spacing w:line="400" w:lineRule="exact"/>
              <w:jc w:val="center"/>
              <w:rPr>
                <w:rFonts w:hint="eastAsia" w:ascii="宋体" w:hAnsi="宋体" w:eastAsia="宋体" w:cs="宋体"/>
                <w:bCs/>
                <w:color w:val="auto"/>
                <w:sz w:val="21"/>
                <w:szCs w:val="21"/>
                <w:highlight w:val="none"/>
              </w:rPr>
            </w:pPr>
          </w:p>
        </w:tc>
        <w:tc>
          <w:tcPr>
            <w:tcW w:w="1574" w:type="dxa"/>
          </w:tcPr>
          <w:p w14:paraId="48064B28">
            <w:pPr>
              <w:snapToGrid w:val="0"/>
              <w:spacing w:line="400" w:lineRule="exact"/>
              <w:rPr>
                <w:rFonts w:hint="eastAsia" w:ascii="宋体" w:hAnsi="宋体" w:eastAsia="宋体" w:cs="宋体"/>
                <w:bCs/>
                <w:color w:val="auto"/>
                <w:spacing w:val="38"/>
                <w:sz w:val="21"/>
                <w:szCs w:val="21"/>
                <w:highlight w:val="none"/>
              </w:rPr>
            </w:pPr>
          </w:p>
        </w:tc>
      </w:tr>
      <w:tr w14:paraId="0DB5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154CACD6">
            <w:pPr>
              <w:widowControl/>
              <w:snapToGrid w:val="0"/>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说</w:t>
            </w:r>
          </w:p>
          <w:p w14:paraId="08B7F7BB">
            <w:pPr>
              <w:widowControl/>
              <w:snapToGrid w:val="0"/>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明</w:t>
            </w:r>
          </w:p>
        </w:tc>
        <w:tc>
          <w:tcPr>
            <w:tcW w:w="9140" w:type="dxa"/>
            <w:gridSpan w:val="7"/>
          </w:tcPr>
          <w:p w14:paraId="616F3B38">
            <w:pPr>
              <w:snapToGrid w:val="0"/>
              <w:spacing w:line="400" w:lineRule="exact"/>
              <w:rPr>
                <w:rFonts w:hint="eastAsia" w:ascii="宋体" w:hAnsi="宋体" w:eastAsia="宋体" w:cs="宋体"/>
                <w:bCs/>
                <w:color w:val="auto"/>
                <w:spacing w:val="38"/>
                <w:sz w:val="21"/>
                <w:szCs w:val="21"/>
                <w:highlight w:val="none"/>
                <w:u w:val="single"/>
              </w:rPr>
            </w:pPr>
          </w:p>
        </w:tc>
      </w:tr>
    </w:tbl>
    <w:p w14:paraId="3ADE07FA">
      <w:pPr>
        <w:rPr>
          <w:rFonts w:hint="eastAsia" w:ascii="宋体" w:hAnsi="宋体" w:eastAsia="宋体" w:cs="宋体"/>
          <w:color w:val="auto"/>
          <w:highlight w:val="none"/>
        </w:rPr>
      </w:pPr>
    </w:p>
    <w:p w14:paraId="4C73259D">
      <w:pPr>
        <w:pStyle w:val="113"/>
        <w:keepNext w:val="0"/>
        <w:keepLines w:val="0"/>
        <w:pageBreakBefore w:val="0"/>
        <w:kinsoku/>
        <w:wordWrap/>
        <w:overflowPunct/>
        <w:autoSpaceDE/>
        <w:autoSpaceDN/>
        <w:bidi w:val="0"/>
        <w:adjustRightInd/>
        <w:spacing w:line="440" w:lineRule="exact"/>
        <w:textAlignment w:val="auto"/>
        <w:rPr>
          <w:rFonts w:hint="eastAsia" w:ascii="宋体" w:hAnsi="宋体" w:eastAsia="宋体" w:cs="宋体"/>
          <w:b/>
          <w:bCs/>
          <w:color w:val="auto"/>
          <w:sz w:val="21"/>
          <w:szCs w:val="21"/>
          <w:highlight w:val="none"/>
          <w:lang w:eastAsia="zh-CN"/>
        </w:rPr>
      </w:pPr>
    </w:p>
    <w:p w14:paraId="1CC38C15">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(电子签章)          </w:t>
      </w:r>
    </w:p>
    <w:p w14:paraId="329FC602">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7B1FDB83">
      <w:pPr>
        <w:topLinePunct/>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1B03C35">
      <w:pPr>
        <w:keepNext w:val="0"/>
        <w:keepLines w:val="0"/>
        <w:pageBreakBefore w:val="0"/>
        <w:kinsoku/>
        <w:wordWrap/>
        <w:overflowPunct/>
        <w:autoSpaceDE/>
        <w:autoSpaceDN/>
        <w:bidi w:val="0"/>
        <w:adjustRightInd/>
        <w:spacing w:line="440" w:lineRule="exact"/>
        <w:textAlignment w:val="auto"/>
        <w:rPr>
          <w:rFonts w:hint="eastAsia" w:ascii="宋体" w:hAnsi="宋体" w:eastAsia="宋体" w:cs="宋体"/>
          <w:color w:val="auto"/>
          <w:sz w:val="21"/>
          <w:szCs w:val="21"/>
          <w:highlight w:val="none"/>
        </w:rPr>
      </w:pPr>
    </w:p>
    <w:p w14:paraId="4C347787">
      <w:pPr>
        <w:keepNext w:val="0"/>
        <w:keepLines w:val="0"/>
        <w:pageBreakBefore w:val="0"/>
        <w:kinsoku/>
        <w:wordWrap/>
        <w:overflowPunct/>
        <w:autoSpaceDE/>
        <w:autoSpaceDN/>
        <w:bidi w:val="0"/>
        <w:adjustRightInd/>
        <w:spacing w:line="440" w:lineRule="exact"/>
        <w:textAlignment w:val="auto"/>
        <w:rPr>
          <w:rFonts w:hint="eastAsia" w:ascii="宋体" w:hAnsi="宋体" w:eastAsia="宋体" w:cs="宋体"/>
          <w:color w:val="auto"/>
          <w:sz w:val="21"/>
          <w:szCs w:val="21"/>
          <w:highlight w:val="none"/>
        </w:rPr>
      </w:pPr>
    </w:p>
    <w:p w14:paraId="6261EC1F">
      <w:pPr>
        <w:pStyle w:val="113"/>
        <w:keepNext w:val="0"/>
        <w:keepLines w:val="0"/>
        <w:pageBreakBefore w:val="0"/>
        <w:kinsoku/>
        <w:wordWrap/>
        <w:overflowPunct/>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注：  </w:t>
      </w:r>
    </w:p>
    <w:p w14:paraId="264663F1">
      <w:pPr>
        <w:pStyle w:val="113"/>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投标产品属于政府采购国家强制节能或环保产品的</w:t>
      </w:r>
      <w:r>
        <w:rPr>
          <w:rFonts w:hint="eastAsia" w:ascii="宋体" w:hAnsi="宋体" w:eastAsia="宋体" w:cs="宋体"/>
          <w:b/>
          <w:bCs/>
          <w:color w:val="auto"/>
          <w:sz w:val="21"/>
          <w:szCs w:val="21"/>
          <w:highlight w:val="none"/>
          <w:lang w:val="en-US" w:eastAsia="zh-CN"/>
        </w:rPr>
        <w:t>需填写本表</w:t>
      </w:r>
      <w:r>
        <w:rPr>
          <w:rFonts w:hint="eastAsia" w:ascii="宋体" w:hAnsi="宋体" w:eastAsia="宋体" w:cs="宋体"/>
          <w:b/>
          <w:bCs/>
          <w:color w:val="auto"/>
          <w:sz w:val="21"/>
          <w:szCs w:val="21"/>
          <w:highlight w:val="none"/>
          <w:lang w:eastAsia="zh-CN"/>
        </w:rPr>
        <w:t xml:space="preserve"> ，</w:t>
      </w:r>
      <w:r>
        <w:rPr>
          <w:rFonts w:hint="eastAsia" w:ascii="宋体" w:hAnsi="宋体" w:cs="宋体"/>
          <w:b/>
          <w:bCs/>
          <w:color w:val="auto"/>
          <w:sz w:val="21"/>
          <w:szCs w:val="21"/>
          <w:highlight w:val="none"/>
          <w:lang w:val="en-US" w:eastAsia="zh-CN"/>
        </w:rPr>
        <w:t>且需</w:t>
      </w:r>
      <w:r>
        <w:rPr>
          <w:rFonts w:hint="eastAsia" w:ascii="宋体" w:hAnsi="宋体" w:eastAsia="宋体" w:cs="宋体"/>
          <w:b/>
          <w:bCs/>
          <w:color w:val="auto"/>
          <w:sz w:val="21"/>
          <w:szCs w:val="21"/>
          <w:highlight w:val="none"/>
          <w:lang w:eastAsia="zh-CN"/>
        </w:rPr>
        <w:t>提供</w:t>
      </w:r>
      <w:r>
        <w:rPr>
          <w:rFonts w:hint="eastAsia" w:ascii="宋体" w:hAnsi="宋体" w:cs="宋体"/>
          <w:b/>
          <w:bCs/>
          <w:color w:val="auto"/>
          <w:sz w:val="21"/>
          <w:szCs w:val="21"/>
          <w:highlight w:val="none"/>
          <w:lang w:val="en-US" w:eastAsia="zh-CN"/>
        </w:rPr>
        <w:t>有效的节</w:t>
      </w:r>
      <w:r>
        <w:rPr>
          <w:rFonts w:hint="eastAsia" w:ascii="宋体" w:hAnsi="宋体" w:eastAsia="宋体" w:cs="宋体"/>
          <w:b/>
          <w:bCs/>
          <w:color w:val="auto"/>
          <w:sz w:val="21"/>
          <w:szCs w:val="21"/>
          <w:highlight w:val="none"/>
          <w:lang w:eastAsia="zh-CN"/>
        </w:rPr>
        <w:t>能或环保产品认证证书及相关附件扫描件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无相应产品的本表可以不填。</w:t>
      </w:r>
    </w:p>
    <w:p w14:paraId="4347863B">
      <w:pPr>
        <w:pStyle w:val="113"/>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按照“财政部 发展改革委  生态环境部市场监管总局 关于调整优化节能产品、环境标志产品政府采购执行机制的通知” (财库〔2019〕9号) 执行。</w:t>
      </w:r>
    </w:p>
    <w:p w14:paraId="35518923">
      <w:pPr>
        <w:rPr>
          <w:rFonts w:hint="eastAsia" w:ascii="宋体" w:hAnsi="宋体" w:eastAsia="宋体" w:cs="宋体"/>
          <w:b/>
          <w:bCs/>
          <w:color w:val="auto"/>
          <w:kern w:val="0"/>
          <w:sz w:val="36"/>
          <w:szCs w:val="36"/>
          <w:highlight w:val="none"/>
          <w:lang w:bidi="ar"/>
        </w:rPr>
      </w:pPr>
      <w:r>
        <w:rPr>
          <w:rFonts w:hint="eastAsia" w:ascii="宋体" w:hAnsi="宋体" w:eastAsia="宋体" w:cs="宋体"/>
          <w:b/>
          <w:bCs/>
          <w:color w:val="auto"/>
          <w:kern w:val="0"/>
          <w:sz w:val="36"/>
          <w:szCs w:val="36"/>
          <w:highlight w:val="none"/>
          <w:lang w:bidi="ar"/>
        </w:rPr>
        <w:br w:type="page"/>
      </w:r>
    </w:p>
    <w:p w14:paraId="45138F0B">
      <w:pPr>
        <w:widowControl/>
        <w:ind w:firstLine="2891" w:firstLineChars="800"/>
        <w:jc w:val="left"/>
        <w:outlineLvl w:val="1"/>
        <w:rPr>
          <w:rFonts w:hint="eastAsia" w:ascii="宋体" w:hAnsi="宋体" w:eastAsia="宋体" w:cs="宋体"/>
          <w:color w:val="auto"/>
          <w:highlight w:val="none"/>
        </w:rPr>
      </w:pPr>
      <w:r>
        <w:rPr>
          <w:rFonts w:hint="eastAsia" w:ascii="宋体" w:hAnsi="宋体" w:eastAsia="宋体" w:cs="宋体"/>
          <w:b/>
          <w:bCs/>
          <w:color w:val="auto"/>
          <w:kern w:val="0"/>
          <w:sz w:val="36"/>
          <w:szCs w:val="36"/>
          <w:highlight w:val="none"/>
          <w:lang w:bidi="ar"/>
        </w:rPr>
        <w:t xml:space="preserve">第四部分  其他部分 </w:t>
      </w:r>
    </w:p>
    <w:p w14:paraId="0D3F9BB3">
      <w:pPr>
        <w:jc w:val="center"/>
        <w:rPr>
          <w:rFonts w:hint="eastAsia" w:ascii="宋体" w:hAnsi="宋体" w:eastAsia="宋体" w:cs="宋体"/>
          <w:color w:val="auto"/>
          <w:sz w:val="22"/>
          <w:szCs w:val="22"/>
          <w:highlight w:val="none"/>
        </w:rPr>
      </w:pPr>
    </w:p>
    <w:p w14:paraId="24F4D5CE">
      <w:pPr>
        <w:pStyle w:val="134"/>
        <w:ind w:left="0" w:leftChars="0" w:firstLine="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（投标人认为有必要提交的其他资料）</w:t>
      </w:r>
    </w:p>
    <w:p w14:paraId="6D8667B0">
      <w:pPr>
        <w:pStyle w:val="134"/>
        <w:ind w:left="0" w:leftChars="0" w:firstLine="0"/>
        <w:rPr>
          <w:rFonts w:hint="eastAsia" w:ascii="宋体" w:hAnsi="宋体" w:eastAsia="宋体" w:cs="宋体"/>
          <w:b/>
          <w:color w:val="auto"/>
          <w:sz w:val="44"/>
          <w:szCs w:val="44"/>
          <w:highlight w:val="none"/>
        </w:rPr>
      </w:pPr>
    </w:p>
    <w:p w14:paraId="3FB6D49C">
      <w:pPr>
        <w:pStyle w:val="134"/>
        <w:ind w:left="0" w:leftChars="0" w:firstLine="0"/>
        <w:rPr>
          <w:rFonts w:hint="eastAsia" w:ascii="宋体" w:hAnsi="宋体" w:eastAsia="宋体" w:cs="宋体"/>
          <w:b/>
          <w:color w:val="auto"/>
          <w:sz w:val="44"/>
          <w:szCs w:val="44"/>
          <w:highlight w:val="none"/>
        </w:rPr>
      </w:pPr>
    </w:p>
    <w:p w14:paraId="52BA4C4E">
      <w:pPr>
        <w:pStyle w:val="134"/>
        <w:ind w:left="0" w:leftChars="0" w:firstLine="0"/>
        <w:rPr>
          <w:rFonts w:hint="eastAsia" w:ascii="宋体" w:hAnsi="宋体" w:eastAsia="宋体" w:cs="宋体"/>
          <w:b/>
          <w:color w:val="auto"/>
          <w:sz w:val="44"/>
          <w:szCs w:val="44"/>
          <w:highlight w:val="none"/>
        </w:rPr>
      </w:pPr>
    </w:p>
    <w:p w14:paraId="3F0AC57F">
      <w:pPr>
        <w:pStyle w:val="134"/>
        <w:ind w:left="0" w:leftChars="0" w:firstLine="0"/>
        <w:rPr>
          <w:rFonts w:hint="eastAsia" w:ascii="宋体" w:hAnsi="宋体" w:eastAsia="宋体" w:cs="宋体"/>
          <w:b/>
          <w:color w:val="auto"/>
          <w:sz w:val="44"/>
          <w:szCs w:val="44"/>
          <w:highlight w:val="none"/>
        </w:rPr>
      </w:pPr>
    </w:p>
    <w:p w14:paraId="74B4CF3E">
      <w:pPr>
        <w:pStyle w:val="134"/>
        <w:ind w:left="0" w:leftChars="0" w:firstLine="0"/>
        <w:rPr>
          <w:rFonts w:hint="eastAsia" w:ascii="宋体" w:hAnsi="宋体" w:eastAsia="宋体" w:cs="宋体"/>
          <w:b/>
          <w:color w:val="auto"/>
          <w:sz w:val="44"/>
          <w:szCs w:val="44"/>
          <w:highlight w:val="none"/>
        </w:rPr>
      </w:pPr>
    </w:p>
    <w:p w14:paraId="5F7E6CE9">
      <w:pPr>
        <w:pStyle w:val="113"/>
        <w:rPr>
          <w:rFonts w:hint="eastAsia" w:ascii="宋体" w:hAnsi="宋体" w:eastAsia="宋体" w:cs="宋体"/>
          <w:color w:val="auto"/>
          <w:sz w:val="24"/>
          <w:szCs w:val="24"/>
          <w:highlight w:val="none"/>
          <w:lang w:val="zh-CN" w:eastAsia="zh-CN"/>
        </w:rPr>
      </w:pPr>
    </w:p>
    <w:p w14:paraId="42CCA49B">
      <w:pPr>
        <w:spacing w:line="400" w:lineRule="exact"/>
        <w:rPr>
          <w:rFonts w:hint="eastAsia" w:ascii="宋体" w:hAnsi="宋体" w:eastAsia="宋体" w:cs="宋体"/>
          <w:color w:val="auto"/>
          <w:highlight w:val="none"/>
        </w:rPr>
      </w:pPr>
    </w:p>
    <w:p w14:paraId="507EC4C0">
      <w:pPr>
        <w:pStyle w:val="37"/>
        <w:ind w:firstLine="210"/>
        <w:rPr>
          <w:rFonts w:hint="eastAsia" w:ascii="宋体" w:hAnsi="宋体" w:eastAsia="宋体" w:cs="宋体"/>
          <w:color w:val="auto"/>
          <w:highlight w:val="none"/>
        </w:rPr>
      </w:pPr>
    </w:p>
    <w:p w14:paraId="2A0D269C">
      <w:pPr>
        <w:rPr>
          <w:rFonts w:hint="eastAsia" w:ascii="宋体" w:hAnsi="宋体" w:eastAsia="宋体" w:cs="宋体"/>
          <w:color w:val="auto"/>
          <w:highlight w:val="none"/>
        </w:rPr>
      </w:pPr>
    </w:p>
    <w:bookmarkEnd w:id="84"/>
    <w:p w14:paraId="3F9B40B9">
      <w:pPr>
        <w:rPr>
          <w:color w:val="auto"/>
          <w:highlight w:val="none"/>
        </w:rPr>
      </w:pPr>
    </w:p>
    <w:sectPr>
      <w:headerReference r:id="rId10" w:type="default"/>
      <w:footerReference r:id="rId11" w:type="default"/>
      <w:pgSz w:w="11906" w:h="16838"/>
      <w:pgMar w:top="1417" w:right="1587" w:bottom="1417" w:left="1417" w:header="85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YaHei">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17CA5">
    <w:pPr>
      <w:spacing w:line="210" w:lineRule="auto"/>
      <w:ind w:left="4523"/>
      <w:rPr>
        <w:rFonts w:ascii="Arial" w:hAnsi="Arial" w:eastAsia="Arial" w:cs="Arial"/>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7331E">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47331E">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6B9B7">
    <w:pPr>
      <w:spacing w:line="210" w:lineRule="auto"/>
      <w:ind w:left="4523"/>
      <w:rPr>
        <w:rFonts w:ascii="Arial" w:hAnsi="Arial" w:eastAsia="Arial" w:cs="Arial"/>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9349D">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B9349D">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83B4">
    <w:pPr>
      <w:spacing w:line="186" w:lineRule="auto"/>
      <w:ind w:left="4059"/>
      <w:rPr>
        <w:rFonts w:ascii="Calibri" w:hAnsi="Calibri" w:eastAsia="Calibri" w:cs="Calibri"/>
        <w:sz w:val="23"/>
        <w:szCs w:val="23"/>
      </w:rPr>
    </w:pPr>
    <w:r>
      <w:rPr>
        <w:sz w:val="2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AB32D">
                          <w:pPr>
                            <w:pStyle w:val="2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0AB32D">
                    <w:pPr>
                      <w:pStyle w:val="2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4F9C">
    <w:pPr>
      <w:spacing w:line="211" w:lineRule="auto"/>
      <w:ind w:left="3718"/>
      <w:rPr>
        <w:rFonts w:ascii="黑体" w:hAnsi="黑体" w:eastAsia="黑体" w:cs="黑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038CD">
                          <w:pPr>
                            <w:pStyle w:val="2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75038CD">
                    <w:pPr>
                      <w:pStyle w:val="2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A83D">
    <w:pPr>
      <w:spacing w:line="211" w:lineRule="auto"/>
      <w:ind w:left="3726"/>
      <w:rPr>
        <w:rFonts w:ascii="黑体" w:hAnsi="黑体" w:eastAsia="黑体" w:cs="黑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D3877">
                          <w:pPr>
                            <w:pStyle w:val="2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BFD3877">
                    <w:pPr>
                      <w:pStyle w:val="2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9730">
    <w:pPr>
      <w:spacing w:line="209" w:lineRule="auto"/>
      <w:ind w:left="3458"/>
      <w:rPr>
        <w:rFonts w:ascii="微软雅黑" w:hAnsi="微软雅黑" w:eastAsia="微软雅黑" w:cs="微软雅黑"/>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CCFB">
    <w:pPr>
      <w:spacing w:line="226" w:lineRule="auto"/>
      <w:ind w:left="27"/>
      <w:rPr>
        <w:rFonts w:ascii="宋体" w:hAnsi="宋体" w:eastAsia="宋体" w:cs="宋体"/>
        <w:sz w:val="20"/>
        <w:szCs w:val="20"/>
      </w:rPr>
    </w:pPr>
    <w:r>
      <mc:AlternateContent>
        <mc:Choice Requires="wps">
          <w:drawing>
            <wp:anchor distT="0" distB="0" distL="114300" distR="114300" simplePos="0" relativeHeight="251661312" behindDoc="0" locked="0" layoutInCell="0" allowOverlap="1">
              <wp:simplePos x="0" y="0"/>
              <wp:positionH relativeFrom="page">
                <wp:posOffset>1144905</wp:posOffset>
              </wp:positionH>
              <wp:positionV relativeFrom="page">
                <wp:posOffset>797560</wp:posOffset>
              </wp:positionV>
              <wp:extent cx="5270500"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270500" cy="6350"/>
                      </a:xfrm>
                      <a:custGeom>
                        <a:avLst/>
                        <a:gdLst/>
                        <a:ahLst/>
                        <a:cxnLst/>
                        <a:pathLst>
                          <a:path w="8300" h="10">
                            <a:moveTo>
                              <a:pt x="0" y="0"/>
                            </a:moveTo>
                            <a:lnTo>
                              <a:pt x="8300" y="0"/>
                            </a:lnTo>
                            <a:lnTo>
                              <a:pt x="830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62.8pt;height:0.5pt;width:415pt;mso-position-horizontal-relative:page;mso-position-vertical-relative:page;z-index:251661312;mso-width-relative:page;mso-height-relative:page;" fillcolor="#000000" filled="t" stroked="f" coordsize="8300,10" o:allowincell="f" o:gfxdata="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Gq7dNUAAAAMAQAADwAAAAAAAAABACAAAAAi&#10;AAAAZHJzL2Rvd25yZXYueG1sUEsBAhQAFAAAAAgAh07iQLjHhUUNAgAAeQQAAA4AAAAAAAAAAQAg&#10;AAAAJAEAAGRycy9lMm9Eb2MueG1sUEsFBgAAAAAGAAYAWQEAAKMFAAAAAA==&#10;" path="m0,0l8300,0,8300,9,0,9,0,0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4338320</wp:posOffset>
              </wp:positionH>
              <wp:positionV relativeFrom="paragraph">
                <wp:posOffset>-12065</wp:posOffset>
              </wp:positionV>
              <wp:extent cx="951865" cy="1822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51865" cy="182245"/>
                      </a:xfrm>
                      <a:prstGeom prst="rect">
                        <a:avLst/>
                      </a:prstGeom>
                      <a:noFill/>
                      <a:ln>
                        <a:noFill/>
                      </a:ln>
                    </wps:spPr>
                    <wps:txbx>
                      <w:txbxContent>
                        <w:p w14:paraId="7D86D562">
                          <w:pPr>
                            <w:spacing w:before="19" w:line="228" w:lineRule="auto"/>
                            <w:rPr>
                              <w:rFonts w:ascii="宋体" w:hAnsi="宋体" w:eastAsia="宋体" w:cs="宋体"/>
                              <w:sz w:val="20"/>
                              <w:szCs w:val="20"/>
                            </w:rPr>
                          </w:pPr>
                        </w:p>
                      </w:txbxContent>
                    </wps:txbx>
                    <wps:bodyPr lIns="0" tIns="0" rIns="0" bIns="0" upright="1"/>
                  </wps:wsp>
                </a:graphicData>
              </a:graphic>
            </wp:anchor>
          </w:drawing>
        </mc:Choice>
        <mc:Fallback>
          <w:pict>
            <v:shape id="_x0000_s1026" o:spid="_x0000_s1026" o:spt="202" type="#_x0000_t202" style="position:absolute;left:0pt;margin-left:341.6pt;margin-top:-0.95pt;height:14.35pt;width:74.95pt;z-index:251660288;mso-width-relative:page;mso-height-relative:page;" filled="f" stroked="f" coordsize="21600,21600" o:gfxdata="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caE9tkAAAAJAQAADwAAAAAAAAABACAAAAAiAAAAZHJzL2Rvd25yZXYueG1sUEsB&#10;AhQAFAAAAAgAh07iQAMiWoy7AQAAcQMAAA4AAAAAAAAAAQAgAAAAKAEAAGRycy9lMm9Eb2MueG1s&#10;UEsFBgAAAAAGAAYAWQEAAFUFAAAAAA==&#10;">
              <v:fill on="f" focussize="0,0"/>
              <v:stroke on="f"/>
              <v:imagedata o:title=""/>
              <o:lock v:ext="edit" aspectratio="f"/>
              <v:textbox inset="0mm,0mm,0mm,0mm">
                <w:txbxContent>
                  <w:p w14:paraId="7D86D562">
                    <w:pPr>
                      <w:spacing w:before="19" w:line="228" w:lineRule="auto"/>
                      <w:rPr>
                        <w:rFonts w:ascii="宋体" w:hAnsi="宋体" w:eastAsia="宋体" w:cs="宋体"/>
                        <w:sz w:val="20"/>
                        <w:szCs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9D50">
    <w:pPr>
      <w:pStyle w:val="2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D459">
    <w:pPr>
      <w:spacing w:line="209" w:lineRule="auto"/>
      <w:ind w:left="3694"/>
      <w:rPr>
        <w:rFonts w:ascii="微软雅黑" w:hAnsi="微软雅黑" w:eastAsia="微软雅黑" w:cs="微软雅黑"/>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D5AC2"/>
    <w:multiLevelType w:val="singleLevel"/>
    <w:tmpl w:val="CDCD5AC2"/>
    <w:lvl w:ilvl="0" w:tentative="0">
      <w:start w:val="20"/>
      <w:numFmt w:val="decimal"/>
      <w:suff w:val="nothing"/>
      <w:lvlText w:val="%1、"/>
      <w:lvlJc w:val="left"/>
    </w:lvl>
  </w:abstractNum>
  <w:abstractNum w:abstractNumId="1">
    <w:nsid w:val="E905B141"/>
    <w:multiLevelType w:val="singleLevel"/>
    <w:tmpl w:val="E905B141"/>
    <w:lvl w:ilvl="0" w:tentative="0">
      <w:start w:val="1"/>
      <w:numFmt w:val="chineseCounting"/>
      <w:suff w:val="nothing"/>
      <w:lvlText w:val="%1、"/>
      <w:lvlJc w:val="left"/>
      <w:rPr>
        <w:rFonts w:hint="eastAsia"/>
      </w:rPr>
    </w:lvl>
  </w:abstractNum>
  <w:abstractNum w:abstractNumId="2">
    <w:nsid w:val="1FD9E5F0"/>
    <w:multiLevelType w:val="singleLevel"/>
    <w:tmpl w:val="1FD9E5F0"/>
    <w:lvl w:ilvl="0" w:tentative="0">
      <w:start w:val="2"/>
      <w:numFmt w:val="decimal"/>
      <w:suff w:val="nothing"/>
      <w:lvlText w:val="%1、"/>
      <w:lvlJc w:val="left"/>
    </w:lvl>
  </w:abstractNum>
  <w:abstractNum w:abstractNumId="3">
    <w:nsid w:val="2AE00CE8"/>
    <w:multiLevelType w:val="multilevel"/>
    <w:tmpl w:val="2AE00CE8"/>
    <w:lvl w:ilvl="0" w:tentative="0">
      <w:start w:val="1"/>
      <w:numFmt w:val="decimal"/>
      <w:pStyle w:val="96"/>
      <w:lvlText w:val="%1."/>
      <w:lvlJc w:val="left"/>
      <w:pPr>
        <w:tabs>
          <w:tab w:val="left" w:pos="1320"/>
        </w:tabs>
        <w:ind w:left="1320" w:hanging="765"/>
      </w:pPr>
      <w:rPr>
        <w:rFonts w:hint="eastAsia"/>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59231361"/>
    <w:multiLevelType w:val="singleLevel"/>
    <w:tmpl w:val="59231361"/>
    <w:lvl w:ilvl="0" w:tentative="0">
      <w:start w:val="3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M2QzYjE0MzJjMTc5MDQzOWY3YjM5OTQ0YWZhYTEifQ=="/>
    <w:docVar w:name="KSO_WPS_MARK_KEY" w:val="7b901811-a19d-4454-88c9-a88204180783"/>
  </w:docVars>
  <w:rsids>
    <w:rsidRoot w:val="00172A27"/>
    <w:rsid w:val="00001188"/>
    <w:rsid w:val="00006517"/>
    <w:rsid w:val="00011BBA"/>
    <w:rsid w:val="000179B2"/>
    <w:rsid w:val="00017F21"/>
    <w:rsid w:val="000222AC"/>
    <w:rsid w:val="0002332B"/>
    <w:rsid w:val="000330DC"/>
    <w:rsid w:val="00034155"/>
    <w:rsid w:val="000350D5"/>
    <w:rsid w:val="0003757F"/>
    <w:rsid w:val="0004321C"/>
    <w:rsid w:val="0004456D"/>
    <w:rsid w:val="000447F4"/>
    <w:rsid w:val="0004623D"/>
    <w:rsid w:val="000601D7"/>
    <w:rsid w:val="00063A7F"/>
    <w:rsid w:val="00064901"/>
    <w:rsid w:val="00065118"/>
    <w:rsid w:val="000707F1"/>
    <w:rsid w:val="000741C7"/>
    <w:rsid w:val="000763FF"/>
    <w:rsid w:val="0008478C"/>
    <w:rsid w:val="000848CE"/>
    <w:rsid w:val="0009345E"/>
    <w:rsid w:val="000937AE"/>
    <w:rsid w:val="00096C1E"/>
    <w:rsid w:val="000A00DC"/>
    <w:rsid w:val="000B1162"/>
    <w:rsid w:val="000B1712"/>
    <w:rsid w:val="000B3355"/>
    <w:rsid w:val="000B482B"/>
    <w:rsid w:val="000B7D05"/>
    <w:rsid w:val="000C6969"/>
    <w:rsid w:val="000C6A35"/>
    <w:rsid w:val="000C6C06"/>
    <w:rsid w:val="000D004A"/>
    <w:rsid w:val="000E0370"/>
    <w:rsid w:val="000E6E3A"/>
    <w:rsid w:val="000F0D47"/>
    <w:rsid w:val="000F23DD"/>
    <w:rsid w:val="000F36B4"/>
    <w:rsid w:val="000F44E6"/>
    <w:rsid w:val="000F537B"/>
    <w:rsid w:val="001011F4"/>
    <w:rsid w:val="00106D6E"/>
    <w:rsid w:val="001100F2"/>
    <w:rsid w:val="00110906"/>
    <w:rsid w:val="001155A2"/>
    <w:rsid w:val="00115D5B"/>
    <w:rsid w:val="001179B2"/>
    <w:rsid w:val="00122F53"/>
    <w:rsid w:val="0013179D"/>
    <w:rsid w:val="001359D2"/>
    <w:rsid w:val="00135DAC"/>
    <w:rsid w:val="001441B7"/>
    <w:rsid w:val="00151EA7"/>
    <w:rsid w:val="00161640"/>
    <w:rsid w:val="0016504B"/>
    <w:rsid w:val="001668B7"/>
    <w:rsid w:val="00172A27"/>
    <w:rsid w:val="00173460"/>
    <w:rsid w:val="00173F72"/>
    <w:rsid w:val="0018247C"/>
    <w:rsid w:val="0018254A"/>
    <w:rsid w:val="001852A1"/>
    <w:rsid w:val="0019088B"/>
    <w:rsid w:val="00196FD1"/>
    <w:rsid w:val="00197AF6"/>
    <w:rsid w:val="001A542A"/>
    <w:rsid w:val="001A6314"/>
    <w:rsid w:val="001B0C4E"/>
    <w:rsid w:val="001B37AF"/>
    <w:rsid w:val="001B4618"/>
    <w:rsid w:val="001B750C"/>
    <w:rsid w:val="001E4068"/>
    <w:rsid w:val="001E752A"/>
    <w:rsid w:val="001F19AB"/>
    <w:rsid w:val="002020D0"/>
    <w:rsid w:val="00205979"/>
    <w:rsid w:val="002064C3"/>
    <w:rsid w:val="002138BB"/>
    <w:rsid w:val="00214A7F"/>
    <w:rsid w:val="0022434F"/>
    <w:rsid w:val="0022440F"/>
    <w:rsid w:val="00224E25"/>
    <w:rsid w:val="00225F77"/>
    <w:rsid w:val="00232B9D"/>
    <w:rsid w:val="00235340"/>
    <w:rsid w:val="00235CBB"/>
    <w:rsid w:val="00236CCF"/>
    <w:rsid w:val="00242A2A"/>
    <w:rsid w:val="00254366"/>
    <w:rsid w:val="002566E0"/>
    <w:rsid w:val="002579D1"/>
    <w:rsid w:val="0026152E"/>
    <w:rsid w:val="002641A1"/>
    <w:rsid w:val="00277868"/>
    <w:rsid w:val="00280275"/>
    <w:rsid w:val="00281847"/>
    <w:rsid w:val="002821BE"/>
    <w:rsid w:val="00285872"/>
    <w:rsid w:val="00291F15"/>
    <w:rsid w:val="002925BD"/>
    <w:rsid w:val="002928DA"/>
    <w:rsid w:val="002A2660"/>
    <w:rsid w:val="002A29E9"/>
    <w:rsid w:val="002A516C"/>
    <w:rsid w:val="002A61F1"/>
    <w:rsid w:val="002B1A76"/>
    <w:rsid w:val="002B7FCF"/>
    <w:rsid w:val="002C318B"/>
    <w:rsid w:val="002C443D"/>
    <w:rsid w:val="002C551E"/>
    <w:rsid w:val="002D107D"/>
    <w:rsid w:val="002D1A16"/>
    <w:rsid w:val="002D2BD6"/>
    <w:rsid w:val="002D4916"/>
    <w:rsid w:val="002D4BEE"/>
    <w:rsid w:val="002D5AF3"/>
    <w:rsid w:val="002D734E"/>
    <w:rsid w:val="002E071D"/>
    <w:rsid w:val="002E14F3"/>
    <w:rsid w:val="002E5F96"/>
    <w:rsid w:val="002F3257"/>
    <w:rsid w:val="002F3A09"/>
    <w:rsid w:val="00300DDD"/>
    <w:rsid w:val="003028CE"/>
    <w:rsid w:val="00303F39"/>
    <w:rsid w:val="0031392E"/>
    <w:rsid w:val="00326BFF"/>
    <w:rsid w:val="00327023"/>
    <w:rsid w:val="003328DC"/>
    <w:rsid w:val="00334ECC"/>
    <w:rsid w:val="0034148F"/>
    <w:rsid w:val="00343378"/>
    <w:rsid w:val="00346D6A"/>
    <w:rsid w:val="00352B22"/>
    <w:rsid w:val="0035706C"/>
    <w:rsid w:val="003575B9"/>
    <w:rsid w:val="00357D60"/>
    <w:rsid w:val="00361A28"/>
    <w:rsid w:val="00362499"/>
    <w:rsid w:val="00362D9E"/>
    <w:rsid w:val="003745CA"/>
    <w:rsid w:val="003752C8"/>
    <w:rsid w:val="00375E47"/>
    <w:rsid w:val="00376ACB"/>
    <w:rsid w:val="003771B0"/>
    <w:rsid w:val="00377CFE"/>
    <w:rsid w:val="003821AA"/>
    <w:rsid w:val="00386269"/>
    <w:rsid w:val="003A07D6"/>
    <w:rsid w:val="003A2D92"/>
    <w:rsid w:val="003A477B"/>
    <w:rsid w:val="003A588D"/>
    <w:rsid w:val="003B0A14"/>
    <w:rsid w:val="003B3878"/>
    <w:rsid w:val="003C0FFB"/>
    <w:rsid w:val="003C21E4"/>
    <w:rsid w:val="003C2500"/>
    <w:rsid w:val="003C5FF3"/>
    <w:rsid w:val="003C621A"/>
    <w:rsid w:val="003C6986"/>
    <w:rsid w:val="003D128F"/>
    <w:rsid w:val="003D3815"/>
    <w:rsid w:val="003D5DF8"/>
    <w:rsid w:val="003D69A4"/>
    <w:rsid w:val="003D7093"/>
    <w:rsid w:val="003D7105"/>
    <w:rsid w:val="003E2650"/>
    <w:rsid w:val="003E3800"/>
    <w:rsid w:val="003E5CCB"/>
    <w:rsid w:val="003E767C"/>
    <w:rsid w:val="003F0642"/>
    <w:rsid w:val="003F15A8"/>
    <w:rsid w:val="00405295"/>
    <w:rsid w:val="00412D8B"/>
    <w:rsid w:val="0041520E"/>
    <w:rsid w:val="0042218B"/>
    <w:rsid w:val="004225E9"/>
    <w:rsid w:val="00423562"/>
    <w:rsid w:val="004410DD"/>
    <w:rsid w:val="004415B9"/>
    <w:rsid w:val="00441FD2"/>
    <w:rsid w:val="004432F8"/>
    <w:rsid w:val="004459D2"/>
    <w:rsid w:val="00450336"/>
    <w:rsid w:val="00455CA2"/>
    <w:rsid w:val="00457F3F"/>
    <w:rsid w:val="00460A69"/>
    <w:rsid w:val="00464D9D"/>
    <w:rsid w:val="004671C9"/>
    <w:rsid w:val="00471748"/>
    <w:rsid w:val="00472D19"/>
    <w:rsid w:val="00472EC0"/>
    <w:rsid w:val="0047309C"/>
    <w:rsid w:val="0047455C"/>
    <w:rsid w:val="00475007"/>
    <w:rsid w:val="00475CE7"/>
    <w:rsid w:val="00477EF8"/>
    <w:rsid w:val="0049083D"/>
    <w:rsid w:val="00491948"/>
    <w:rsid w:val="00496D0C"/>
    <w:rsid w:val="004A0482"/>
    <w:rsid w:val="004A1DA8"/>
    <w:rsid w:val="004A6981"/>
    <w:rsid w:val="004B39A4"/>
    <w:rsid w:val="004C400A"/>
    <w:rsid w:val="004C42A5"/>
    <w:rsid w:val="004C6F08"/>
    <w:rsid w:val="004D0CDC"/>
    <w:rsid w:val="004D255C"/>
    <w:rsid w:val="004D4018"/>
    <w:rsid w:val="004D6F42"/>
    <w:rsid w:val="004D7B55"/>
    <w:rsid w:val="004E1245"/>
    <w:rsid w:val="004E2178"/>
    <w:rsid w:val="004F16FC"/>
    <w:rsid w:val="004F3832"/>
    <w:rsid w:val="004F566B"/>
    <w:rsid w:val="00500138"/>
    <w:rsid w:val="005037B9"/>
    <w:rsid w:val="00505216"/>
    <w:rsid w:val="00506C92"/>
    <w:rsid w:val="005119D7"/>
    <w:rsid w:val="00512299"/>
    <w:rsid w:val="0051359A"/>
    <w:rsid w:val="00520D0C"/>
    <w:rsid w:val="00521653"/>
    <w:rsid w:val="00530EA2"/>
    <w:rsid w:val="005316ED"/>
    <w:rsid w:val="005334C5"/>
    <w:rsid w:val="00534645"/>
    <w:rsid w:val="0053542B"/>
    <w:rsid w:val="005464E9"/>
    <w:rsid w:val="00550C22"/>
    <w:rsid w:val="00550D15"/>
    <w:rsid w:val="00551E07"/>
    <w:rsid w:val="00552FC1"/>
    <w:rsid w:val="005574D5"/>
    <w:rsid w:val="00562FC1"/>
    <w:rsid w:val="005637D6"/>
    <w:rsid w:val="00563B5C"/>
    <w:rsid w:val="0056605F"/>
    <w:rsid w:val="00567E04"/>
    <w:rsid w:val="00575A8F"/>
    <w:rsid w:val="00580BE7"/>
    <w:rsid w:val="00581272"/>
    <w:rsid w:val="0058295E"/>
    <w:rsid w:val="00582F69"/>
    <w:rsid w:val="005833D0"/>
    <w:rsid w:val="00592048"/>
    <w:rsid w:val="00597639"/>
    <w:rsid w:val="005A12DF"/>
    <w:rsid w:val="005A19F5"/>
    <w:rsid w:val="005A3909"/>
    <w:rsid w:val="005B0F7E"/>
    <w:rsid w:val="005B1B09"/>
    <w:rsid w:val="005B348C"/>
    <w:rsid w:val="005C1635"/>
    <w:rsid w:val="005C4626"/>
    <w:rsid w:val="005C7BBC"/>
    <w:rsid w:val="005D011A"/>
    <w:rsid w:val="005D1DBC"/>
    <w:rsid w:val="005D2DE1"/>
    <w:rsid w:val="005D3BD9"/>
    <w:rsid w:val="005D4A3B"/>
    <w:rsid w:val="005E172C"/>
    <w:rsid w:val="005E21DE"/>
    <w:rsid w:val="005E23B9"/>
    <w:rsid w:val="005E66C4"/>
    <w:rsid w:val="0060199D"/>
    <w:rsid w:val="00610A4A"/>
    <w:rsid w:val="00612445"/>
    <w:rsid w:val="00621AA1"/>
    <w:rsid w:val="00632839"/>
    <w:rsid w:val="00635F4B"/>
    <w:rsid w:val="0063678E"/>
    <w:rsid w:val="00637048"/>
    <w:rsid w:val="00637F1C"/>
    <w:rsid w:val="00641E24"/>
    <w:rsid w:val="00650841"/>
    <w:rsid w:val="00652A60"/>
    <w:rsid w:val="00653379"/>
    <w:rsid w:val="006577C3"/>
    <w:rsid w:val="00662C05"/>
    <w:rsid w:val="006640B2"/>
    <w:rsid w:val="00666957"/>
    <w:rsid w:val="00675A0C"/>
    <w:rsid w:val="0068016C"/>
    <w:rsid w:val="00680279"/>
    <w:rsid w:val="006847B4"/>
    <w:rsid w:val="006873E3"/>
    <w:rsid w:val="006909CA"/>
    <w:rsid w:val="00696FD3"/>
    <w:rsid w:val="006A0A06"/>
    <w:rsid w:val="006A656B"/>
    <w:rsid w:val="006A6768"/>
    <w:rsid w:val="006A7139"/>
    <w:rsid w:val="006B1567"/>
    <w:rsid w:val="006B2333"/>
    <w:rsid w:val="006B436A"/>
    <w:rsid w:val="006C4342"/>
    <w:rsid w:val="006C4CC5"/>
    <w:rsid w:val="006D1B85"/>
    <w:rsid w:val="006D2EAE"/>
    <w:rsid w:val="006D36D3"/>
    <w:rsid w:val="006D53EC"/>
    <w:rsid w:val="006F1F20"/>
    <w:rsid w:val="006F60C4"/>
    <w:rsid w:val="006F7949"/>
    <w:rsid w:val="0070073F"/>
    <w:rsid w:val="00701E93"/>
    <w:rsid w:val="0070276A"/>
    <w:rsid w:val="00704BF9"/>
    <w:rsid w:val="007110AB"/>
    <w:rsid w:val="00732829"/>
    <w:rsid w:val="007331EA"/>
    <w:rsid w:val="00733F50"/>
    <w:rsid w:val="00736E7A"/>
    <w:rsid w:val="00737707"/>
    <w:rsid w:val="0074363E"/>
    <w:rsid w:val="00754C5C"/>
    <w:rsid w:val="00766E4C"/>
    <w:rsid w:val="00767E0A"/>
    <w:rsid w:val="007704F6"/>
    <w:rsid w:val="007779FC"/>
    <w:rsid w:val="007854C9"/>
    <w:rsid w:val="00786F89"/>
    <w:rsid w:val="00787182"/>
    <w:rsid w:val="00787451"/>
    <w:rsid w:val="00790D04"/>
    <w:rsid w:val="00794702"/>
    <w:rsid w:val="007A09A1"/>
    <w:rsid w:val="007A2A81"/>
    <w:rsid w:val="007B03E9"/>
    <w:rsid w:val="007B05CE"/>
    <w:rsid w:val="007C380B"/>
    <w:rsid w:val="007C73AD"/>
    <w:rsid w:val="007C759F"/>
    <w:rsid w:val="007D0425"/>
    <w:rsid w:val="007D6E67"/>
    <w:rsid w:val="007E033B"/>
    <w:rsid w:val="007E1C73"/>
    <w:rsid w:val="007E28DE"/>
    <w:rsid w:val="007F2528"/>
    <w:rsid w:val="007F61EB"/>
    <w:rsid w:val="007F7F26"/>
    <w:rsid w:val="00800C45"/>
    <w:rsid w:val="00800D02"/>
    <w:rsid w:val="00802EDD"/>
    <w:rsid w:val="00803625"/>
    <w:rsid w:val="008049B5"/>
    <w:rsid w:val="00807389"/>
    <w:rsid w:val="00820110"/>
    <w:rsid w:val="00820ED0"/>
    <w:rsid w:val="00821E69"/>
    <w:rsid w:val="00822F04"/>
    <w:rsid w:val="0082731F"/>
    <w:rsid w:val="0082737B"/>
    <w:rsid w:val="008305DE"/>
    <w:rsid w:val="0083376E"/>
    <w:rsid w:val="00850243"/>
    <w:rsid w:val="00850A3C"/>
    <w:rsid w:val="00851A8B"/>
    <w:rsid w:val="00851B2F"/>
    <w:rsid w:val="008609DC"/>
    <w:rsid w:val="00862BC8"/>
    <w:rsid w:val="008746B8"/>
    <w:rsid w:val="00877193"/>
    <w:rsid w:val="00880064"/>
    <w:rsid w:val="008816E5"/>
    <w:rsid w:val="008852A4"/>
    <w:rsid w:val="00885E46"/>
    <w:rsid w:val="00887417"/>
    <w:rsid w:val="00890427"/>
    <w:rsid w:val="008909E8"/>
    <w:rsid w:val="00892ECA"/>
    <w:rsid w:val="00896487"/>
    <w:rsid w:val="00897528"/>
    <w:rsid w:val="00897544"/>
    <w:rsid w:val="008A4E3F"/>
    <w:rsid w:val="008A767F"/>
    <w:rsid w:val="008B00DD"/>
    <w:rsid w:val="008B0CB5"/>
    <w:rsid w:val="008C1481"/>
    <w:rsid w:val="008C2693"/>
    <w:rsid w:val="008C7755"/>
    <w:rsid w:val="008D48ED"/>
    <w:rsid w:val="008D6D22"/>
    <w:rsid w:val="008E0C69"/>
    <w:rsid w:val="008E5C86"/>
    <w:rsid w:val="008E5E57"/>
    <w:rsid w:val="008E60E1"/>
    <w:rsid w:val="008E72C3"/>
    <w:rsid w:val="008F03B9"/>
    <w:rsid w:val="009021B1"/>
    <w:rsid w:val="009106E4"/>
    <w:rsid w:val="00911C39"/>
    <w:rsid w:val="00922943"/>
    <w:rsid w:val="00923BB2"/>
    <w:rsid w:val="009245EF"/>
    <w:rsid w:val="00930393"/>
    <w:rsid w:val="009319AE"/>
    <w:rsid w:val="00931CE7"/>
    <w:rsid w:val="00936311"/>
    <w:rsid w:val="0094151C"/>
    <w:rsid w:val="00942EEC"/>
    <w:rsid w:val="009523E1"/>
    <w:rsid w:val="00953881"/>
    <w:rsid w:val="00953F41"/>
    <w:rsid w:val="009639E4"/>
    <w:rsid w:val="009649F1"/>
    <w:rsid w:val="009666D8"/>
    <w:rsid w:val="009806E7"/>
    <w:rsid w:val="00984FF7"/>
    <w:rsid w:val="00986168"/>
    <w:rsid w:val="00986CE4"/>
    <w:rsid w:val="009A3D3A"/>
    <w:rsid w:val="009A44E6"/>
    <w:rsid w:val="009B5DC5"/>
    <w:rsid w:val="009B6A44"/>
    <w:rsid w:val="009C00B7"/>
    <w:rsid w:val="009C2F4F"/>
    <w:rsid w:val="009C38E6"/>
    <w:rsid w:val="009D0EA3"/>
    <w:rsid w:val="009E1AEC"/>
    <w:rsid w:val="009E5F72"/>
    <w:rsid w:val="009F24D2"/>
    <w:rsid w:val="009F6ACE"/>
    <w:rsid w:val="00A23FC3"/>
    <w:rsid w:val="00A246D3"/>
    <w:rsid w:val="00A25BCE"/>
    <w:rsid w:val="00A27C11"/>
    <w:rsid w:val="00A31D0A"/>
    <w:rsid w:val="00A32798"/>
    <w:rsid w:val="00A3523C"/>
    <w:rsid w:val="00A36EB2"/>
    <w:rsid w:val="00A4060F"/>
    <w:rsid w:val="00A420B4"/>
    <w:rsid w:val="00A46B9F"/>
    <w:rsid w:val="00A52462"/>
    <w:rsid w:val="00A54284"/>
    <w:rsid w:val="00A54FC4"/>
    <w:rsid w:val="00A552E5"/>
    <w:rsid w:val="00A607E7"/>
    <w:rsid w:val="00A60DFA"/>
    <w:rsid w:val="00A63D53"/>
    <w:rsid w:val="00A67A11"/>
    <w:rsid w:val="00A71382"/>
    <w:rsid w:val="00A73012"/>
    <w:rsid w:val="00A733F6"/>
    <w:rsid w:val="00A80589"/>
    <w:rsid w:val="00A81FCB"/>
    <w:rsid w:val="00A860F7"/>
    <w:rsid w:val="00A87C46"/>
    <w:rsid w:val="00A916DF"/>
    <w:rsid w:val="00A92251"/>
    <w:rsid w:val="00A93671"/>
    <w:rsid w:val="00A93FDE"/>
    <w:rsid w:val="00A962C4"/>
    <w:rsid w:val="00A97EBD"/>
    <w:rsid w:val="00AA00EC"/>
    <w:rsid w:val="00AA02DA"/>
    <w:rsid w:val="00AA68A5"/>
    <w:rsid w:val="00AA71C6"/>
    <w:rsid w:val="00AB2126"/>
    <w:rsid w:val="00AB2162"/>
    <w:rsid w:val="00AB4F0D"/>
    <w:rsid w:val="00AC6CF5"/>
    <w:rsid w:val="00AD3EB1"/>
    <w:rsid w:val="00AD7AA0"/>
    <w:rsid w:val="00AE140C"/>
    <w:rsid w:val="00AE5126"/>
    <w:rsid w:val="00AF2E9D"/>
    <w:rsid w:val="00AF328C"/>
    <w:rsid w:val="00AF362D"/>
    <w:rsid w:val="00AF51FB"/>
    <w:rsid w:val="00AF5F20"/>
    <w:rsid w:val="00B0446D"/>
    <w:rsid w:val="00B05492"/>
    <w:rsid w:val="00B11665"/>
    <w:rsid w:val="00B12E4A"/>
    <w:rsid w:val="00B13F7C"/>
    <w:rsid w:val="00B16823"/>
    <w:rsid w:val="00B16DC0"/>
    <w:rsid w:val="00B333C8"/>
    <w:rsid w:val="00B33878"/>
    <w:rsid w:val="00B351F3"/>
    <w:rsid w:val="00B42080"/>
    <w:rsid w:val="00B42AFC"/>
    <w:rsid w:val="00B47D42"/>
    <w:rsid w:val="00B52DCF"/>
    <w:rsid w:val="00B53FE7"/>
    <w:rsid w:val="00B54A3C"/>
    <w:rsid w:val="00B60CAB"/>
    <w:rsid w:val="00B610BB"/>
    <w:rsid w:val="00B61994"/>
    <w:rsid w:val="00B67060"/>
    <w:rsid w:val="00B73B6D"/>
    <w:rsid w:val="00B73BF9"/>
    <w:rsid w:val="00B775F8"/>
    <w:rsid w:val="00B81900"/>
    <w:rsid w:val="00B84899"/>
    <w:rsid w:val="00B84B9F"/>
    <w:rsid w:val="00B91BAB"/>
    <w:rsid w:val="00B92EF3"/>
    <w:rsid w:val="00B958C8"/>
    <w:rsid w:val="00B96C72"/>
    <w:rsid w:val="00BA259E"/>
    <w:rsid w:val="00BA25CD"/>
    <w:rsid w:val="00BA3E24"/>
    <w:rsid w:val="00BA6FBE"/>
    <w:rsid w:val="00BA7D65"/>
    <w:rsid w:val="00BB1579"/>
    <w:rsid w:val="00BB323D"/>
    <w:rsid w:val="00BC2CE2"/>
    <w:rsid w:val="00BC3A1F"/>
    <w:rsid w:val="00BC7F3D"/>
    <w:rsid w:val="00BD02F5"/>
    <w:rsid w:val="00BD1318"/>
    <w:rsid w:val="00BD20CA"/>
    <w:rsid w:val="00BD4C18"/>
    <w:rsid w:val="00BD74C7"/>
    <w:rsid w:val="00BE3927"/>
    <w:rsid w:val="00BE60EE"/>
    <w:rsid w:val="00BE6109"/>
    <w:rsid w:val="00BE75D1"/>
    <w:rsid w:val="00BF168E"/>
    <w:rsid w:val="00BF27F8"/>
    <w:rsid w:val="00BF286A"/>
    <w:rsid w:val="00BF7E82"/>
    <w:rsid w:val="00C0123B"/>
    <w:rsid w:val="00C03020"/>
    <w:rsid w:val="00C03938"/>
    <w:rsid w:val="00C054E8"/>
    <w:rsid w:val="00C10B5B"/>
    <w:rsid w:val="00C11BDA"/>
    <w:rsid w:val="00C202DA"/>
    <w:rsid w:val="00C21A50"/>
    <w:rsid w:val="00C322BC"/>
    <w:rsid w:val="00C35432"/>
    <w:rsid w:val="00C35B00"/>
    <w:rsid w:val="00C36CB2"/>
    <w:rsid w:val="00C40CB6"/>
    <w:rsid w:val="00C410C2"/>
    <w:rsid w:val="00C44CC9"/>
    <w:rsid w:val="00C5209A"/>
    <w:rsid w:val="00C52E0D"/>
    <w:rsid w:val="00C533AB"/>
    <w:rsid w:val="00C5719C"/>
    <w:rsid w:val="00C652D0"/>
    <w:rsid w:val="00C66410"/>
    <w:rsid w:val="00C70955"/>
    <w:rsid w:val="00C72E25"/>
    <w:rsid w:val="00C76008"/>
    <w:rsid w:val="00C76D73"/>
    <w:rsid w:val="00C857F8"/>
    <w:rsid w:val="00C85D52"/>
    <w:rsid w:val="00C85F46"/>
    <w:rsid w:val="00C90821"/>
    <w:rsid w:val="00C923F1"/>
    <w:rsid w:val="00CB1EB4"/>
    <w:rsid w:val="00CB20D2"/>
    <w:rsid w:val="00CB5910"/>
    <w:rsid w:val="00CB592F"/>
    <w:rsid w:val="00CC3052"/>
    <w:rsid w:val="00CC4169"/>
    <w:rsid w:val="00CC6AB6"/>
    <w:rsid w:val="00CD1EA5"/>
    <w:rsid w:val="00CD30AF"/>
    <w:rsid w:val="00CD3536"/>
    <w:rsid w:val="00CD39A1"/>
    <w:rsid w:val="00CD79DA"/>
    <w:rsid w:val="00CE0952"/>
    <w:rsid w:val="00CE09CC"/>
    <w:rsid w:val="00CE19CF"/>
    <w:rsid w:val="00CE1EE6"/>
    <w:rsid w:val="00CE3A35"/>
    <w:rsid w:val="00CE50DA"/>
    <w:rsid w:val="00CF1471"/>
    <w:rsid w:val="00CF37DD"/>
    <w:rsid w:val="00CF3F86"/>
    <w:rsid w:val="00CF4CEB"/>
    <w:rsid w:val="00CF773A"/>
    <w:rsid w:val="00D003AD"/>
    <w:rsid w:val="00D01056"/>
    <w:rsid w:val="00D01BA7"/>
    <w:rsid w:val="00D0247F"/>
    <w:rsid w:val="00D04FCD"/>
    <w:rsid w:val="00D054D6"/>
    <w:rsid w:val="00D05C5B"/>
    <w:rsid w:val="00D11739"/>
    <w:rsid w:val="00D13DFD"/>
    <w:rsid w:val="00D14973"/>
    <w:rsid w:val="00D151CF"/>
    <w:rsid w:val="00D20B4D"/>
    <w:rsid w:val="00D3083D"/>
    <w:rsid w:val="00D30F85"/>
    <w:rsid w:val="00D322DA"/>
    <w:rsid w:val="00D4369D"/>
    <w:rsid w:val="00D442BE"/>
    <w:rsid w:val="00D46D84"/>
    <w:rsid w:val="00D47383"/>
    <w:rsid w:val="00D51574"/>
    <w:rsid w:val="00D51F61"/>
    <w:rsid w:val="00D57A2E"/>
    <w:rsid w:val="00D77B6A"/>
    <w:rsid w:val="00D80822"/>
    <w:rsid w:val="00D927C2"/>
    <w:rsid w:val="00D97529"/>
    <w:rsid w:val="00D97F1F"/>
    <w:rsid w:val="00DA019F"/>
    <w:rsid w:val="00DA099F"/>
    <w:rsid w:val="00DA3BA6"/>
    <w:rsid w:val="00DA41F4"/>
    <w:rsid w:val="00DA4E13"/>
    <w:rsid w:val="00DA5D70"/>
    <w:rsid w:val="00DA7BBD"/>
    <w:rsid w:val="00DB06A4"/>
    <w:rsid w:val="00DB08AB"/>
    <w:rsid w:val="00DB39C4"/>
    <w:rsid w:val="00DB453B"/>
    <w:rsid w:val="00DB5DA1"/>
    <w:rsid w:val="00DC5D09"/>
    <w:rsid w:val="00DC5E6F"/>
    <w:rsid w:val="00DD2214"/>
    <w:rsid w:val="00DD34EE"/>
    <w:rsid w:val="00DD58E6"/>
    <w:rsid w:val="00DE0F71"/>
    <w:rsid w:val="00DE1BE7"/>
    <w:rsid w:val="00DE1DC5"/>
    <w:rsid w:val="00DE2A6F"/>
    <w:rsid w:val="00DE746C"/>
    <w:rsid w:val="00DF0621"/>
    <w:rsid w:val="00DF2A11"/>
    <w:rsid w:val="00E01B1B"/>
    <w:rsid w:val="00E07ACA"/>
    <w:rsid w:val="00E1179D"/>
    <w:rsid w:val="00E12F1E"/>
    <w:rsid w:val="00E1534C"/>
    <w:rsid w:val="00E17C75"/>
    <w:rsid w:val="00E20604"/>
    <w:rsid w:val="00E21031"/>
    <w:rsid w:val="00E21EE4"/>
    <w:rsid w:val="00E222D1"/>
    <w:rsid w:val="00E237DA"/>
    <w:rsid w:val="00E23B17"/>
    <w:rsid w:val="00E26A56"/>
    <w:rsid w:val="00E27034"/>
    <w:rsid w:val="00E31F36"/>
    <w:rsid w:val="00E34AB9"/>
    <w:rsid w:val="00E43103"/>
    <w:rsid w:val="00E453B1"/>
    <w:rsid w:val="00E45979"/>
    <w:rsid w:val="00E45D28"/>
    <w:rsid w:val="00E45EA7"/>
    <w:rsid w:val="00E46275"/>
    <w:rsid w:val="00E465FB"/>
    <w:rsid w:val="00E47CEB"/>
    <w:rsid w:val="00E518A2"/>
    <w:rsid w:val="00E5451A"/>
    <w:rsid w:val="00E54780"/>
    <w:rsid w:val="00E56F47"/>
    <w:rsid w:val="00E57F03"/>
    <w:rsid w:val="00E6154A"/>
    <w:rsid w:val="00E63819"/>
    <w:rsid w:val="00E649A6"/>
    <w:rsid w:val="00E64D6A"/>
    <w:rsid w:val="00E6668B"/>
    <w:rsid w:val="00E7013D"/>
    <w:rsid w:val="00E73D57"/>
    <w:rsid w:val="00E7575A"/>
    <w:rsid w:val="00E7711D"/>
    <w:rsid w:val="00E80D84"/>
    <w:rsid w:val="00E815AC"/>
    <w:rsid w:val="00E82031"/>
    <w:rsid w:val="00E86B00"/>
    <w:rsid w:val="00E87156"/>
    <w:rsid w:val="00E87CB6"/>
    <w:rsid w:val="00E9364B"/>
    <w:rsid w:val="00E93922"/>
    <w:rsid w:val="00EA0DC6"/>
    <w:rsid w:val="00EA178A"/>
    <w:rsid w:val="00EA396C"/>
    <w:rsid w:val="00EB20E2"/>
    <w:rsid w:val="00EB2FC9"/>
    <w:rsid w:val="00EB5C5B"/>
    <w:rsid w:val="00EC2CB4"/>
    <w:rsid w:val="00EC6F66"/>
    <w:rsid w:val="00EC7773"/>
    <w:rsid w:val="00ED11F9"/>
    <w:rsid w:val="00ED3129"/>
    <w:rsid w:val="00ED366F"/>
    <w:rsid w:val="00EE027B"/>
    <w:rsid w:val="00EE09B1"/>
    <w:rsid w:val="00EE1797"/>
    <w:rsid w:val="00EE5EAC"/>
    <w:rsid w:val="00EE6ECF"/>
    <w:rsid w:val="00EF2662"/>
    <w:rsid w:val="00EF7D92"/>
    <w:rsid w:val="00F06DAD"/>
    <w:rsid w:val="00F2593F"/>
    <w:rsid w:val="00F259F9"/>
    <w:rsid w:val="00F271D2"/>
    <w:rsid w:val="00F30C51"/>
    <w:rsid w:val="00F317DE"/>
    <w:rsid w:val="00F402EA"/>
    <w:rsid w:val="00F41B89"/>
    <w:rsid w:val="00F42BA7"/>
    <w:rsid w:val="00F4492C"/>
    <w:rsid w:val="00F4550B"/>
    <w:rsid w:val="00F509C4"/>
    <w:rsid w:val="00F51967"/>
    <w:rsid w:val="00F5569A"/>
    <w:rsid w:val="00F5589C"/>
    <w:rsid w:val="00F55CA4"/>
    <w:rsid w:val="00F57DF5"/>
    <w:rsid w:val="00F60651"/>
    <w:rsid w:val="00F64FA1"/>
    <w:rsid w:val="00F67EFD"/>
    <w:rsid w:val="00F724F7"/>
    <w:rsid w:val="00F81687"/>
    <w:rsid w:val="00F82781"/>
    <w:rsid w:val="00F83837"/>
    <w:rsid w:val="00F85DC0"/>
    <w:rsid w:val="00F8678B"/>
    <w:rsid w:val="00F8726A"/>
    <w:rsid w:val="00F93BE7"/>
    <w:rsid w:val="00FA05C2"/>
    <w:rsid w:val="00FA0D88"/>
    <w:rsid w:val="00FA1258"/>
    <w:rsid w:val="00FA42CD"/>
    <w:rsid w:val="00FA5CB0"/>
    <w:rsid w:val="00FB248F"/>
    <w:rsid w:val="00FB4305"/>
    <w:rsid w:val="00FC0642"/>
    <w:rsid w:val="00FD08DA"/>
    <w:rsid w:val="00FD2F74"/>
    <w:rsid w:val="00FE08AF"/>
    <w:rsid w:val="00FE2845"/>
    <w:rsid w:val="00FE677D"/>
    <w:rsid w:val="00FE75CC"/>
    <w:rsid w:val="00FE77E4"/>
    <w:rsid w:val="00FE7974"/>
    <w:rsid w:val="00FF192A"/>
    <w:rsid w:val="00FF4DDC"/>
    <w:rsid w:val="00FF5D89"/>
    <w:rsid w:val="010D553B"/>
    <w:rsid w:val="01161381"/>
    <w:rsid w:val="01170C55"/>
    <w:rsid w:val="013F0B6D"/>
    <w:rsid w:val="01545A05"/>
    <w:rsid w:val="017240DE"/>
    <w:rsid w:val="017C7125"/>
    <w:rsid w:val="01875DDB"/>
    <w:rsid w:val="01891B53"/>
    <w:rsid w:val="018A36EA"/>
    <w:rsid w:val="018F4C90"/>
    <w:rsid w:val="01A3073B"/>
    <w:rsid w:val="01A324E9"/>
    <w:rsid w:val="01AD5265"/>
    <w:rsid w:val="01BD35AB"/>
    <w:rsid w:val="01C0255E"/>
    <w:rsid w:val="01C95261"/>
    <w:rsid w:val="01D134FA"/>
    <w:rsid w:val="01D40DB2"/>
    <w:rsid w:val="01D46B46"/>
    <w:rsid w:val="01EA636A"/>
    <w:rsid w:val="01F915BA"/>
    <w:rsid w:val="01FE6B92"/>
    <w:rsid w:val="020967F0"/>
    <w:rsid w:val="020C5332"/>
    <w:rsid w:val="02131927"/>
    <w:rsid w:val="0224187C"/>
    <w:rsid w:val="0227311A"/>
    <w:rsid w:val="022D1A0C"/>
    <w:rsid w:val="02374B16"/>
    <w:rsid w:val="024A0846"/>
    <w:rsid w:val="02601F6E"/>
    <w:rsid w:val="026659F0"/>
    <w:rsid w:val="026701F4"/>
    <w:rsid w:val="02691984"/>
    <w:rsid w:val="026A38A3"/>
    <w:rsid w:val="02775E4F"/>
    <w:rsid w:val="027F6AB2"/>
    <w:rsid w:val="028265A2"/>
    <w:rsid w:val="028B18FB"/>
    <w:rsid w:val="028B75EF"/>
    <w:rsid w:val="02986519"/>
    <w:rsid w:val="029E1D51"/>
    <w:rsid w:val="02B44918"/>
    <w:rsid w:val="02B83F87"/>
    <w:rsid w:val="02BF15A4"/>
    <w:rsid w:val="02C63285"/>
    <w:rsid w:val="02C721A7"/>
    <w:rsid w:val="02C93078"/>
    <w:rsid w:val="02D715DB"/>
    <w:rsid w:val="02D908B8"/>
    <w:rsid w:val="02E35293"/>
    <w:rsid w:val="02EA37F6"/>
    <w:rsid w:val="02EB17AE"/>
    <w:rsid w:val="02F746EF"/>
    <w:rsid w:val="030467F9"/>
    <w:rsid w:val="03082F4B"/>
    <w:rsid w:val="03092820"/>
    <w:rsid w:val="030B26EF"/>
    <w:rsid w:val="030E2C59"/>
    <w:rsid w:val="0313125E"/>
    <w:rsid w:val="03254DF2"/>
    <w:rsid w:val="03276F2B"/>
    <w:rsid w:val="032C4E8C"/>
    <w:rsid w:val="0333063D"/>
    <w:rsid w:val="0335542C"/>
    <w:rsid w:val="0340210E"/>
    <w:rsid w:val="0353798A"/>
    <w:rsid w:val="03617A21"/>
    <w:rsid w:val="036564CA"/>
    <w:rsid w:val="03661AB4"/>
    <w:rsid w:val="0368002D"/>
    <w:rsid w:val="036B7036"/>
    <w:rsid w:val="03790A64"/>
    <w:rsid w:val="037F1895"/>
    <w:rsid w:val="03903DE4"/>
    <w:rsid w:val="03A066B7"/>
    <w:rsid w:val="03AC38D7"/>
    <w:rsid w:val="03B22EB7"/>
    <w:rsid w:val="03BE360A"/>
    <w:rsid w:val="03C773D5"/>
    <w:rsid w:val="03C92E42"/>
    <w:rsid w:val="03C96750"/>
    <w:rsid w:val="03D34DCC"/>
    <w:rsid w:val="03D37018"/>
    <w:rsid w:val="03DD4B8B"/>
    <w:rsid w:val="03DD5DF7"/>
    <w:rsid w:val="03EC2572"/>
    <w:rsid w:val="03F92894"/>
    <w:rsid w:val="04021749"/>
    <w:rsid w:val="04067938"/>
    <w:rsid w:val="040C6A6B"/>
    <w:rsid w:val="04206073"/>
    <w:rsid w:val="042246C3"/>
    <w:rsid w:val="042E03E5"/>
    <w:rsid w:val="04315D35"/>
    <w:rsid w:val="043223E0"/>
    <w:rsid w:val="043C35E0"/>
    <w:rsid w:val="043D6C25"/>
    <w:rsid w:val="043E6C3C"/>
    <w:rsid w:val="04402924"/>
    <w:rsid w:val="0448320B"/>
    <w:rsid w:val="044B574A"/>
    <w:rsid w:val="0467107C"/>
    <w:rsid w:val="04744C18"/>
    <w:rsid w:val="047506DC"/>
    <w:rsid w:val="04777245"/>
    <w:rsid w:val="048C54B6"/>
    <w:rsid w:val="04932FB3"/>
    <w:rsid w:val="04A652AB"/>
    <w:rsid w:val="04A65657"/>
    <w:rsid w:val="04A77419"/>
    <w:rsid w:val="04AE602F"/>
    <w:rsid w:val="04B579FE"/>
    <w:rsid w:val="04BA64C7"/>
    <w:rsid w:val="04BF588C"/>
    <w:rsid w:val="04CF3F46"/>
    <w:rsid w:val="04D23811"/>
    <w:rsid w:val="04E628CF"/>
    <w:rsid w:val="05002FC8"/>
    <w:rsid w:val="050B009A"/>
    <w:rsid w:val="05283431"/>
    <w:rsid w:val="05284656"/>
    <w:rsid w:val="05315A82"/>
    <w:rsid w:val="05354AA3"/>
    <w:rsid w:val="053C1D05"/>
    <w:rsid w:val="054F614D"/>
    <w:rsid w:val="05551D4C"/>
    <w:rsid w:val="05790131"/>
    <w:rsid w:val="0593203B"/>
    <w:rsid w:val="05A459D5"/>
    <w:rsid w:val="05B60A3D"/>
    <w:rsid w:val="05C44291"/>
    <w:rsid w:val="05CF5FA2"/>
    <w:rsid w:val="05D91401"/>
    <w:rsid w:val="05DD2EC4"/>
    <w:rsid w:val="05E7509A"/>
    <w:rsid w:val="05E80E12"/>
    <w:rsid w:val="05E933CF"/>
    <w:rsid w:val="05EC0902"/>
    <w:rsid w:val="06005219"/>
    <w:rsid w:val="06133069"/>
    <w:rsid w:val="06147E59"/>
    <w:rsid w:val="0616772D"/>
    <w:rsid w:val="0624009C"/>
    <w:rsid w:val="063B14DE"/>
    <w:rsid w:val="064735A2"/>
    <w:rsid w:val="06684526"/>
    <w:rsid w:val="066A1827"/>
    <w:rsid w:val="06714FC8"/>
    <w:rsid w:val="067526A6"/>
    <w:rsid w:val="06783CF6"/>
    <w:rsid w:val="06887792"/>
    <w:rsid w:val="068A1C68"/>
    <w:rsid w:val="068E2F29"/>
    <w:rsid w:val="06997F82"/>
    <w:rsid w:val="069A3EBB"/>
    <w:rsid w:val="069D55EB"/>
    <w:rsid w:val="06A34F8A"/>
    <w:rsid w:val="06A66D03"/>
    <w:rsid w:val="06B86A37"/>
    <w:rsid w:val="06BD229F"/>
    <w:rsid w:val="06BD36DF"/>
    <w:rsid w:val="06CB76A1"/>
    <w:rsid w:val="06EE4206"/>
    <w:rsid w:val="07090C39"/>
    <w:rsid w:val="070C28DE"/>
    <w:rsid w:val="070F35DC"/>
    <w:rsid w:val="07100621"/>
    <w:rsid w:val="071023CF"/>
    <w:rsid w:val="07153733"/>
    <w:rsid w:val="072146B4"/>
    <w:rsid w:val="072250BB"/>
    <w:rsid w:val="072440CC"/>
    <w:rsid w:val="07327EC5"/>
    <w:rsid w:val="07350087"/>
    <w:rsid w:val="0738778F"/>
    <w:rsid w:val="07394D5B"/>
    <w:rsid w:val="07416A2C"/>
    <w:rsid w:val="07487DBA"/>
    <w:rsid w:val="07514512"/>
    <w:rsid w:val="0755300D"/>
    <w:rsid w:val="0771181F"/>
    <w:rsid w:val="07724080"/>
    <w:rsid w:val="077C1812"/>
    <w:rsid w:val="077E37DC"/>
    <w:rsid w:val="078801B7"/>
    <w:rsid w:val="078A2181"/>
    <w:rsid w:val="078B0423"/>
    <w:rsid w:val="078E1545"/>
    <w:rsid w:val="0792134A"/>
    <w:rsid w:val="07992F18"/>
    <w:rsid w:val="07997C1C"/>
    <w:rsid w:val="07A019A5"/>
    <w:rsid w:val="07BD01EE"/>
    <w:rsid w:val="07BE2B62"/>
    <w:rsid w:val="07C733D5"/>
    <w:rsid w:val="07DD49A7"/>
    <w:rsid w:val="07EE2018"/>
    <w:rsid w:val="07EF52E7"/>
    <w:rsid w:val="07F817E1"/>
    <w:rsid w:val="0808579C"/>
    <w:rsid w:val="080C7056"/>
    <w:rsid w:val="08190935"/>
    <w:rsid w:val="081A0293"/>
    <w:rsid w:val="0820469C"/>
    <w:rsid w:val="083566D7"/>
    <w:rsid w:val="0849203C"/>
    <w:rsid w:val="084B39DC"/>
    <w:rsid w:val="0863029A"/>
    <w:rsid w:val="08660671"/>
    <w:rsid w:val="086A5B0F"/>
    <w:rsid w:val="08713341"/>
    <w:rsid w:val="08744698"/>
    <w:rsid w:val="08766BA9"/>
    <w:rsid w:val="08B33959"/>
    <w:rsid w:val="08B6462D"/>
    <w:rsid w:val="08BC593C"/>
    <w:rsid w:val="08BC5A3D"/>
    <w:rsid w:val="08BE3DCE"/>
    <w:rsid w:val="08C71846"/>
    <w:rsid w:val="08D46275"/>
    <w:rsid w:val="08D753DE"/>
    <w:rsid w:val="08E049BC"/>
    <w:rsid w:val="08F6011E"/>
    <w:rsid w:val="08F645AB"/>
    <w:rsid w:val="090412D1"/>
    <w:rsid w:val="09061CDB"/>
    <w:rsid w:val="09087B48"/>
    <w:rsid w:val="09150170"/>
    <w:rsid w:val="092959CA"/>
    <w:rsid w:val="092A7C8A"/>
    <w:rsid w:val="092D64F4"/>
    <w:rsid w:val="093B01BD"/>
    <w:rsid w:val="09444562"/>
    <w:rsid w:val="094620D8"/>
    <w:rsid w:val="0949606C"/>
    <w:rsid w:val="095A3DD5"/>
    <w:rsid w:val="09635565"/>
    <w:rsid w:val="096802A0"/>
    <w:rsid w:val="096B2561"/>
    <w:rsid w:val="096E7880"/>
    <w:rsid w:val="097924AD"/>
    <w:rsid w:val="097C5227"/>
    <w:rsid w:val="09810BCC"/>
    <w:rsid w:val="09A11A04"/>
    <w:rsid w:val="09BA6485"/>
    <w:rsid w:val="09BF2C30"/>
    <w:rsid w:val="09C552BB"/>
    <w:rsid w:val="09C556F2"/>
    <w:rsid w:val="09CB20B4"/>
    <w:rsid w:val="09D70BD6"/>
    <w:rsid w:val="09DC1187"/>
    <w:rsid w:val="09DE4ADA"/>
    <w:rsid w:val="09F204B1"/>
    <w:rsid w:val="09F95C93"/>
    <w:rsid w:val="09FF39DB"/>
    <w:rsid w:val="0A0A75A9"/>
    <w:rsid w:val="0A0C69FA"/>
    <w:rsid w:val="0A0E753D"/>
    <w:rsid w:val="0A0F76F6"/>
    <w:rsid w:val="0A1026E6"/>
    <w:rsid w:val="0A1C43A8"/>
    <w:rsid w:val="0A223AFB"/>
    <w:rsid w:val="0A24099E"/>
    <w:rsid w:val="0A250F10"/>
    <w:rsid w:val="0A2D3298"/>
    <w:rsid w:val="0A2F5262"/>
    <w:rsid w:val="0A325D09"/>
    <w:rsid w:val="0A40121D"/>
    <w:rsid w:val="0A474359"/>
    <w:rsid w:val="0A4A2AC3"/>
    <w:rsid w:val="0A527F49"/>
    <w:rsid w:val="0A5C0FB2"/>
    <w:rsid w:val="0A5C7CA6"/>
    <w:rsid w:val="0A690E28"/>
    <w:rsid w:val="0A6C3DC0"/>
    <w:rsid w:val="0A951569"/>
    <w:rsid w:val="0A9B415C"/>
    <w:rsid w:val="0AA230F4"/>
    <w:rsid w:val="0AE05E8C"/>
    <w:rsid w:val="0AF46217"/>
    <w:rsid w:val="0B00638E"/>
    <w:rsid w:val="0B0A24B1"/>
    <w:rsid w:val="0B0E131B"/>
    <w:rsid w:val="0B142FCD"/>
    <w:rsid w:val="0B167228"/>
    <w:rsid w:val="0B310B66"/>
    <w:rsid w:val="0B361E6C"/>
    <w:rsid w:val="0B3A2110"/>
    <w:rsid w:val="0B3A5F41"/>
    <w:rsid w:val="0B5331D2"/>
    <w:rsid w:val="0B543844"/>
    <w:rsid w:val="0B554854"/>
    <w:rsid w:val="0B6250C9"/>
    <w:rsid w:val="0B6250DD"/>
    <w:rsid w:val="0B772A1C"/>
    <w:rsid w:val="0B865355"/>
    <w:rsid w:val="0B897DB2"/>
    <w:rsid w:val="0B934160"/>
    <w:rsid w:val="0B971310"/>
    <w:rsid w:val="0B9A2BAF"/>
    <w:rsid w:val="0BA15CEB"/>
    <w:rsid w:val="0BA9241A"/>
    <w:rsid w:val="0BAE21B6"/>
    <w:rsid w:val="0BBF6171"/>
    <w:rsid w:val="0BD26396"/>
    <w:rsid w:val="0BE61950"/>
    <w:rsid w:val="0BE83445"/>
    <w:rsid w:val="0BEA3AEE"/>
    <w:rsid w:val="0BEC5BDC"/>
    <w:rsid w:val="0BF027CF"/>
    <w:rsid w:val="0BFA7172"/>
    <w:rsid w:val="0BFC73C5"/>
    <w:rsid w:val="0C035AB1"/>
    <w:rsid w:val="0C0D02CF"/>
    <w:rsid w:val="0C230DF6"/>
    <w:rsid w:val="0C260F74"/>
    <w:rsid w:val="0C2C09CE"/>
    <w:rsid w:val="0C330B4A"/>
    <w:rsid w:val="0C3A6B03"/>
    <w:rsid w:val="0C4106C8"/>
    <w:rsid w:val="0C57284E"/>
    <w:rsid w:val="0C5C1C12"/>
    <w:rsid w:val="0C5E53E9"/>
    <w:rsid w:val="0C7358DA"/>
    <w:rsid w:val="0C741652"/>
    <w:rsid w:val="0C754295"/>
    <w:rsid w:val="0C8B7F7D"/>
    <w:rsid w:val="0C916F2C"/>
    <w:rsid w:val="0CAA3075"/>
    <w:rsid w:val="0CB47CA0"/>
    <w:rsid w:val="0CB576BF"/>
    <w:rsid w:val="0CC669A6"/>
    <w:rsid w:val="0CD20049"/>
    <w:rsid w:val="0CDF49BA"/>
    <w:rsid w:val="0CE33641"/>
    <w:rsid w:val="0CEE1E07"/>
    <w:rsid w:val="0CF61FB0"/>
    <w:rsid w:val="0CF91180"/>
    <w:rsid w:val="0CFC6D53"/>
    <w:rsid w:val="0CFF0F1B"/>
    <w:rsid w:val="0D0504FC"/>
    <w:rsid w:val="0D0C34EE"/>
    <w:rsid w:val="0D0E73B0"/>
    <w:rsid w:val="0D114676"/>
    <w:rsid w:val="0D1332C4"/>
    <w:rsid w:val="0D1430BB"/>
    <w:rsid w:val="0D1D75F3"/>
    <w:rsid w:val="0D1F3388"/>
    <w:rsid w:val="0D20211B"/>
    <w:rsid w:val="0D2C7836"/>
    <w:rsid w:val="0D3C21E6"/>
    <w:rsid w:val="0D3E316B"/>
    <w:rsid w:val="0D3F7D7A"/>
    <w:rsid w:val="0D4F07B9"/>
    <w:rsid w:val="0D8A6DE6"/>
    <w:rsid w:val="0D8B27AF"/>
    <w:rsid w:val="0D8C76F5"/>
    <w:rsid w:val="0DA24F7E"/>
    <w:rsid w:val="0DA6583B"/>
    <w:rsid w:val="0DAF3EEE"/>
    <w:rsid w:val="0DB52D69"/>
    <w:rsid w:val="0DBC563A"/>
    <w:rsid w:val="0DBD2757"/>
    <w:rsid w:val="0DD00B0A"/>
    <w:rsid w:val="0DDF0D4D"/>
    <w:rsid w:val="0DE14AC5"/>
    <w:rsid w:val="0DE819AF"/>
    <w:rsid w:val="0E0457CF"/>
    <w:rsid w:val="0E0B1B42"/>
    <w:rsid w:val="0E1E7AC7"/>
    <w:rsid w:val="0E375364"/>
    <w:rsid w:val="0E3F71B8"/>
    <w:rsid w:val="0E455054"/>
    <w:rsid w:val="0E455580"/>
    <w:rsid w:val="0E4D3F08"/>
    <w:rsid w:val="0E576B35"/>
    <w:rsid w:val="0E590AFF"/>
    <w:rsid w:val="0E6E2BB1"/>
    <w:rsid w:val="0E741495"/>
    <w:rsid w:val="0E8518F4"/>
    <w:rsid w:val="0E99167B"/>
    <w:rsid w:val="0EA224A6"/>
    <w:rsid w:val="0EA552C5"/>
    <w:rsid w:val="0EB6385C"/>
    <w:rsid w:val="0EB84C96"/>
    <w:rsid w:val="0EBB70C4"/>
    <w:rsid w:val="0EC202DE"/>
    <w:rsid w:val="0EC248F6"/>
    <w:rsid w:val="0EC75878"/>
    <w:rsid w:val="0EDC3462"/>
    <w:rsid w:val="0EE37AFC"/>
    <w:rsid w:val="0EE851DC"/>
    <w:rsid w:val="0EEA1757"/>
    <w:rsid w:val="0EF93BD1"/>
    <w:rsid w:val="0EFF05BF"/>
    <w:rsid w:val="0F00541F"/>
    <w:rsid w:val="0F1E41F4"/>
    <w:rsid w:val="0F1F75B2"/>
    <w:rsid w:val="0F2203EC"/>
    <w:rsid w:val="0F234D89"/>
    <w:rsid w:val="0F242EBB"/>
    <w:rsid w:val="0F250F08"/>
    <w:rsid w:val="0F2D3620"/>
    <w:rsid w:val="0F36290F"/>
    <w:rsid w:val="0F4C41C0"/>
    <w:rsid w:val="0F5016BA"/>
    <w:rsid w:val="0F51594F"/>
    <w:rsid w:val="0F694618"/>
    <w:rsid w:val="0F863ADD"/>
    <w:rsid w:val="0F8A6BDB"/>
    <w:rsid w:val="0FA47B58"/>
    <w:rsid w:val="0FA923E3"/>
    <w:rsid w:val="0FB17A2F"/>
    <w:rsid w:val="0FB81855"/>
    <w:rsid w:val="0FC97AC3"/>
    <w:rsid w:val="0FCD6166"/>
    <w:rsid w:val="0FDC5544"/>
    <w:rsid w:val="0FDF0504"/>
    <w:rsid w:val="0FE014D4"/>
    <w:rsid w:val="0FE32720"/>
    <w:rsid w:val="0FEB5787"/>
    <w:rsid w:val="0FF22CB1"/>
    <w:rsid w:val="0FF26B15"/>
    <w:rsid w:val="0FF7237E"/>
    <w:rsid w:val="0FF8105F"/>
    <w:rsid w:val="10013544"/>
    <w:rsid w:val="1013030E"/>
    <w:rsid w:val="10142F30"/>
    <w:rsid w:val="1024020D"/>
    <w:rsid w:val="10271E71"/>
    <w:rsid w:val="10294C30"/>
    <w:rsid w:val="103A74B7"/>
    <w:rsid w:val="103E3C61"/>
    <w:rsid w:val="104D184D"/>
    <w:rsid w:val="105246F6"/>
    <w:rsid w:val="10572E1C"/>
    <w:rsid w:val="105C39CB"/>
    <w:rsid w:val="105E405D"/>
    <w:rsid w:val="10623011"/>
    <w:rsid w:val="106A04B3"/>
    <w:rsid w:val="107479F1"/>
    <w:rsid w:val="107B21F2"/>
    <w:rsid w:val="107F5E20"/>
    <w:rsid w:val="10816B0F"/>
    <w:rsid w:val="108F25B6"/>
    <w:rsid w:val="10915F18"/>
    <w:rsid w:val="109339DA"/>
    <w:rsid w:val="10954C7D"/>
    <w:rsid w:val="10A73DA4"/>
    <w:rsid w:val="10A83678"/>
    <w:rsid w:val="10AC6EA1"/>
    <w:rsid w:val="10BB33AB"/>
    <w:rsid w:val="10C10AB9"/>
    <w:rsid w:val="10C86626"/>
    <w:rsid w:val="10EB7405"/>
    <w:rsid w:val="10EC5C5A"/>
    <w:rsid w:val="10F012AF"/>
    <w:rsid w:val="10F61A55"/>
    <w:rsid w:val="10FC78DF"/>
    <w:rsid w:val="110C53E2"/>
    <w:rsid w:val="110E5BD1"/>
    <w:rsid w:val="11203B56"/>
    <w:rsid w:val="11230F50"/>
    <w:rsid w:val="112371A2"/>
    <w:rsid w:val="11255DD0"/>
    <w:rsid w:val="112D5C06"/>
    <w:rsid w:val="112E00A7"/>
    <w:rsid w:val="1136623F"/>
    <w:rsid w:val="113A5444"/>
    <w:rsid w:val="113D0F08"/>
    <w:rsid w:val="113D31FA"/>
    <w:rsid w:val="114535BD"/>
    <w:rsid w:val="114D677E"/>
    <w:rsid w:val="11535CDA"/>
    <w:rsid w:val="115B4135"/>
    <w:rsid w:val="11641C95"/>
    <w:rsid w:val="11643A43"/>
    <w:rsid w:val="116577BB"/>
    <w:rsid w:val="116D4B20"/>
    <w:rsid w:val="116E041E"/>
    <w:rsid w:val="1178129C"/>
    <w:rsid w:val="117A14B8"/>
    <w:rsid w:val="117D2D56"/>
    <w:rsid w:val="11963E18"/>
    <w:rsid w:val="119C145B"/>
    <w:rsid w:val="119C54B6"/>
    <w:rsid w:val="119C5940"/>
    <w:rsid w:val="11A15AF7"/>
    <w:rsid w:val="11AC7198"/>
    <w:rsid w:val="11B20963"/>
    <w:rsid w:val="11B2208D"/>
    <w:rsid w:val="11B322D4"/>
    <w:rsid w:val="11C06DF4"/>
    <w:rsid w:val="11D32976"/>
    <w:rsid w:val="11D63897"/>
    <w:rsid w:val="11DA259E"/>
    <w:rsid w:val="11DC5BB9"/>
    <w:rsid w:val="11ED1FA2"/>
    <w:rsid w:val="11F37030"/>
    <w:rsid w:val="11FB3805"/>
    <w:rsid w:val="11FD79F3"/>
    <w:rsid w:val="120622C2"/>
    <w:rsid w:val="12071A36"/>
    <w:rsid w:val="120A4CC4"/>
    <w:rsid w:val="120D1B75"/>
    <w:rsid w:val="12103BCB"/>
    <w:rsid w:val="121C0216"/>
    <w:rsid w:val="121E7D01"/>
    <w:rsid w:val="122136E2"/>
    <w:rsid w:val="123D6B4D"/>
    <w:rsid w:val="123F6A28"/>
    <w:rsid w:val="12437AFC"/>
    <w:rsid w:val="12445622"/>
    <w:rsid w:val="124E024F"/>
    <w:rsid w:val="125272A6"/>
    <w:rsid w:val="1255782F"/>
    <w:rsid w:val="125F6E0B"/>
    <w:rsid w:val="12602286"/>
    <w:rsid w:val="1262405A"/>
    <w:rsid w:val="12635AA8"/>
    <w:rsid w:val="126961F1"/>
    <w:rsid w:val="126A2728"/>
    <w:rsid w:val="12733AD1"/>
    <w:rsid w:val="127E6793"/>
    <w:rsid w:val="12950A7E"/>
    <w:rsid w:val="129F1149"/>
    <w:rsid w:val="12A40585"/>
    <w:rsid w:val="12B75DF4"/>
    <w:rsid w:val="12BB3047"/>
    <w:rsid w:val="12C64289"/>
    <w:rsid w:val="12D0209F"/>
    <w:rsid w:val="12D1335A"/>
    <w:rsid w:val="12D93A63"/>
    <w:rsid w:val="12E0307E"/>
    <w:rsid w:val="12E2067E"/>
    <w:rsid w:val="12E50BB3"/>
    <w:rsid w:val="12E7492B"/>
    <w:rsid w:val="12F732D9"/>
    <w:rsid w:val="12F744BF"/>
    <w:rsid w:val="12F8610E"/>
    <w:rsid w:val="12F92FAA"/>
    <w:rsid w:val="130215CD"/>
    <w:rsid w:val="1317443C"/>
    <w:rsid w:val="13180B09"/>
    <w:rsid w:val="13420EB1"/>
    <w:rsid w:val="134E40FF"/>
    <w:rsid w:val="135B6C87"/>
    <w:rsid w:val="13717801"/>
    <w:rsid w:val="13826402"/>
    <w:rsid w:val="138E4DA7"/>
    <w:rsid w:val="139034A9"/>
    <w:rsid w:val="139E25CA"/>
    <w:rsid w:val="139F5206"/>
    <w:rsid w:val="13B3480E"/>
    <w:rsid w:val="13BE4ED6"/>
    <w:rsid w:val="13D824C6"/>
    <w:rsid w:val="13E75187"/>
    <w:rsid w:val="13E96481"/>
    <w:rsid w:val="13F47A2C"/>
    <w:rsid w:val="13F84916"/>
    <w:rsid w:val="14054A9F"/>
    <w:rsid w:val="140909CD"/>
    <w:rsid w:val="14157276"/>
    <w:rsid w:val="14203DB7"/>
    <w:rsid w:val="1427777F"/>
    <w:rsid w:val="142D797E"/>
    <w:rsid w:val="143B41A6"/>
    <w:rsid w:val="144638D4"/>
    <w:rsid w:val="144A03E7"/>
    <w:rsid w:val="144E5A93"/>
    <w:rsid w:val="1457167D"/>
    <w:rsid w:val="145E7029"/>
    <w:rsid w:val="14630B1C"/>
    <w:rsid w:val="146567AC"/>
    <w:rsid w:val="146A5814"/>
    <w:rsid w:val="1495483A"/>
    <w:rsid w:val="149A777C"/>
    <w:rsid w:val="14AC6266"/>
    <w:rsid w:val="14AF76CB"/>
    <w:rsid w:val="14B518D5"/>
    <w:rsid w:val="14BC1DE8"/>
    <w:rsid w:val="14C6145F"/>
    <w:rsid w:val="14DC7178"/>
    <w:rsid w:val="14ED0B24"/>
    <w:rsid w:val="14F40FBF"/>
    <w:rsid w:val="15035321"/>
    <w:rsid w:val="15040F75"/>
    <w:rsid w:val="151439D2"/>
    <w:rsid w:val="151B6B0E"/>
    <w:rsid w:val="152A1F70"/>
    <w:rsid w:val="153C6A85"/>
    <w:rsid w:val="153D4CD7"/>
    <w:rsid w:val="153E24B0"/>
    <w:rsid w:val="15437E13"/>
    <w:rsid w:val="15483EAD"/>
    <w:rsid w:val="15581917"/>
    <w:rsid w:val="156002D2"/>
    <w:rsid w:val="1562632E"/>
    <w:rsid w:val="15673B02"/>
    <w:rsid w:val="15694AC1"/>
    <w:rsid w:val="156F28F2"/>
    <w:rsid w:val="15736FDC"/>
    <w:rsid w:val="1582093B"/>
    <w:rsid w:val="15887BBF"/>
    <w:rsid w:val="1594241D"/>
    <w:rsid w:val="1594769F"/>
    <w:rsid w:val="15A00DC2"/>
    <w:rsid w:val="15A21F0E"/>
    <w:rsid w:val="15AD0517"/>
    <w:rsid w:val="15BD1974"/>
    <w:rsid w:val="15CE592F"/>
    <w:rsid w:val="15D64B56"/>
    <w:rsid w:val="15D66ED9"/>
    <w:rsid w:val="15D867AD"/>
    <w:rsid w:val="15DF66D7"/>
    <w:rsid w:val="15ED58E7"/>
    <w:rsid w:val="15F61312"/>
    <w:rsid w:val="1608767B"/>
    <w:rsid w:val="160E031B"/>
    <w:rsid w:val="16113A6D"/>
    <w:rsid w:val="161661D8"/>
    <w:rsid w:val="161F618A"/>
    <w:rsid w:val="1622653D"/>
    <w:rsid w:val="16467BBB"/>
    <w:rsid w:val="1647748F"/>
    <w:rsid w:val="165174A0"/>
    <w:rsid w:val="165628A2"/>
    <w:rsid w:val="165F2033"/>
    <w:rsid w:val="166D30BF"/>
    <w:rsid w:val="167038CD"/>
    <w:rsid w:val="1671696F"/>
    <w:rsid w:val="167962F3"/>
    <w:rsid w:val="16842383"/>
    <w:rsid w:val="16952937"/>
    <w:rsid w:val="16AB2114"/>
    <w:rsid w:val="16BA5EB3"/>
    <w:rsid w:val="16BF796D"/>
    <w:rsid w:val="16DB0A5F"/>
    <w:rsid w:val="16E01DBD"/>
    <w:rsid w:val="16E24BFC"/>
    <w:rsid w:val="16E96798"/>
    <w:rsid w:val="16F85B7B"/>
    <w:rsid w:val="16FE0090"/>
    <w:rsid w:val="17002C32"/>
    <w:rsid w:val="17005FBC"/>
    <w:rsid w:val="1733045D"/>
    <w:rsid w:val="173739A8"/>
    <w:rsid w:val="174A5489"/>
    <w:rsid w:val="176432D9"/>
    <w:rsid w:val="176F5DC2"/>
    <w:rsid w:val="17791BD3"/>
    <w:rsid w:val="177C4AA2"/>
    <w:rsid w:val="1782308A"/>
    <w:rsid w:val="17954ECA"/>
    <w:rsid w:val="17966029"/>
    <w:rsid w:val="17A01549"/>
    <w:rsid w:val="17A80FE9"/>
    <w:rsid w:val="17B648CC"/>
    <w:rsid w:val="17C53FF5"/>
    <w:rsid w:val="17C62D39"/>
    <w:rsid w:val="17C90AA4"/>
    <w:rsid w:val="17D64F6F"/>
    <w:rsid w:val="17DA689A"/>
    <w:rsid w:val="17E01798"/>
    <w:rsid w:val="17EC02EE"/>
    <w:rsid w:val="17EE279E"/>
    <w:rsid w:val="17EF7DDE"/>
    <w:rsid w:val="17F453F5"/>
    <w:rsid w:val="17FA6EAF"/>
    <w:rsid w:val="180D6525"/>
    <w:rsid w:val="181D0DEF"/>
    <w:rsid w:val="18232F49"/>
    <w:rsid w:val="18273D32"/>
    <w:rsid w:val="182D6FD9"/>
    <w:rsid w:val="182F2D0B"/>
    <w:rsid w:val="1832628A"/>
    <w:rsid w:val="18334A14"/>
    <w:rsid w:val="183D4FEE"/>
    <w:rsid w:val="18475E6C"/>
    <w:rsid w:val="186333E7"/>
    <w:rsid w:val="18695DE3"/>
    <w:rsid w:val="186A08F4"/>
    <w:rsid w:val="187076C2"/>
    <w:rsid w:val="18797C3E"/>
    <w:rsid w:val="18846779"/>
    <w:rsid w:val="188E608F"/>
    <w:rsid w:val="189C7F66"/>
    <w:rsid w:val="18A32E74"/>
    <w:rsid w:val="18B2254C"/>
    <w:rsid w:val="18B939BA"/>
    <w:rsid w:val="18C64FE3"/>
    <w:rsid w:val="18DD3D0F"/>
    <w:rsid w:val="18E52541"/>
    <w:rsid w:val="18F10875"/>
    <w:rsid w:val="190A3122"/>
    <w:rsid w:val="190A6748"/>
    <w:rsid w:val="190D7AC4"/>
    <w:rsid w:val="191D1D6B"/>
    <w:rsid w:val="19273048"/>
    <w:rsid w:val="192C4706"/>
    <w:rsid w:val="19382A68"/>
    <w:rsid w:val="194B54E8"/>
    <w:rsid w:val="19516FA3"/>
    <w:rsid w:val="19650358"/>
    <w:rsid w:val="19777A51"/>
    <w:rsid w:val="198320B5"/>
    <w:rsid w:val="19847427"/>
    <w:rsid w:val="1989575D"/>
    <w:rsid w:val="199D6581"/>
    <w:rsid w:val="19A76BC3"/>
    <w:rsid w:val="19BD675E"/>
    <w:rsid w:val="19C07C84"/>
    <w:rsid w:val="19CB6564"/>
    <w:rsid w:val="19D07AC7"/>
    <w:rsid w:val="19D454DE"/>
    <w:rsid w:val="19D848F0"/>
    <w:rsid w:val="19DA170E"/>
    <w:rsid w:val="19DD18D7"/>
    <w:rsid w:val="19E353E3"/>
    <w:rsid w:val="19E73463"/>
    <w:rsid w:val="19E840DF"/>
    <w:rsid w:val="19FF75CB"/>
    <w:rsid w:val="1A0F58FE"/>
    <w:rsid w:val="1A1062B4"/>
    <w:rsid w:val="1A1742D3"/>
    <w:rsid w:val="1A194F97"/>
    <w:rsid w:val="1A1A6BA0"/>
    <w:rsid w:val="1A1C2AD1"/>
    <w:rsid w:val="1A2279AB"/>
    <w:rsid w:val="1A410C5C"/>
    <w:rsid w:val="1A587EBD"/>
    <w:rsid w:val="1A5F7CFF"/>
    <w:rsid w:val="1A620F5D"/>
    <w:rsid w:val="1A715D02"/>
    <w:rsid w:val="1A734FFB"/>
    <w:rsid w:val="1A7806FD"/>
    <w:rsid w:val="1A7854DC"/>
    <w:rsid w:val="1A7B3A43"/>
    <w:rsid w:val="1A825628"/>
    <w:rsid w:val="1A860FA1"/>
    <w:rsid w:val="1A8C58FA"/>
    <w:rsid w:val="1A8D32D2"/>
    <w:rsid w:val="1A91517D"/>
    <w:rsid w:val="1A965A0E"/>
    <w:rsid w:val="1AA679FE"/>
    <w:rsid w:val="1AAE3F81"/>
    <w:rsid w:val="1AB23A71"/>
    <w:rsid w:val="1AB66CBD"/>
    <w:rsid w:val="1AC47300"/>
    <w:rsid w:val="1AD65AFB"/>
    <w:rsid w:val="1AE259D8"/>
    <w:rsid w:val="1AED4AA9"/>
    <w:rsid w:val="1AF0743D"/>
    <w:rsid w:val="1AF44089"/>
    <w:rsid w:val="1AFC163D"/>
    <w:rsid w:val="1B102545"/>
    <w:rsid w:val="1B145643"/>
    <w:rsid w:val="1B247BA0"/>
    <w:rsid w:val="1B252495"/>
    <w:rsid w:val="1B257343"/>
    <w:rsid w:val="1B2B21A0"/>
    <w:rsid w:val="1B304DA1"/>
    <w:rsid w:val="1B3721C8"/>
    <w:rsid w:val="1B410951"/>
    <w:rsid w:val="1B570174"/>
    <w:rsid w:val="1B5E2F97"/>
    <w:rsid w:val="1B61067A"/>
    <w:rsid w:val="1B773153"/>
    <w:rsid w:val="1B852F33"/>
    <w:rsid w:val="1B8847D2"/>
    <w:rsid w:val="1B8F5B60"/>
    <w:rsid w:val="1B9751BF"/>
    <w:rsid w:val="1B9C553C"/>
    <w:rsid w:val="1BA24EA3"/>
    <w:rsid w:val="1BAD28ED"/>
    <w:rsid w:val="1BAD5FE6"/>
    <w:rsid w:val="1BB37621"/>
    <w:rsid w:val="1BC82E20"/>
    <w:rsid w:val="1BCE2A30"/>
    <w:rsid w:val="1BCF41AF"/>
    <w:rsid w:val="1BDC3170"/>
    <w:rsid w:val="1BDD515D"/>
    <w:rsid w:val="1BE250A3"/>
    <w:rsid w:val="1BE834C2"/>
    <w:rsid w:val="1BEE0AF0"/>
    <w:rsid w:val="1BF65A7E"/>
    <w:rsid w:val="1C1E1CDC"/>
    <w:rsid w:val="1C250313"/>
    <w:rsid w:val="1C35495A"/>
    <w:rsid w:val="1C395ACC"/>
    <w:rsid w:val="1C4F52EF"/>
    <w:rsid w:val="1C6012AB"/>
    <w:rsid w:val="1C60574F"/>
    <w:rsid w:val="1C677EF8"/>
    <w:rsid w:val="1C693802"/>
    <w:rsid w:val="1C6B5EFC"/>
    <w:rsid w:val="1C7920CE"/>
    <w:rsid w:val="1C7D30EC"/>
    <w:rsid w:val="1C84143D"/>
    <w:rsid w:val="1C856F63"/>
    <w:rsid w:val="1C907DE2"/>
    <w:rsid w:val="1C934F54"/>
    <w:rsid w:val="1C943623"/>
    <w:rsid w:val="1C9444C1"/>
    <w:rsid w:val="1C974C1A"/>
    <w:rsid w:val="1C9A2A0F"/>
    <w:rsid w:val="1C9B221C"/>
    <w:rsid w:val="1CA473E9"/>
    <w:rsid w:val="1CA76EDA"/>
    <w:rsid w:val="1CAA5C0C"/>
    <w:rsid w:val="1CB659F1"/>
    <w:rsid w:val="1CBB2985"/>
    <w:rsid w:val="1CC07BE1"/>
    <w:rsid w:val="1CC71128"/>
    <w:rsid w:val="1CD02097"/>
    <w:rsid w:val="1CD203FA"/>
    <w:rsid w:val="1CD51C99"/>
    <w:rsid w:val="1CDF1A62"/>
    <w:rsid w:val="1CF344E2"/>
    <w:rsid w:val="1CF6749F"/>
    <w:rsid w:val="1CFA3411"/>
    <w:rsid w:val="1D052F3B"/>
    <w:rsid w:val="1D0D31E0"/>
    <w:rsid w:val="1D1F1DDD"/>
    <w:rsid w:val="1D2624F4"/>
    <w:rsid w:val="1D271DC8"/>
    <w:rsid w:val="1D285DAF"/>
    <w:rsid w:val="1D2B18B9"/>
    <w:rsid w:val="1D39411B"/>
    <w:rsid w:val="1D3D339A"/>
    <w:rsid w:val="1D3F3F3C"/>
    <w:rsid w:val="1D564D5D"/>
    <w:rsid w:val="1D5A03F0"/>
    <w:rsid w:val="1D666D95"/>
    <w:rsid w:val="1D6D0123"/>
    <w:rsid w:val="1D756FD8"/>
    <w:rsid w:val="1D835251"/>
    <w:rsid w:val="1D927D7D"/>
    <w:rsid w:val="1DA10173"/>
    <w:rsid w:val="1DA432D7"/>
    <w:rsid w:val="1DAC50B8"/>
    <w:rsid w:val="1DAC65BB"/>
    <w:rsid w:val="1DAC72BA"/>
    <w:rsid w:val="1DB23D88"/>
    <w:rsid w:val="1DC92DDB"/>
    <w:rsid w:val="1DD37C5E"/>
    <w:rsid w:val="1DE101C9"/>
    <w:rsid w:val="1DF12B02"/>
    <w:rsid w:val="1E186441"/>
    <w:rsid w:val="1E2F362A"/>
    <w:rsid w:val="1E30363C"/>
    <w:rsid w:val="1E3B3D7D"/>
    <w:rsid w:val="1E421268"/>
    <w:rsid w:val="1E486EA7"/>
    <w:rsid w:val="1E51534F"/>
    <w:rsid w:val="1E5B7F7C"/>
    <w:rsid w:val="1E664171"/>
    <w:rsid w:val="1E8B6CDA"/>
    <w:rsid w:val="1E8E4B9C"/>
    <w:rsid w:val="1E902CD4"/>
    <w:rsid w:val="1E9E407D"/>
    <w:rsid w:val="1EA86E0B"/>
    <w:rsid w:val="1EA92197"/>
    <w:rsid w:val="1EAD5A99"/>
    <w:rsid w:val="1EB77BA9"/>
    <w:rsid w:val="1EC8183C"/>
    <w:rsid w:val="1EC9066F"/>
    <w:rsid w:val="1ED65854"/>
    <w:rsid w:val="1EDB6DFD"/>
    <w:rsid w:val="1EDC4CE2"/>
    <w:rsid w:val="1EE066D3"/>
    <w:rsid w:val="1EE71660"/>
    <w:rsid w:val="1EED7B87"/>
    <w:rsid w:val="1EEE2B9E"/>
    <w:rsid w:val="1EF36E80"/>
    <w:rsid w:val="1EF7254C"/>
    <w:rsid w:val="1F065265"/>
    <w:rsid w:val="1F0E6E4A"/>
    <w:rsid w:val="1F1451B9"/>
    <w:rsid w:val="1F1F544D"/>
    <w:rsid w:val="1F273268"/>
    <w:rsid w:val="1F382EA6"/>
    <w:rsid w:val="1F3C45D3"/>
    <w:rsid w:val="1F405703"/>
    <w:rsid w:val="1F5F5092"/>
    <w:rsid w:val="1F65269C"/>
    <w:rsid w:val="1F6F0182"/>
    <w:rsid w:val="1F6F2980"/>
    <w:rsid w:val="1F762B9D"/>
    <w:rsid w:val="1F7A6B27"/>
    <w:rsid w:val="1F7F5EEC"/>
    <w:rsid w:val="1FA6791C"/>
    <w:rsid w:val="1FAF3963"/>
    <w:rsid w:val="1FBE4C66"/>
    <w:rsid w:val="1FBF3DE5"/>
    <w:rsid w:val="1FC30654"/>
    <w:rsid w:val="1FC658C9"/>
    <w:rsid w:val="1FCF6E73"/>
    <w:rsid w:val="1FE16AE1"/>
    <w:rsid w:val="1FE521F3"/>
    <w:rsid w:val="1FF03C17"/>
    <w:rsid w:val="1FF92034"/>
    <w:rsid w:val="1FFE3E69"/>
    <w:rsid w:val="200D6447"/>
    <w:rsid w:val="20103415"/>
    <w:rsid w:val="20127E02"/>
    <w:rsid w:val="2015044A"/>
    <w:rsid w:val="201E5F6C"/>
    <w:rsid w:val="20396A33"/>
    <w:rsid w:val="203A4972"/>
    <w:rsid w:val="203E409C"/>
    <w:rsid w:val="20405A6D"/>
    <w:rsid w:val="20407429"/>
    <w:rsid w:val="204269AC"/>
    <w:rsid w:val="20474C5B"/>
    <w:rsid w:val="204A73D9"/>
    <w:rsid w:val="204D0AFD"/>
    <w:rsid w:val="206B54F9"/>
    <w:rsid w:val="207D685D"/>
    <w:rsid w:val="208050EF"/>
    <w:rsid w:val="20827A42"/>
    <w:rsid w:val="208A4B48"/>
    <w:rsid w:val="208C266E"/>
    <w:rsid w:val="2094081A"/>
    <w:rsid w:val="209E23A2"/>
    <w:rsid w:val="20A6403D"/>
    <w:rsid w:val="20AB14D3"/>
    <w:rsid w:val="20B03110"/>
    <w:rsid w:val="20B322F1"/>
    <w:rsid w:val="20B65FAF"/>
    <w:rsid w:val="20B91F73"/>
    <w:rsid w:val="20C22534"/>
    <w:rsid w:val="20C52881"/>
    <w:rsid w:val="20C96650"/>
    <w:rsid w:val="20CC6F0F"/>
    <w:rsid w:val="20D90A40"/>
    <w:rsid w:val="20E72568"/>
    <w:rsid w:val="20F25603"/>
    <w:rsid w:val="20FF3499"/>
    <w:rsid w:val="210A1607"/>
    <w:rsid w:val="210D692B"/>
    <w:rsid w:val="211508B6"/>
    <w:rsid w:val="211C50F9"/>
    <w:rsid w:val="212925B3"/>
    <w:rsid w:val="2136082C"/>
    <w:rsid w:val="216B2BCB"/>
    <w:rsid w:val="217375C2"/>
    <w:rsid w:val="217575A6"/>
    <w:rsid w:val="21907EAC"/>
    <w:rsid w:val="21965A9B"/>
    <w:rsid w:val="21B053D4"/>
    <w:rsid w:val="21B35B98"/>
    <w:rsid w:val="21B75E11"/>
    <w:rsid w:val="21B76172"/>
    <w:rsid w:val="21C1459A"/>
    <w:rsid w:val="21CF1302"/>
    <w:rsid w:val="21D963F0"/>
    <w:rsid w:val="21DF2155"/>
    <w:rsid w:val="21F04E7F"/>
    <w:rsid w:val="21F50462"/>
    <w:rsid w:val="21F91F85"/>
    <w:rsid w:val="220D3C83"/>
    <w:rsid w:val="220F17A9"/>
    <w:rsid w:val="2237455F"/>
    <w:rsid w:val="22431452"/>
    <w:rsid w:val="22462CF1"/>
    <w:rsid w:val="225E1F32"/>
    <w:rsid w:val="22603DB2"/>
    <w:rsid w:val="226338A3"/>
    <w:rsid w:val="227368B6"/>
    <w:rsid w:val="227759D4"/>
    <w:rsid w:val="22853819"/>
    <w:rsid w:val="22AA3AD1"/>
    <w:rsid w:val="22AD0CF3"/>
    <w:rsid w:val="22AD4B1E"/>
    <w:rsid w:val="22B00078"/>
    <w:rsid w:val="22B67E76"/>
    <w:rsid w:val="22C23A29"/>
    <w:rsid w:val="22D622C7"/>
    <w:rsid w:val="22D90CDF"/>
    <w:rsid w:val="22DD18A7"/>
    <w:rsid w:val="22F34C27"/>
    <w:rsid w:val="22F83FEB"/>
    <w:rsid w:val="22F97D63"/>
    <w:rsid w:val="23264FFC"/>
    <w:rsid w:val="232748D0"/>
    <w:rsid w:val="23347F92"/>
    <w:rsid w:val="2342247E"/>
    <w:rsid w:val="234F03E1"/>
    <w:rsid w:val="235277B6"/>
    <w:rsid w:val="23580F2E"/>
    <w:rsid w:val="235A7897"/>
    <w:rsid w:val="23607DE2"/>
    <w:rsid w:val="23706277"/>
    <w:rsid w:val="23746A36"/>
    <w:rsid w:val="237B69CA"/>
    <w:rsid w:val="23890C21"/>
    <w:rsid w:val="239161EE"/>
    <w:rsid w:val="23A16FB5"/>
    <w:rsid w:val="23A203FB"/>
    <w:rsid w:val="23B17C06"/>
    <w:rsid w:val="23B81AA9"/>
    <w:rsid w:val="23C60E74"/>
    <w:rsid w:val="23E46EFB"/>
    <w:rsid w:val="23E50503"/>
    <w:rsid w:val="23E5729B"/>
    <w:rsid w:val="23F42F29"/>
    <w:rsid w:val="23FE1AD5"/>
    <w:rsid w:val="24062738"/>
    <w:rsid w:val="240D3AC6"/>
    <w:rsid w:val="24253506"/>
    <w:rsid w:val="242552B4"/>
    <w:rsid w:val="24280900"/>
    <w:rsid w:val="24373239"/>
    <w:rsid w:val="244F40DF"/>
    <w:rsid w:val="245B452F"/>
    <w:rsid w:val="24743B45"/>
    <w:rsid w:val="24885842"/>
    <w:rsid w:val="249917FE"/>
    <w:rsid w:val="24AE0364"/>
    <w:rsid w:val="24BA6D3F"/>
    <w:rsid w:val="24C5091D"/>
    <w:rsid w:val="24CA0A0B"/>
    <w:rsid w:val="24D87AFC"/>
    <w:rsid w:val="24DB3BC4"/>
    <w:rsid w:val="24E177D0"/>
    <w:rsid w:val="24E70FDE"/>
    <w:rsid w:val="24ED6D63"/>
    <w:rsid w:val="24FB7DC2"/>
    <w:rsid w:val="25024D84"/>
    <w:rsid w:val="25064810"/>
    <w:rsid w:val="250666D5"/>
    <w:rsid w:val="251913F0"/>
    <w:rsid w:val="251B7D43"/>
    <w:rsid w:val="25245938"/>
    <w:rsid w:val="254C4AC2"/>
    <w:rsid w:val="254E25E8"/>
    <w:rsid w:val="255045B2"/>
    <w:rsid w:val="2551032A"/>
    <w:rsid w:val="25652B73"/>
    <w:rsid w:val="25693628"/>
    <w:rsid w:val="257638ED"/>
    <w:rsid w:val="257B78D1"/>
    <w:rsid w:val="258E0C37"/>
    <w:rsid w:val="25AE7089"/>
    <w:rsid w:val="25B03729"/>
    <w:rsid w:val="25B508B9"/>
    <w:rsid w:val="25B54415"/>
    <w:rsid w:val="25BD151C"/>
    <w:rsid w:val="25C23261"/>
    <w:rsid w:val="25CB0BA8"/>
    <w:rsid w:val="25CC283C"/>
    <w:rsid w:val="25DE1BBE"/>
    <w:rsid w:val="25E90563"/>
    <w:rsid w:val="25EA3C6B"/>
    <w:rsid w:val="25F03E88"/>
    <w:rsid w:val="25F5515A"/>
    <w:rsid w:val="260016A2"/>
    <w:rsid w:val="260158AC"/>
    <w:rsid w:val="261B75E1"/>
    <w:rsid w:val="261E645E"/>
    <w:rsid w:val="26213859"/>
    <w:rsid w:val="26265313"/>
    <w:rsid w:val="262A47B2"/>
    <w:rsid w:val="262D3470"/>
    <w:rsid w:val="263125BE"/>
    <w:rsid w:val="263C06EC"/>
    <w:rsid w:val="264D04E4"/>
    <w:rsid w:val="264F6618"/>
    <w:rsid w:val="26583182"/>
    <w:rsid w:val="26682A25"/>
    <w:rsid w:val="266A0D19"/>
    <w:rsid w:val="266D769A"/>
    <w:rsid w:val="26767FAC"/>
    <w:rsid w:val="26802C75"/>
    <w:rsid w:val="268169ED"/>
    <w:rsid w:val="26865DB2"/>
    <w:rsid w:val="26881B2A"/>
    <w:rsid w:val="269B4F0E"/>
    <w:rsid w:val="269D39E6"/>
    <w:rsid w:val="269E0838"/>
    <w:rsid w:val="269F0C21"/>
    <w:rsid w:val="26A939BB"/>
    <w:rsid w:val="26C568DA"/>
    <w:rsid w:val="26CC7C68"/>
    <w:rsid w:val="26D23179"/>
    <w:rsid w:val="26DB02BF"/>
    <w:rsid w:val="26DD287B"/>
    <w:rsid w:val="26FC6074"/>
    <w:rsid w:val="270022BD"/>
    <w:rsid w:val="271105FC"/>
    <w:rsid w:val="27117D71"/>
    <w:rsid w:val="271262FA"/>
    <w:rsid w:val="27133AE9"/>
    <w:rsid w:val="272B401F"/>
    <w:rsid w:val="27463F98"/>
    <w:rsid w:val="274D04BC"/>
    <w:rsid w:val="274D5A21"/>
    <w:rsid w:val="274F2647"/>
    <w:rsid w:val="2759134E"/>
    <w:rsid w:val="27597667"/>
    <w:rsid w:val="275D4D64"/>
    <w:rsid w:val="276D4D80"/>
    <w:rsid w:val="276F6846"/>
    <w:rsid w:val="27800CDB"/>
    <w:rsid w:val="27947E1F"/>
    <w:rsid w:val="27982240"/>
    <w:rsid w:val="279B3ADF"/>
    <w:rsid w:val="27A24E6D"/>
    <w:rsid w:val="27A55A7E"/>
    <w:rsid w:val="27A637D6"/>
    <w:rsid w:val="27B320CB"/>
    <w:rsid w:val="27B72E2A"/>
    <w:rsid w:val="27B82E77"/>
    <w:rsid w:val="27C46B92"/>
    <w:rsid w:val="27D606F0"/>
    <w:rsid w:val="27D843EB"/>
    <w:rsid w:val="27DF39CB"/>
    <w:rsid w:val="27E86D24"/>
    <w:rsid w:val="27E965F8"/>
    <w:rsid w:val="27F474CC"/>
    <w:rsid w:val="27F6429D"/>
    <w:rsid w:val="27F82CDF"/>
    <w:rsid w:val="27FE6547"/>
    <w:rsid w:val="28017DE6"/>
    <w:rsid w:val="280718A5"/>
    <w:rsid w:val="2808191A"/>
    <w:rsid w:val="281300B7"/>
    <w:rsid w:val="2817233C"/>
    <w:rsid w:val="281F201A"/>
    <w:rsid w:val="28212236"/>
    <w:rsid w:val="28281D05"/>
    <w:rsid w:val="28292E99"/>
    <w:rsid w:val="28297C42"/>
    <w:rsid w:val="282B37CF"/>
    <w:rsid w:val="282C36B4"/>
    <w:rsid w:val="283830DC"/>
    <w:rsid w:val="283A6E54"/>
    <w:rsid w:val="28412786"/>
    <w:rsid w:val="28452200"/>
    <w:rsid w:val="284B2485"/>
    <w:rsid w:val="285D40ED"/>
    <w:rsid w:val="286B525F"/>
    <w:rsid w:val="28793E20"/>
    <w:rsid w:val="287B3DDA"/>
    <w:rsid w:val="28837377"/>
    <w:rsid w:val="28846321"/>
    <w:rsid w:val="289522DC"/>
    <w:rsid w:val="28B3740D"/>
    <w:rsid w:val="28B44E58"/>
    <w:rsid w:val="28B55A22"/>
    <w:rsid w:val="28B9246E"/>
    <w:rsid w:val="28BE0004"/>
    <w:rsid w:val="28C52950"/>
    <w:rsid w:val="28E60D8A"/>
    <w:rsid w:val="28EB63A0"/>
    <w:rsid w:val="28ED2118"/>
    <w:rsid w:val="28FB4835"/>
    <w:rsid w:val="292116F7"/>
    <w:rsid w:val="292F44DF"/>
    <w:rsid w:val="293D1A6B"/>
    <w:rsid w:val="293E0BC6"/>
    <w:rsid w:val="29475CCC"/>
    <w:rsid w:val="294C1442"/>
    <w:rsid w:val="295403E9"/>
    <w:rsid w:val="29671ECA"/>
    <w:rsid w:val="296A3769"/>
    <w:rsid w:val="296F49A5"/>
    <w:rsid w:val="296F6FD1"/>
    <w:rsid w:val="2975438E"/>
    <w:rsid w:val="29776F14"/>
    <w:rsid w:val="298011DE"/>
    <w:rsid w:val="298738D3"/>
    <w:rsid w:val="298B22FA"/>
    <w:rsid w:val="29910CF5"/>
    <w:rsid w:val="2996630C"/>
    <w:rsid w:val="29970C8C"/>
    <w:rsid w:val="299D3B3E"/>
    <w:rsid w:val="29B82726"/>
    <w:rsid w:val="29C04576"/>
    <w:rsid w:val="29C25353"/>
    <w:rsid w:val="29F3375E"/>
    <w:rsid w:val="29F6270D"/>
    <w:rsid w:val="29F70643"/>
    <w:rsid w:val="29FA2D3E"/>
    <w:rsid w:val="29FA5C15"/>
    <w:rsid w:val="29FC635E"/>
    <w:rsid w:val="2A02590B"/>
    <w:rsid w:val="2A04596B"/>
    <w:rsid w:val="2A093314"/>
    <w:rsid w:val="2A0C2A72"/>
    <w:rsid w:val="2A157B78"/>
    <w:rsid w:val="2A187669"/>
    <w:rsid w:val="2A257690"/>
    <w:rsid w:val="2A3C149D"/>
    <w:rsid w:val="2A51096C"/>
    <w:rsid w:val="2A583175"/>
    <w:rsid w:val="2A5E5C71"/>
    <w:rsid w:val="2A62267C"/>
    <w:rsid w:val="2A6A19C0"/>
    <w:rsid w:val="2A720B27"/>
    <w:rsid w:val="2A776222"/>
    <w:rsid w:val="2A7B0204"/>
    <w:rsid w:val="2A7F4FF2"/>
    <w:rsid w:val="2A810D6A"/>
    <w:rsid w:val="2A84085A"/>
    <w:rsid w:val="2A941A30"/>
    <w:rsid w:val="2A944F41"/>
    <w:rsid w:val="2A9977E5"/>
    <w:rsid w:val="2AA07BE6"/>
    <w:rsid w:val="2AAD7DB1"/>
    <w:rsid w:val="2AC450FA"/>
    <w:rsid w:val="2AD60773"/>
    <w:rsid w:val="2AE65071"/>
    <w:rsid w:val="2AEE3E65"/>
    <w:rsid w:val="2AF11CA4"/>
    <w:rsid w:val="2AF53506"/>
    <w:rsid w:val="2AF61758"/>
    <w:rsid w:val="2AF72E6D"/>
    <w:rsid w:val="2B0801EA"/>
    <w:rsid w:val="2B097498"/>
    <w:rsid w:val="2B192484"/>
    <w:rsid w:val="2B2A25A0"/>
    <w:rsid w:val="2B2A3933"/>
    <w:rsid w:val="2B3E13B4"/>
    <w:rsid w:val="2B434205"/>
    <w:rsid w:val="2B434271"/>
    <w:rsid w:val="2B4465E7"/>
    <w:rsid w:val="2B454115"/>
    <w:rsid w:val="2B4C1378"/>
    <w:rsid w:val="2B587FA8"/>
    <w:rsid w:val="2B604E23"/>
    <w:rsid w:val="2B705BA4"/>
    <w:rsid w:val="2B717898"/>
    <w:rsid w:val="2B77148A"/>
    <w:rsid w:val="2B794EF7"/>
    <w:rsid w:val="2B8F74B6"/>
    <w:rsid w:val="2B927A14"/>
    <w:rsid w:val="2B937BF2"/>
    <w:rsid w:val="2B944ACD"/>
    <w:rsid w:val="2B964CE9"/>
    <w:rsid w:val="2BB7420F"/>
    <w:rsid w:val="2BBB474F"/>
    <w:rsid w:val="2BDC4545"/>
    <w:rsid w:val="2BE0256A"/>
    <w:rsid w:val="2BE47802"/>
    <w:rsid w:val="2BEC7C7F"/>
    <w:rsid w:val="2BF11F1F"/>
    <w:rsid w:val="2BF65788"/>
    <w:rsid w:val="2C0A4D8F"/>
    <w:rsid w:val="2C0D5A43"/>
    <w:rsid w:val="2C153252"/>
    <w:rsid w:val="2C413B71"/>
    <w:rsid w:val="2C4F21C7"/>
    <w:rsid w:val="2C567FD4"/>
    <w:rsid w:val="2C5B55EB"/>
    <w:rsid w:val="2C5D5807"/>
    <w:rsid w:val="2C69142F"/>
    <w:rsid w:val="2C6D5A4A"/>
    <w:rsid w:val="2C714E0E"/>
    <w:rsid w:val="2C7D52E4"/>
    <w:rsid w:val="2C7E53CD"/>
    <w:rsid w:val="2C7F39CF"/>
    <w:rsid w:val="2C876CFD"/>
    <w:rsid w:val="2C9754CF"/>
    <w:rsid w:val="2C977C17"/>
    <w:rsid w:val="2C9970EB"/>
    <w:rsid w:val="2C9A4365"/>
    <w:rsid w:val="2CA46F92"/>
    <w:rsid w:val="2CA85023"/>
    <w:rsid w:val="2CA95E1E"/>
    <w:rsid w:val="2CB73DB6"/>
    <w:rsid w:val="2CB80F55"/>
    <w:rsid w:val="2CBA520D"/>
    <w:rsid w:val="2CBE509F"/>
    <w:rsid w:val="2CC232A4"/>
    <w:rsid w:val="2CD95DF6"/>
    <w:rsid w:val="2CDC672B"/>
    <w:rsid w:val="2CDD76B9"/>
    <w:rsid w:val="2CE2110E"/>
    <w:rsid w:val="2CF95EEF"/>
    <w:rsid w:val="2CFB1C16"/>
    <w:rsid w:val="2D0610FA"/>
    <w:rsid w:val="2D093929"/>
    <w:rsid w:val="2D0D0FDB"/>
    <w:rsid w:val="2D0D2D89"/>
    <w:rsid w:val="2D124F89"/>
    <w:rsid w:val="2D142369"/>
    <w:rsid w:val="2D202401"/>
    <w:rsid w:val="2D272685"/>
    <w:rsid w:val="2D346567"/>
    <w:rsid w:val="2D3959EC"/>
    <w:rsid w:val="2D3A4B82"/>
    <w:rsid w:val="2D4300B2"/>
    <w:rsid w:val="2D4407FC"/>
    <w:rsid w:val="2D4B534E"/>
    <w:rsid w:val="2D574004"/>
    <w:rsid w:val="2D612E87"/>
    <w:rsid w:val="2D614C14"/>
    <w:rsid w:val="2D636B27"/>
    <w:rsid w:val="2D650A4D"/>
    <w:rsid w:val="2D686211"/>
    <w:rsid w:val="2D6F134E"/>
    <w:rsid w:val="2D736C11"/>
    <w:rsid w:val="2D78377D"/>
    <w:rsid w:val="2D7F3D38"/>
    <w:rsid w:val="2D8A7F3E"/>
    <w:rsid w:val="2D990AC0"/>
    <w:rsid w:val="2DBA0DC5"/>
    <w:rsid w:val="2DBE0614"/>
    <w:rsid w:val="2DCD3AA1"/>
    <w:rsid w:val="2DD3230D"/>
    <w:rsid w:val="2DD47845"/>
    <w:rsid w:val="2DDC6B2B"/>
    <w:rsid w:val="2DEE718B"/>
    <w:rsid w:val="2E123CCC"/>
    <w:rsid w:val="2E1350FA"/>
    <w:rsid w:val="2E155846"/>
    <w:rsid w:val="2E33681F"/>
    <w:rsid w:val="2E3600BD"/>
    <w:rsid w:val="2E3A7BAD"/>
    <w:rsid w:val="2E6B2FE2"/>
    <w:rsid w:val="2E7110F5"/>
    <w:rsid w:val="2E971B3A"/>
    <w:rsid w:val="2EB0247A"/>
    <w:rsid w:val="2EB532C1"/>
    <w:rsid w:val="2EBF6305"/>
    <w:rsid w:val="2EC01E1F"/>
    <w:rsid w:val="2EC90F31"/>
    <w:rsid w:val="2EDA313F"/>
    <w:rsid w:val="2EE45F4A"/>
    <w:rsid w:val="2EE95130"/>
    <w:rsid w:val="2EF53AFB"/>
    <w:rsid w:val="2F032695"/>
    <w:rsid w:val="2F155F25"/>
    <w:rsid w:val="2F2B5753"/>
    <w:rsid w:val="2F364819"/>
    <w:rsid w:val="2F37233F"/>
    <w:rsid w:val="2F3872AC"/>
    <w:rsid w:val="2F3C7955"/>
    <w:rsid w:val="2F4602F7"/>
    <w:rsid w:val="2F590507"/>
    <w:rsid w:val="2F5C707C"/>
    <w:rsid w:val="2F5C7FF7"/>
    <w:rsid w:val="2F6173BC"/>
    <w:rsid w:val="2F6724CF"/>
    <w:rsid w:val="2F6E3926"/>
    <w:rsid w:val="2F6F1AD9"/>
    <w:rsid w:val="2F762E67"/>
    <w:rsid w:val="2F7E5BC5"/>
    <w:rsid w:val="2F947791"/>
    <w:rsid w:val="2FA15A0A"/>
    <w:rsid w:val="2FA222EA"/>
    <w:rsid w:val="2FA31782"/>
    <w:rsid w:val="2FB92D54"/>
    <w:rsid w:val="2FBE65BC"/>
    <w:rsid w:val="2FC95464"/>
    <w:rsid w:val="2FDD4C94"/>
    <w:rsid w:val="2FE76FA6"/>
    <w:rsid w:val="2FEA5053"/>
    <w:rsid w:val="2FEC3129"/>
    <w:rsid w:val="2FFA677F"/>
    <w:rsid w:val="30071D11"/>
    <w:rsid w:val="300E37B7"/>
    <w:rsid w:val="301306B6"/>
    <w:rsid w:val="30170097"/>
    <w:rsid w:val="301D32E3"/>
    <w:rsid w:val="30247FBC"/>
    <w:rsid w:val="3029072F"/>
    <w:rsid w:val="30301E9F"/>
    <w:rsid w:val="303445D5"/>
    <w:rsid w:val="30374670"/>
    <w:rsid w:val="3037631F"/>
    <w:rsid w:val="30405223"/>
    <w:rsid w:val="30454BCD"/>
    <w:rsid w:val="30716EA1"/>
    <w:rsid w:val="307A0735"/>
    <w:rsid w:val="307A6139"/>
    <w:rsid w:val="307A6987"/>
    <w:rsid w:val="30824172"/>
    <w:rsid w:val="308D75B8"/>
    <w:rsid w:val="30985D7F"/>
    <w:rsid w:val="309A14D5"/>
    <w:rsid w:val="30AB6B41"/>
    <w:rsid w:val="30B359F5"/>
    <w:rsid w:val="30B65542"/>
    <w:rsid w:val="30B8796D"/>
    <w:rsid w:val="30BD4AC6"/>
    <w:rsid w:val="30C56FF6"/>
    <w:rsid w:val="30CA163E"/>
    <w:rsid w:val="30D442A3"/>
    <w:rsid w:val="30DB4046"/>
    <w:rsid w:val="30DC4F4C"/>
    <w:rsid w:val="30ED5928"/>
    <w:rsid w:val="30EE188C"/>
    <w:rsid w:val="30F229C1"/>
    <w:rsid w:val="30F3371F"/>
    <w:rsid w:val="30F77E2D"/>
    <w:rsid w:val="30F878AC"/>
    <w:rsid w:val="310D221E"/>
    <w:rsid w:val="31102E48"/>
    <w:rsid w:val="31224929"/>
    <w:rsid w:val="31284850"/>
    <w:rsid w:val="312D4C12"/>
    <w:rsid w:val="312E2DDD"/>
    <w:rsid w:val="31327262"/>
    <w:rsid w:val="31350B00"/>
    <w:rsid w:val="313A448A"/>
    <w:rsid w:val="313A6116"/>
    <w:rsid w:val="313A6157"/>
    <w:rsid w:val="313F372D"/>
    <w:rsid w:val="3147396C"/>
    <w:rsid w:val="31576CC8"/>
    <w:rsid w:val="316E67C0"/>
    <w:rsid w:val="316F4012"/>
    <w:rsid w:val="317C5CD5"/>
    <w:rsid w:val="31807FCD"/>
    <w:rsid w:val="318D26EA"/>
    <w:rsid w:val="318D6246"/>
    <w:rsid w:val="319C5F3C"/>
    <w:rsid w:val="31AD68E8"/>
    <w:rsid w:val="31B639EF"/>
    <w:rsid w:val="31B8175A"/>
    <w:rsid w:val="31B9528D"/>
    <w:rsid w:val="31C90602"/>
    <w:rsid w:val="31CC3D0E"/>
    <w:rsid w:val="31D43BEF"/>
    <w:rsid w:val="31D75BA5"/>
    <w:rsid w:val="31DB3455"/>
    <w:rsid w:val="31DC30D4"/>
    <w:rsid w:val="31E83DC4"/>
    <w:rsid w:val="31F300EE"/>
    <w:rsid w:val="31F6028F"/>
    <w:rsid w:val="31F85DEF"/>
    <w:rsid w:val="320F1364"/>
    <w:rsid w:val="321626E0"/>
    <w:rsid w:val="32191419"/>
    <w:rsid w:val="322146E4"/>
    <w:rsid w:val="32252923"/>
    <w:rsid w:val="3233503A"/>
    <w:rsid w:val="323626D8"/>
    <w:rsid w:val="323668DE"/>
    <w:rsid w:val="323D6AD7"/>
    <w:rsid w:val="32485264"/>
    <w:rsid w:val="325356E2"/>
    <w:rsid w:val="326C5C3B"/>
    <w:rsid w:val="327502FD"/>
    <w:rsid w:val="32833D81"/>
    <w:rsid w:val="32875AD3"/>
    <w:rsid w:val="328975B8"/>
    <w:rsid w:val="3291620A"/>
    <w:rsid w:val="3296737C"/>
    <w:rsid w:val="32986EEA"/>
    <w:rsid w:val="32990C1B"/>
    <w:rsid w:val="329B095A"/>
    <w:rsid w:val="329B728C"/>
    <w:rsid w:val="32A221C5"/>
    <w:rsid w:val="32AC094E"/>
    <w:rsid w:val="32B11D6B"/>
    <w:rsid w:val="32B8151B"/>
    <w:rsid w:val="32B90418"/>
    <w:rsid w:val="32C91500"/>
    <w:rsid w:val="32D470C3"/>
    <w:rsid w:val="32ED4C88"/>
    <w:rsid w:val="32F10A57"/>
    <w:rsid w:val="330164E9"/>
    <w:rsid w:val="331F7372"/>
    <w:rsid w:val="33264B44"/>
    <w:rsid w:val="333077D1"/>
    <w:rsid w:val="333E584D"/>
    <w:rsid w:val="33426A3E"/>
    <w:rsid w:val="334C7BCC"/>
    <w:rsid w:val="33513976"/>
    <w:rsid w:val="335A0F0F"/>
    <w:rsid w:val="335C05C6"/>
    <w:rsid w:val="336F02F9"/>
    <w:rsid w:val="33705E1F"/>
    <w:rsid w:val="337D18C1"/>
    <w:rsid w:val="337F6063"/>
    <w:rsid w:val="33813B89"/>
    <w:rsid w:val="3384692B"/>
    <w:rsid w:val="338D1450"/>
    <w:rsid w:val="33942223"/>
    <w:rsid w:val="339A7C72"/>
    <w:rsid w:val="33A212E2"/>
    <w:rsid w:val="33A61841"/>
    <w:rsid w:val="33A930DF"/>
    <w:rsid w:val="33AA7583"/>
    <w:rsid w:val="33AE06F6"/>
    <w:rsid w:val="33B92E2A"/>
    <w:rsid w:val="33C210EF"/>
    <w:rsid w:val="33C259DD"/>
    <w:rsid w:val="33D97E69"/>
    <w:rsid w:val="33F95E15"/>
    <w:rsid w:val="34020530"/>
    <w:rsid w:val="34092450"/>
    <w:rsid w:val="341E3E93"/>
    <w:rsid w:val="34212A59"/>
    <w:rsid w:val="34256C0A"/>
    <w:rsid w:val="34333EFF"/>
    <w:rsid w:val="343926B5"/>
    <w:rsid w:val="343A2A7C"/>
    <w:rsid w:val="343E1A7A"/>
    <w:rsid w:val="344277BC"/>
    <w:rsid w:val="345827E9"/>
    <w:rsid w:val="345A65F7"/>
    <w:rsid w:val="345B7E63"/>
    <w:rsid w:val="346E7706"/>
    <w:rsid w:val="347403C5"/>
    <w:rsid w:val="34747C4C"/>
    <w:rsid w:val="347D381D"/>
    <w:rsid w:val="347F6009"/>
    <w:rsid w:val="348C4EDB"/>
    <w:rsid w:val="349B38F7"/>
    <w:rsid w:val="34B2733D"/>
    <w:rsid w:val="34C957E7"/>
    <w:rsid w:val="34D04DC8"/>
    <w:rsid w:val="34DC0955"/>
    <w:rsid w:val="34DD5737"/>
    <w:rsid w:val="34DF6D17"/>
    <w:rsid w:val="34E73EBF"/>
    <w:rsid w:val="34F01A5F"/>
    <w:rsid w:val="34FB3257"/>
    <w:rsid w:val="34FE7C03"/>
    <w:rsid w:val="35004F81"/>
    <w:rsid w:val="350E7094"/>
    <w:rsid w:val="351729F7"/>
    <w:rsid w:val="352F319D"/>
    <w:rsid w:val="353062CE"/>
    <w:rsid w:val="35373099"/>
    <w:rsid w:val="35431A3E"/>
    <w:rsid w:val="355359F9"/>
    <w:rsid w:val="355703E8"/>
    <w:rsid w:val="35700359"/>
    <w:rsid w:val="35725E7F"/>
    <w:rsid w:val="35773495"/>
    <w:rsid w:val="357E577E"/>
    <w:rsid w:val="358D0F0B"/>
    <w:rsid w:val="35AB1391"/>
    <w:rsid w:val="35AB2A31"/>
    <w:rsid w:val="35AF5F45"/>
    <w:rsid w:val="35C0308E"/>
    <w:rsid w:val="35CA6B56"/>
    <w:rsid w:val="35CA73C9"/>
    <w:rsid w:val="35CB1A33"/>
    <w:rsid w:val="35D02BA5"/>
    <w:rsid w:val="35D525C2"/>
    <w:rsid w:val="35DC1A9F"/>
    <w:rsid w:val="35F25212"/>
    <w:rsid w:val="35F965A0"/>
    <w:rsid w:val="36160F00"/>
    <w:rsid w:val="3619454C"/>
    <w:rsid w:val="361D32BA"/>
    <w:rsid w:val="361D6B92"/>
    <w:rsid w:val="36257395"/>
    <w:rsid w:val="36261C8A"/>
    <w:rsid w:val="36280C33"/>
    <w:rsid w:val="362A675A"/>
    <w:rsid w:val="364F647B"/>
    <w:rsid w:val="366720B3"/>
    <w:rsid w:val="36681030"/>
    <w:rsid w:val="3669652F"/>
    <w:rsid w:val="366C4FC4"/>
    <w:rsid w:val="36716136"/>
    <w:rsid w:val="3676374D"/>
    <w:rsid w:val="367C77DF"/>
    <w:rsid w:val="367E39ED"/>
    <w:rsid w:val="367F4CF7"/>
    <w:rsid w:val="368D102E"/>
    <w:rsid w:val="369D517D"/>
    <w:rsid w:val="36A32995"/>
    <w:rsid w:val="36A451BD"/>
    <w:rsid w:val="36A85BC8"/>
    <w:rsid w:val="36D02B5B"/>
    <w:rsid w:val="36EF52AD"/>
    <w:rsid w:val="36F074E0"/>
    <w:rsid w:val="36F26C15"/>
    <w:rsid w:val="36FB580A"/>
    <w:rsid w:val="36FC6348"/>
    <w:rsid w:val="37082AC5"/>
    <w:rsid w:val="37215DAE"/>
    <w:rsid w:val="37390922"/>
    <w:rsid w:val="373A734F"/>
    <w:rsid w:val="374A4119"/>
    <w:rsid w:val="375325B8"/>
    <w:rsid w:val="37584354"/>
    <w:rsid w:val="375A12C0"/>
    <w:rsid w:val="375D490D"/>
    <w:rsid w:val="375F533D"/>
    <w:rsid w:val="377F0D27"/>
    <w:rsid w:val="378A67C2"/>
    <w:rsid w:val="37985914"/>
    <w:rsid w:val="37A4078E"/>
    <w:rsid w:val="37A97665"/>
    <w:rsid w:val="37B068EA"/>
    <w:rsid w:val="37B7401D"/>
    <w:rsid w:val="37C46828"/>
    <w:rsid w:val="37C8622A"/>
    <w:rsid w:val="37CD55EE"/>
    <w:rsid w:val="37F011D1"/>
    <w:rsid w:val="37FD3A31"/>
    <w:rsid w:val="38042FDA"/>
    <w:rsid w:val="38094A5E"/>
    <w:rsid w:val="38194CD8"/>
    <w:rsid w:val="382D2531"/>
    <w:rsid w:val="38330DBB"/>
    <w:rsid w:val="3837515E"/>
    <w:rsid w:val="385301CF"/>
    <w:rsid w:val="38552361"/>
    <w:rsid w:val="385F3015"/>
    <w:rsid w:val="386C12AB"/>
    <w:rsid w:val="386F3E3A"/>
    <w:rsid w:val="38857C7F"/>
    <w:rsid w:val="388D4F47"/>
    <w:rsid w:val="38936487"/>
    <w:rsid w:val="38B4616C"/>
    <w:rsid w:val="38B91A56"/>
    <w:rsid w:val="38BB436D"/>
    <w:rsid w:val="38CF2EE1"/>
    <w:rsid w:val="38D560CA"/>
    <w:rsid w:val="38D63070"/>
    <w:rsid w:val="38DE5E86"/>
    <w:rsid w:val="38E452E6"/>
    <w:rsid w:val="38FF1966"/>
    <w:rsid w:val="39186D3D"/>
    <w:rsid w:val="391A0D07"/>
    <w:rsid w:val="3929719C"/>
    <w:rsid w:val="392D7D0F"/>
    <w:rsid w:val="3941217B"/>
    <w:rsid w:val="394E09B1"/>
    <w:rsid w:val="39534219"/>
    <w:rsid w:val="395C1320"/>
    <w:rsid w:val="395D0BF4"/>
    <w:rsid w:val="396035CB"/>
    <w:rsid w:val="396B3311"/>
    <w:rsid w:val="397B3B47"/>
    <w:rsid w:val="399110B4"/>
    <w:rsid w:val="39974106"/>
    <w:rsid w:val="399D5494"/>
    <w:rsid w:val="39A6259B"/>
    <w:rsid w:val="39AB6324"/>
    <w:rsid w:val="39C173D5"/>
    <w:rsid w:val="39CE5DC5"/>
    <w:rsid w:val="39D52131"/>
    <w:rsid w:val="39D76BF8"/>
    <w:rsid w:val="39DF5AAD"/>
    <w:rsid w:val="39EA2E18"/>
    <w:rsid w:val="39FF48E8"/>
    <w:rsid w:val="3A0D43C8"/>
    <w:rsid w:val="3A167A9D"/>
    <w:rsid w:val="3A1917D6"/>
    <w:rsid w:val="3A1A4D37"/>
    <w:rsid w:val="3A1F40FB"/>
    <w:rsid w:val="3A215E43"/>
    <w:rsid w:val="3A313C6D"/>
    <w:rsid w:val="3A377697"/>
    <w:rsid w:val="3A3D0A2D"/>
    <w:rsid w:val="3A3F02FA"/>
    <w:rsid w:val="3A49451A"/>
    <w:rsid w:val="3A5B28F0"/>
    <w:rsid w:val="3A79603A"/>
    <w:rsid w:val="3A7B0277"/>
    <w:rsid w:val="3A995C5C"/>
    <w:rsid w:val="3A99691A"/>
    <w:rsid w:val="3AB151D1"/>
    <w:rsid w:val="3ABC7B9C"/>
    <w:rsid w:val="3ABE1B66"/>
    <w:rsid w:val="3AC0768C"/>
    <w:rsid w:val="3AC16F61"/>
    <w:rsid w:val="3AC23843"/>
    <w:rsid w:val="3ACC5871"/>
    <w:rsid w:val="3AD97800"/>
    <w:rsid w:val="3ADB2718"/>
    <w:rsid w:val="3AE0388B"/>
    <w:rsid w:val="3AEA295B"/>
    <w:rsid w:val="3AEC0481"/>
    <w:rsid w:val="3AFB2473"/>
    <w:rsid w:val="3AFC2698"/>
    <w:rsid w:val="3B0170C9"/>
    <w:rsid w:val="3B0C7DCA"/>
    <w:rsid w:val="3B117EE8"/>
    <w:rsid w:val="3B1518FA"/>
    <w:rsid w:val="3B1672AC"/>
    <w:rsid w:val="3B175ED9"/>
    <w:rsid w:val="3B304812"/>
    <w:rsid w:val="3B3077EE"/>
    <w:rsid w:val="3B3F2CA7"/>
    <w:rsid w:val="3B4007CD"/>
    <w:rsid w:val="3B404329"/>
    <w:rsid w:val="3B492769"/>
    <w:rsid w:val="3B4F136D"/>
    <w:rsid w:val="3B583D69"/>
    <w:rsid w:val="3B6224F2"/>
    <w:rsid w:val="3B6C621F"/>
    <w:rsid w:val="3B7010B2"/>
    <w:rsid w:val="3B781D15"/>
    <w:rsid w:val="3B7C7A57"/>
    <w:rsid w:val="3B7F0546"/>
    <w:rsid w:val="3B886195"/>
    <w:rsid w:val="3B8D4566"/>
    <w:rsid w:val="3B9603ED"/>
    <w:rsid w:val="3B974891"/>
    <w:rsid w:val="3B9E4CC8"/>
    <w:rsid w:val="3BA725FA"/>
    <w:rsid w:val="3BBE00C2"/>
    <w:rsid w:val="3BC258C9"/>
    <w:rsid w:val="3BC27E60"/>
    <w:rsid w:val="3BC313CE"/>
    <w:rsid w:val="3BC66F24"/>
    <w:rsid w:val="3BDA0464"/>
    <w:rsid w:val="3BDF7FE6"/>
    <w:rsid w:val="3BE22B7F"/>
    <w:rsid w:val="3BEB12FA"/>
    <w:rsid w:val="3BF654A3"/>
    <w:rsid w:val="3BF960B3"/>
    <w:rsid w:val="3BFE5724"/>
    <w:rsid w:val="3C0B0DDB"/>
    <w:rsid w:val="3C0D4B53"/>
    <w:rsid w:val="3C132CD6"/>
    <w:rsid w:val="3C177780"/>
    <w:rsid w:val="3C1A532E"/>
    <w:rsid w:val="3C20213A"/>
    <w:rsid w:val="3C2E2894"/>
    <w:rsid w:val="3C477FA0"/>
    <w:rsid w:val="3C4E627D"/>
    <w:rsid w:val="3C4F1254"/>
    <w:rsid w:val="3C500074"/>
    <w:rsid w:val="3C6109FB"/>
    <w:rsid w:val="3C667DC0"/>
    <w:rsid w:val="3C77021F"/>
    <w:rsid w:val="3C8057F0"/>
    <w:rsid w:val="3C8446EA"/>
    <w:rsid w:val="3C84588F"/>
    <w:rsid w:val="3C850B8E"/>
    <w:rsid w:val="3C85293C"/>
    <w:rsid w:val="3C8E0AF7"/>
    <w:rsid w:val="3C8F7316"/>
    <w:rsid w:val="3C9456DF"/>
    <w:rsid w:val="3C9B3F0D"/>
    <w:rsid w:val="3C9C1A49"/>
    <w:rsid w:val="3C9D68D3"/>
    <w:rsid w:val="3CA1529C"/>
    <w:rsid w:val="3CA56B3A"/>
    <w:rsid w:val="3CBE19AA"/>
    <w:rsid w:val="3CC66AB0"/>
    <w:rsid w:val="3CD46A31"/>
    <w:rsid w:val="3CD65971"/>
    <w:rsid w:val="3CDE029E"/>
    <w:rsid w:val="3CE043BB"/>
    <w:rsid w:val="3CE62060"/>
    <w:rsid w:val="3CFF610E"/>
    <w:rsid w:val="3D05141F"/>
    <w:rsid w:val="3D0B7E89"/>
    <w:rsid w:val="3D0E0B83"/>
    <w:rsid w:val="3D1A0696"/>
    <w:rsid w:val="3D3046D0"/>
    <w:rsid w:val="3D313805"/>
    <w:rsid w:val="3D3D5CB5"/>
    <w:rsid w:val="3D406863"/>
    <w:rsid w:val="3D42082D"/>
    <w:rsid w:val="3D461C2A"/>
    <w:rsid w:val="3D4C3BDD"/>
    <w:rsid w:val="3D712EC0"/>
    <w:rsid w:val="3D762284"/>
    <w:rsid w:val="3D8250CD"/>
    <w:rsid w:val="3D8D2C30"/>
    <w:rsid w:val="3D8E4C3E"/>
    <w:rsid w:val="3D913562"/>
    <w:rsid w:val="3DA92E03"/>
    <w:rsid w:val="3DB07174"/>
    <w:rsid w:val="3DB26648"/>
    <w:rsid w:val="3DB86D41"/>
    <w:rsid w:val="3DBF6CA9"/>
    <w:rsid w:val="3DC92CFC"/>
    <w:rsid w:val="3DCE20C0"/>
    <w:rsid w:val="3DDA0A65"/>
    <w:rsid w:val="3DF703B9"/>
    <w:rsid w:val="3DF77869"/>
    <w:rsid w:val="3DFA1107"/>
    <w:rsid w:val="3E0E6F0E"/>
    <w:rsid w:val="3E255A1E"/>
    <w:rsid w:val="3E2E53D9"/>
    <w:rsid w:val="3E2E7003"/>
    <w:rsid w:val="3E3D719B"/>
    <w:rsid w:val="3E402659"/>
    <w:rsid w:val="3E467EA9"/>
    <w:rsid w:val="3E5A3954"/>
    <w:rsid w:val="3E605E1E"/>
    <w:rsid w:val="3E6B3DB3"/>
    <w:rsid w:val="3E6D3687"/>
    <w:rsid w:val="3E6D39C0"/>
    <w:rsid w:val="3E6D7D68"/>
    <w:rsid w:val="3E7569E0"/>
    <w:rsid w:val="3E79314E"/>
    <w:rsid w:val="3E8E35FE"/>
    <w:rsid w:val="3E993898"/>
    <w:rsid w:val="3E9B7427"/>
    <w:rsid w:val="3EAE5A4E"/>
    <w:rsid w:val="3EC534C3"/>
    <w:rsid w:val="3ECF35C4"/>
    <w:rsid w:val="3ED31600"/>
    <w:rsid w:val="3ED454B4"/>
    <w:rsid w:val="3EDD420B"/>
    <w:rsid w:val="3F1B7587"/>
    <w:rsid w:val="3F205B00"/>
    <w:rsid w:val="3F2205CA"/>
    <w:rsid w:val="3F245830"/>
    <w:rsid w:val="3F275F2C"/>
    <w:rsid w:val="3F316DAB"/>
    <w:rsid w:val="3F43263A"/>
    <w:rsid w:val="3F4A7E6C"/>
    <w:rsid w:val="3F5A299E"/>
    <w:rsid w:val="3F5A2B3C"/>
    <w:rsid w:val="3F5F2E1C"/>
    <w:rsid w:val="3F626F64"/>
    <w:rsid w:val="3F6B569A"/>
    <w:rsid w:val="3F6C3416"/>
    <w:rsid w:val="3F854A01"/>
    <w:rsid w:val="3F8F762D"/>
    <w:rsid w:val="3F965DAA"/>
    <w:rsid w:val="3F9A287F"/>
    <w:rsid w:val="3F9E43A9"/>
    <w:rsid w:val="3FAA2106"/>
    <w:rsid w:val="3FB25918"/>
    <w:rsid w:val="3FB63D64"/>
    <w:rsid w:val="3FBE7BBE"/>
    <w:rsid w:val="3FC42498"/>
    <w:rsid w:val="3FCF3ECE"/>
    <w:rsid w:val="3FD339BE"/>
    <w:rsid w:val="3FE1257F"/>
    <w:rsid w:val="3FEB394C"/>
    <w:rsid w:val="40016D3F"/>
    <w:rsid w:val="401069C0"/>
    <w:rsid w:val="40157629"/>
    <w:rsid w:val="40166116"/>
    <w:rsid w:val="40181D19"/>
    <w:rsid w:val="402635E3"/>
    <w:rsid w:val="402661E4"/>
    <w:rsid w:val="40267B77"/>
    <w:rsid w:val="402C30CE"/>
    <w:rsid w:val="40373D90"/>
    <w:rsid w:val="403E29A8"/>
    <w:rsid w:val="4043667C"/>
    <w:rsid w:val="40477DB7"/>
    <w:rsid w:val="405845AB"/>
    <w:rsid w:val="40592ECB"/>
    <w:rsid w:val="405A1E12"/>
    <w:rsid w:val="40714F85"/>
    <w:rsid w:val="407B00AC"/>
    <w:rsid w:val="407B6536"/>
    <w:rsid w:val="407C4A1A"/>
    <w:rsid w:val="4080536B"/>
    <w:rsid w:val="408353E4"/>
    <w:rsid w:val="408514D1"/>
    <w:rsid w:val="408A7E79"/>
    <w:rsid w:val="4090365D"/>
    <w:rsid w:val="40B23487"/>
    <w:rsid w:val="40B41A41"/>
    <w:rsid w:val="40C341F0"/>
    <w:rsid w:val="40C5704B"/>
    <w:rsid w:val="40CC7140"/>
    <w:rsid w:val="40D44CE6"/>
    <w:rsid w:val="40D94F7D"/>
    <w:rsid w:val="40DC1E83"/>
    <w:rsid w:val="40E30C42"/>
    <w:rsid w:val="411424E0"/>
    <w:rsid w:val="41197AF6"/>
    <w:rsid w:val="411E6FB6"/>
    <w:rsid w:val="41483F38"/>
    <w:rsid w:val="414B0B7F"/>
    <w:rsid w:val="415428DD"/>
    <w:rsid w:val="415758B1"/>
    <w:rsid w:val="415D3E87"/>
    <w:rsid w:val="417215C5"/>
    <w:rsid w:val="417279ED"/>
    <w:rsid w:val="41733900"/>
    <w:rsid w:val="41795309"/>
    <w:rsid w:val="4180799F"/>
    <w:rsid w:val="41807B75"/>
    <w:rsid w:val="418A27A2"/>
    <w:rsid w:val="418F1B67"/>
    <w:rsid w:val="4194717D"/>
    <w:rsid w:val="41947835"/>
    <w:rsid w:val="41987959"/>
    <w:rsid w:val="41A92AEC"/>
    <w:rsid w:val="41AA66E7"/>
    <w:rsid w:val="41BA0504"/>
    <w:rsid w:val="41CC0A0F"/>
    <w:rsid w:val="41CC3A5C"/>
    <w:rsid w:val="41CC6917"/>
    <w:rsid w:val="41CD6C94"/>
    <w:rsid w:val="41D1217F"/>
    <w:rsid w:val="41D96834"/>
    <w:rsid w:val="41E9030B"/>
    <w:rsid w:val="41E931FF"/>
    <w:rsid w:val="41F32F91"/>
    <w:rsid w:val="41F63994"/>
    <w:rsid w:val="41F942D2"/>
    <w:rsid w:val="42100EF9"/>
    <w:rsid w:val="42351925"/>
    <w:rsid w:val="423D5A66"/>
    <w:rsid w:val="423F17DF"/>
    <w:rsid w:val="42731488"/>
    <w:rsid w:val="427F330D"/>
    <w:rsid w:val="42884F34"/>
    <w:rsid w:val="428E1E1E"/>
    <w:rsid w:val="429477FF"/>
    <w:rsid w:val="429C09DF"/>
    <w:rsid w:val="429F227D"/>
    <w:rsid w:val="42AA3719"/>
    <w:rsid w:val="42AB0C22"/>
    <w:rsid w:val="42B01EE0"/>
    <w:rsid w:val="42B15B0D"/>
    <w:rsid w:val="42B251E8"/>
    <w:rsid w:val="42B91932"/>
    <w:rsid w:val="42C121C5"/>
    <w:rsid w:val="42C121F4"/>
    <w:rsid w:val="42CA458E"/>
    <w:rsid w:val="42D812EB"/>
    <w:rsid w:val="42EC3CDF"/>
    <w:rsid w:val="42F92115"/>
    <w:rsid w:val="42FE0D52"/>
    <w:rsid w:val="42FF57D4"/>
    <w:rsid w:val="43000F6E"/>
    <w:rsid w:val="430852FB"/>
    <w:rsid w:val="432509D4"/>
    <w:rsid w:val="432534CE"/>
    <w:rsid w:val="43301127"/>
    <w:rsid w:val="43340C18"/>
    <w:rsid w:val="433A3C4A"/>
    <w:rsid w:val="434150E2"/>
    <w:rsid w:val="43442673"/>
    <w:rsid w:val="4357418B"/>
    <w:rsid w:val="43634471"/>
    <w:rsid w:val="4374185B"/>
    <w:rsid w:val="438161A3"/>
    <w:rsid w:val="43827161"/>
    <w:rsid w:val="438356FB"/>
    <w:rsid w:val="43835E94"/>
    <w:rsid w:val="43845108"/>
    <w:rsid w:val="438F07BD"/>
    <w:rsid w:val="438F0E25"/>
    <w:rsid w:val="4399122C"/>
    <w:rsid w:val="439F0F46"/>
    <w:rsid w:val="43A538C3"/>
    <w:rsid w:val="43BA324B"/>
    <w:rsid w:val="43BE1C9D"/>
    <w:rsid w:val="43CB7573"/>
    <w:rsid w:val="43E12304"/>
    <w:rsid w:val="43E443EC"/>
    <w:rsid w:val="43E562A7"/>
    <w:rsid w:val="43E86863"/>
    <w:rsid w:val="43E9611A"/>
    <w:rsid w:val="43EB0358"/>
    <w:rsid w:val="43ED075C"/>
    <w:rsid w:val="43EF7D3B"/>
    <w:rsid w:val="44013AB6"/>
    <w:rsid w:val="44030E54"/>
    <w:rsid w:val="44054362"/>
    <w:rsid w:val="440E1469"/>
    <w:rsid w:val="441445A5"/>
    <w:rsid w:val="441822E7"/>
    <w:rsid w:val="441E71D2"/>
    <w:rsid w:val="44251366"/>
    <w:rsid w:val="442E5667"/>
    <w:rsid w:val="442E62BC"/>
    <w:rsid w:val="443D23EB"/>
    <w:rsid w:val="44637F9A"/>
    <w:rsid w:val="44663053"/>
    <w:rsid w:val="44782D86"/>
    <w:rsid w:val="447C0AC8"/>
    <w:rsid w:val="447D23AE"/>
    <w:rsid w:val="448654A3"/>
    <w:rsid w:val="449806DA"/>
    <w:rsid w:val="449F440E"/>
    <w:rsid w:val="44AE0B79"/>
    <w:rsid w:val="44AE67A8"/>
    <w:rsid w:val="44B30262"/>
    <w:rsid w:val="44B813D4"/>
    <w:rsid w:val="44B87626"/>
    <w:rsid w:val="44C36A99"/>
    <w:rsid w:val="44CE0BF8"/>
    <w:rsid w:val="44D271A4"/>
    <w:rsid w:val="44DC1567"/>
    <w:rsid w:val="45050ABD"/>
    <w:rsid w:val="45127CB9"/>
    <w:rsid w:val="451346B8"/>
    <w:rsid w:val="451672A5"/>
    <w:rsid w:val="453069C8"/>
    <w:rsid w:val="453C2005"/>
    <w:rsid w:val="45435142"/>
    <w:rsid w:val="454F0387"/>
    <w:rsid w:val="4557500C"/>
    <w:rsid w:val="456B6447"/>
    <w:rsid w:val="45712819"/>
    <w:rsid w:val="45776A4A"/>
    <w:rsid w:val="45790B64"/>
    <w:rsid w:val="45806396"/>
    <w:rsid w:val="458B303E"/>
    <w:rsid w:val="45A2210C"/>
    <w:rsid w:val="45AC0F39"/>
    <w:rsid w:val="45B509ED"/>
    <w:rsid w:val="45B918A8"/>
    <w:rsid w:val="45CD476B"/>
    <w:rsid w:val="45DD1F12"/>
    <w:rsid w:val="45E231F1"/>
    <w:rsid w:val="45ED27F5"/>
    <w:rsid w:val="460F6842"/>
    <w:rsid w:val="461B450F"/>
    <w:rsid w:val="461D3BC8"/>
    <w:rsid w:val="462118D3"/>
    <w:rsid w:val="46236D21"/>
    <w:rsid w:val="46274A64"/>
    <w:rsid w:val="4634138D"/>
    <w:rsid w:val="46380A1F"/>
    <w:rsid w:val="46427103"/>
    <w:rsid w:val="464F5D68"/>
    <w:rsid w:val="465F5FAB"/>
    <w:rsid w:val="46655E28"/>
    <w:rsid w:val="466A4950"/>
    <w:rsid w:val="466C5263"/>
    <w:rsid w:val="466D26CF"/>
    <w:rsid w:val="467529A8"/>
    <w:rsid w:val="46782302"/>
    <w:rsid w:val="4688063A"/>
    <w:rsid w:val="468C1459"/>
    <w:rsid w:val="469043B7"/>
    <w:rsid w:val="469D4D26"/>
    <w:rsid w:val="46AC4F69"/>
    <w:rsid w:val="46B61944"/>
    <w:rsid w:val="46BE0581"/>
    <w:rsid w:val="46C027C2"/>
    <w:rsid w:val="46C73B51"/>
    <w:rsid w:val="46CB3641"/>
    <w:rsid w:val="46CC473F"/>
    <w:rsid w:val="46D46360"/>
    <w:rsid w:val="46EB5A91"/>
    <w:rsid w:val="46F04E55"/>
    <w:rsid w:val="47044DA5"/>
    <w:rsid w:val="470F7AED"/>
    <w:rsid w:val="471274C2"/>
    <w:rsid w:val="47280A93"/>
    <w:rsid w:val="4732546E"/>
    <w:rsid w:val="475B59B7"/>
    <w:rsid w:val="475C698F"/>
    <w:rsid w:val="476E22E4"/>
    <w:rsid w:val="477912EF"/>
    <w:rsid w:val="477935C3"/>
    <w:rsid w:val="47880BE3"/>
    <w:rsid w:val="479043C7"/>
    <w:rsid w:val="479E2B03"/>
    <w:rsid w:val="47A85730"/>
    <w:rsid w:val="47AE6FD8"/>
    <w:rsid w:val="47B10A89"/>
    <w:rsid w:val="47BE4F54"/>
    <w:rsid w:val="47C307BC"/>
    <w:rsid w:val="47C62B47"/>
    <w:rsid w:val="47E349BA"/>
    <w:rsid w:val="47F06548"/>
    <w:rsid w:val="47F30839"/>
    <w:rsid w:val="47F45A63"/>
    <w:rsid w:val="47FB0EDF"/>
    <w:rsid w:val="480E7AEB"/>
    <w:rsid w:val="4812529F"/>
    <w:rsid w:val="48154D46"/>
    <w:rsid w:val="48166B3E"/>
    <w:rsid w:val="48190B6D"/>
    <w:rsid w:val="48344E12"/>
    <w:rsid w:val="483D056E"/>
    <w:rsid w:val="48622D85"/>
    <w:rsid w:val="486C2C02"/>
    <w:rsid w:val="486D24D6"/>
    <w:rsid w:val="487321E2"/>
    <w:rsid w:val="48815171"/>
    <w:rsid w:val="48881E7D"/>
    <w:rsid w:val="488C5AA1"/>
    <w:rsid w:val="489155C8"/>
    <w:rsid w:val="489363E0"/>
    <w:rsid w:val="489F4D85"/>
    <w:rsid w:val="48A4239B"/>
    <w:rsid w:val="48A979B2"/>
    <w:rsid w:val="48AB0BC2"/>
    <w:rsid w:val="48AD067F"/>
    <w:rsid w:val="48B6380D"/>
    <w:rsid w:val="48BC175E"/>
    <w:rsid w:val="48C52B4A"/>
    <w:rsid w:val="48C75570"/>
    <w:rsid w:val="48E154CB"/>
    <w:rsid w:val="49000B27"/>
    <w:rsid w:val="49075753"/>
    <w:rsid w:val="49080B7C"/>
    <w:rsid w:val="49095ED1"/>
    <w:rsid w:val="49203B62"/>
    <w:rsid w:val="49264B70"/>
    <w:rsid w:val="492B6619"/>
    <w:rsid w:val="49301E81"/>
    <w:rsid w:val="4938685A"/>
    <w:rsid w:val="494422D3"/>
    <w:rsid w:val="4954228F"/>
    <w:rsid w:val="49584F34"/>
    <w:rsid w:val="495C4D48"/>
    <w:rsid w:val="49634005"/>
    <w:rsid w:val="49667651"/>
    <w:rsid w:val="496B7101"/>
    <w:rsid w:val="49705E0D"/>
    <w:rsid w:val="4979377D"/>
    <w:rsid w:val="49836818"/>
    <w:rsid w:val="498B0874"/>
    <w:rsid w:val="49930345"/>
    <w:rsid w:val="499A379E"/>
    <w:rsid w:val="49A60395"/>
    <w:rsid w:val="49A87D24"/>
    <w:rsid w:val="49AD34D2"/>
    <w:rsid w:val="49B43DD4"/>
    <w:rsid w:val="49BC44DD"/>
    <w:rsid w:val="49C16F7D"/>
    <w:rsid w:val="49C600F0"/>
    <w:rsid w:val="49C935F2"/>
    <w:rsid w:val="49E2414D"/>
    <w:rsid w:val="49E54A1A"/>
    <w:rsid w:val="49FA2758"/>
    <w:rsid w:val="4A007AA5"/>
    <w:rsid w:val="4A084FAB"/>
    <w:rsid w:val="4A2376F1"/>
    <w:rsid w:val="4A25750C"/>
    <w:rsid w:val="4A282B58"/>
    <w:rsid w:val="4A315EB1"/>
    <w:rsid w:val="4A452E88"/>
    <w:rsid w:val="4A5C5EF0"/>
    <w:rsid w:val="4A653674"/>
    <w:rsid w:val="4A6A09D2"/>
    <w:rsid w:val="4A78588E"/>
    <w:rsid w:val="4A7B1BEA"/>
    <w:rsid w:val="4A805CB0"/>
    <w:rsid w:val="4A8C7B41"/>
    <w:rsid w:val="4A8F7F6C"/>
    <w:rsid w:val="4A9F12CA"/>
    <w:rsid w:val="4AA46683"/>
    <w:rsid w:val="4AA940C2"/>
    <w:rsid w:val="4AAE55EC"/>
    <w:rsid w:val="4AAF6AD2"/>
    <w:rsid w:val="4AC127C1"/>
    <w:rsid w:val="4ACF1226"/>
    <w:rsid w:val="4ADB406F"/>
    <w:rsid w:val="4AEE3DA2"/>
    <w:rsid w:val="4AF313B8"/>
    <w:rsid w:val="4AFE1CD7"/>
    <w:rsid w:val="4B052E99"/>
    <w:rsid w:val="4B0D06CC"/>
    <w:rsid w:val="4B0E4B44"/>
    <w:rsid w:val="4B1650A7"/>
    <w:rsid w:val="4B1B4610"/>
    <w:rsid w:val="4B1F03FF"/>
    <w:rsid w:val="4B23220F"/>
    <w:rsid w:val="4B2652EA"/>
    <w:rsid w:val="4B2A6415"/>
    <w:rsid w:val="4B2E0642"/>
    <w:rsid w:val="4B31269F"/>
    <w:rsid w:val="4B3414FC"/>
    <w:rsid w:val="4B362E69"/>
    <w:rsid w:val="4B3C2BB5"/>
    <w:rsid w:val="4B3D7B07"/>
    <w:rsid w:val="4B4D6D1A"/>
    <w:rsid w:val="4B5736F5"/>
    <w:rsid w:val="4B5927B7"/>
    <w:rsid w:val="4B842010"/>
    <w:rsid w:val="4B9453F6"/>
    <w:rsid w:val="4B974F6F"/>
    <w:rsid w:val="4BAD1567"/>
    <w:rsid w:val="4BB87F0C"/>
    <w:rsid w:val="4BBD5522"/>
    <w:rsid w:val="4BC66ACD"/>
    <w:rsid w:val="4BE331DB"/>
    <w:rsid w:val="4BEC102C"/>
    <w:rsid w:val="4BF851FB"/>
    <w:rsid w:val="4BFC7393"/>
    <w:rsid w:val="4C0355B6"/>
    <w:rsid w:val="4C1040AB"/>
    <w:rsid w:val="4C150598"/>
    <w:rsid w:val="4C1C493F"/>
    <w:rsid w:val="4C1C5DC0"/>
    <w:rsid w:val="4C3A15C5"/>
    <w:rsid w:val="4C3B49EE"/>
    <w:rsid w:val="4C425A91"/>
    <w:rsid w:val="4C501559"/>
    <w:rsid w:val="4C5B04D5"/>
    <w:rsid w:val="4C612351"/>
    <w:rsid w:val="4C660DDB"/>
    <w:rsid w:val="4C912C37"/>
    <w:rsid w:val="4C9E4260"/>
    <w:rsid w:val="4CA010CC"/>
    <w:rsid w:val="4CA04150"/>
    <w:rsid w:val="4CC36B68"/>
    <w:rsid w:val="4CD644AF"/>
    <w:rsid w:val="4CD64AED"/>
    <w:rsid w:val="4CDB62DB"/>
    <w:rsid w:val="4CE07C07"/>
    <w:rsid w:val="4CE95494"/>
    <w:rsid w:val="4CEE4C45"/>
    <w:rsid w:val="4CF60CEC"/>
    <w:rsid w:val="4CFC6141"/>
    <w:rsid w:val="4D027BC3"/>
    <w:rsid w:val="4D035C4F"/>
    <w:rsid w:val="4D0D1FD3"/>
    <w:rsid w:val="4D1B2795"/>
    <w:rsid w:val="4D1C5A4D"/>
    <w:rsid w:val="4D221AE1"/>
    <w:rsid w:val="4D267859"/>
    <w:rsid w:val="4D2A1563"/>
    <w:rsid w:val="4D30132A"/>
    <w:rsid w:val="4D3C56E2"/>
    <w:rsid w:val="4D40640B"/>
    <w:rsid w:val="4D453A21"/>
    <w:rsid w:val="4D516AE6"/>
    <w:rsid w:val="4D537EEC"/>
    <w:rsid w:val="4D586F55"/>
    <w:rsid w:val="4D6262AA"/>
    <w:rsid w:val="4D64034B"/>
    <w:rsid w:val="4D696BA6"/>
    <w:rsid w:val="4D6C1476"/>
    <w:rsid w:val="4D906A04"/>
    <w:rsid w:val="4D925EE4"/>
    <w:rsid w:val="4D9A5B1B"/>
    <w:rsid w:val="4D9F39A3"/>
    <w:rsid w:val="4DA87996"/>
    <w:rsid w:val="4DAE5A6A"/>
    <w:rsid w:val="4DB210B7"/>
    <w:rsid w:val="4DB82445"/>
    <w:rsid w:val="4DC77ECE"/>
    <w:rsid w:val="4DE82D2A"/>
    <w:rsid w:val="4DEA4CF4"/>
    <w:rsid w:val="4DED20EF"/>
    <w:rsid w:val="4DED6593"/>
    <w:rsid w:val="4DEE1D37"/>
    <w:rsid w:val="4DF7116F"/>
    <w:rsid w:val="4DFA0CB0"/>
    <w:rsid w:val="4E140B6A"/>
    <w:rsid w:val="4E232ABB"/>
    <w:rsid w:val="4E261AA5"/>
    <w:rsid w:val="4E2B4A4E"/>
    <w:rsid w:val="4E2B70BB"/>
    <w:rsid w:val="4E2D2E33"/>
    <w:rsid w:val="4E4D70AE"/>
    <w:rsid w:val="4E5A01FB"/>
    <w:rsid w:val="4E5E3241"/>
    <w:rsid w:val="4E6251EB"/>
    <w:rsid w:val="4E6323B1"/>
    <w:rsid w:val="4E656129"/>
    <w:rsid w:val="4E710F72"/>
    <w:rsid w:val="4E805AE9"/>
    <w:rsid w:val="4E8A5A42"/>
    <w:rsid w:val="4E8B30F8"/>
    <w:rsid w:val="4E9A2C43"/>
    <w:rsid w:val="4E9F56B3"/>
    <w:rsid w:val="4EA622B4"/>
    <w:rsid w:val="4EAD187E"/>
    <w:rsid w:val="4EAD25BA"/>
    <w:rsid w:val="4EB726FD"/>
    <w:rsid w:val="4ECC61A8"/>
    <w:rsid w:val="4ECF696D"/>
    <w:rsid w:val="4EDD2163"/>
    <w:rsid w:val="4EE01C53"/>
    <w:rsid w:val="4EF255FB"/>
    <w:rsid w:val="4EFE1898"/>
    <w:rsid w:val="4F027E1C"/>
    <w:rsid w:val="4F036761"/>
    <w:rsid w:val="4F2D2F1E"/>
    <w:rsid w:val="4F31425D"/>
    <w:rsid w:val="4F33018F"/>
    <w:rsid w:val="4F4C553B"/>
    <w:rsid w:val="4F5543EF"/>
    <w:rsid w:val="4F565C06"/>
    <w:rsid w:val="4F672CC2"/>
    <w:rsid w:val="4F733DEC"/>
    <w:rsid w:val="4F936BFA"/>
    <w:rsid w:val="4F9D711A"/>
    <w:rsid w:val="4FA4714D"/>
    <w:rsid w:val="4FAB39C4"/>
    <w:rsid w:val="4FAD6C19"/>
    <w:rsid w:val="4FB8497E"/>
    <w:rsid w:val="4FC40E65"/>
    <w:rsid w:val="4FD04D00"/>
    <w:rsid w:val="4FD73F7A"/>
    <w:rsid w:val="4FE03A2B"/>
    <w:rsid w:val="4FF13D13"/>
    <w:rsid w:val="4FF311E7"/>
    <w:rsid w:val="4FFB5151"/>
    <w:rsid w:val="50023C33"/>
    <w:rsid w:val="5011731F"/>
    <w:rsid w:val="50120DD2"/>
    <w:rsid w:val="5030082A"/>
    <w:rsid w:val="50316901"/>
    <w:rsid w:val="50321E89"/>
    <w:rsid w:val="50395ABF"/>
    <w:rsid w:val="503B2279"/>
    <w:rsid w:val="503E2C96"/>
    <w:rsid w:val="50471561"/>
    <w:rsid w:val="50483F54"/>
    <w:rsid w:val="504F52E3"/>
    <w:rsid w:val="505627CE"/>
    <w:rsid w:val="505A3781"/>
    <w:rsid w:val="505F6BFF"/>
    <w:rsid w:val="50606FD1"/>
    <w:rsid w:val="506568B4"/>
    <w:rsid w:val="507715CE"/>
    <w:rsid w:val="507C52F6"/>
    <w:rsid w:val="50850D04"/>
    <w:rsid w:val="50884351"/>
    <w:rsid w:val="5089011A"/>
    <w:rsid w:val="508E4780"/>
    <w:rsid w:val="50936843"/>
    <w:rsid w:val="509C1BAA"/>
    <w:rsid w:val="50A7097E"/>
    <w:rsid w:val="50AA2519"/>
    <w:rsid w:val="50AB5BC1"/>
    <w:rsid w:val="50BB4726"/>
    <w:rsid w:val="50BE4216"/>
    <w:rsid w:val="50BF2C90"/>
    <w:rsid w:val="50C0099B"/>
    <w:rsid w:val="50C82633"/>
    <w:rsid w:val="50E0418D"/>
    <w:rsid w:val="50E7551B"/>
    <w:rsid w:val="50F01DF1"/>
    <w:rsid w:val="50F96FFC"/>
    <w:rsid w:val="50FB7474"/>
    <w:rsid w:val="50FE3A14"/>
    <w:rsid w:val="51226553"/>
    <w:rsid w:val="512B60C5"/>
    <w:rsid w:val="51350FBC"/>
    <w:rsid w:val="514C5800"/>
    <w:rsid w:val="514F7CF0"/>
    <w:rsid w:val="5151508A"/>
    <w:rsid w:val="51556929"/>
    <w:rsid w:val="515D5971"/>
    <w:rsid w:val="515D6E00"/>
    <w:rsid w:val="517A629A"/>
    <w:rsid w:val="5188553C"/>
    <w:rsid w:val="518B5E9A"/>
    <w:rsid w:val="518F25D1"/>
    <w:rsid w:val="519076C0"/>
    <w:rsid w:val="51913C2F"/>
    <w:rsid w:val="519605BD"/>
    <w:rsid w:val="519905AD"/>
    <w:rsid w:val="519A258E"/>
    <w:rsid w:val="51AA064B"/>
    <w:rsid w:val="51AC4792"/>
    <w:rsid w:val="51C21AE4"/>
    <w:rsid w:val="51CC0F63"/>
    <w:rsid w:val="51D32AE5"/>
    <w:rsid w:val="51DA7F74"/>
    <w:rsid w:val="51DB6702"/>
    <w:rsid w:val="51E25299"/>
    <w:rsid w:val="51E30B9B"/>
    <w:rsid w:val="51EF4674"/>
    <w:rsid w:val="51EF5392"/>
    <w:rsid w:val="51F85396"/>
    <w:rsid w:val="52021A49"/>
    <w:rsid w:val="52043EAB"/>
    <w:rsid w:val="520B348B"/>
    <w:rsid w:val="52181908"/>
    <w:rsid w:val="521C11F4"/>
    <w:rsid w:val="52214423"/>
    <w:rsid w:val="52310870"/>
    <w:rsid w:val="52350978"/>
    <w:rsid w:val="52363F66"/>
    <w:rsid w:val="523D6FD7"/>
    <w:rsid w:val="52426781"/>
    <w:rsid w:val="52524C16"/>
    <w:rsid w:val="526037D7"/>
    <w:rsid w:val="52694EC1"/>
    <w:rsid w:val="527032EE"/>
    <w:rsid w:val="52730B44"/>
    <w:rsid w:val="527B23BF"/>
    <w:rsid w:val="527E3C5D"/>
    <w:rsid w:val="52807674"/>
    <w:rsid w:val="529B60BF"/>
    <w:rsid w:val="529D7E1A"/>
    <w:rsid w:val="52A41C37"/>
    <w:rsid w:val="52AA6800"/>
    <w:rsid w:val="52B37058"/>
    <w:rsid w:val="52B615F8"/>
    <w:rsid w:val="52B87278"/>
    <w:rsid w:val="52CD17D5"/>
    <w:rsid w:val="52CF0689"/>
    <w:rsid w:val="52D15E54"/>
    <w:rsid w:val="52DA325B"/>
    <w:rsid w:val="52DD4E28"/>
    <w:rsid w:val="52F57BFC"/>
    <w:rsid w:val="53073C53"/>
    <w:rsid w:val="530E5846"/>
    <w:rsid w:val="53246BF7"/>
    <w:rsid w:val="53267C27"/>
    <w:rsid w:val="533142B1"/>
    <w:rsid w:val="53334A48"/>
    <w:rsid w:val="533544AF"/>
    <w:rsid w:val="533802B0"/>
    <w:rsid w:val="53417424"/>
    <w:rsid w:val="534208E7"/>
    <w:rsid w:val="53426A39"/>
    <w:rsid w:val="534A7FE3"/>
    <w:rsid w:val="5351011D"/>
    <w:rsid w:val="535B2E50"/>
    <w:rsid w:val="53694AD5"/>
    <w:rsid w:val="536966BB"/>
    <w:rsid w:val="536C61AC"/>
    <w:rsid w:val="53822B23"/>
    <w:rsid w:val="5386726D"/>
    <w:rsid w:val="53975145"/>
    <w:rsid w:val="539F51FA"/>
    <w:rsid w:val="53B316E5"/>
    <w:rsid w:val="53C301CB"/>
    <w:rsid w:val="53C326E1"/>
    <w:rsid w:val="53C75190"/>
    <w:rsid w:val="53CD088F"/>
    <w:rsid w:val="53D105F8"/>
    <w:rsid w:val="53ED2196"/>
    <w:rsid w:val="53EE4E13"/>
    <w:rsid w:val="54020A30"/>
    <w:rsid w:val="54036D22"/>
    <w:rsid w:val="540632E5"/>
    <w:rsid w:val="540E6F11"/>
    <w:rsid w:val="541D1254"/>
    <w:rsid w:val="54281C5E"/>
    <w:rsid w:val="54370568"/>
    <w:rsid w:val="5437178F"/>
    <w:rsid w:val="54387E3C"/>
    <w:rsid w:val="544607AB"/>
    <w:rsid w:val="544F7397"/>
    <w:rsid w:val="54574766"/>
    <w:rsid w:val="54576514"/>
    <w:rsid w:val="54576787"/>
    <w:rsid w:val="546B0211"/>
    <w:rsid w:val="54701995"/>
    <w:rsid w:val="54751090"/>
    <w:rsid w:val="547A1D9A"/>
    <w:rsid w:val="548055D7"/>
    <w:rsid w:val="5488516F"/>
    <w:rsid w:val="548905E8"/>
    <w:rsid w:val="548C43B1"/>
    <w:rsid w:val="549F7EBB"/>
    <w:rsid w:val="54A102D2"/>
    <w:rsid w:val="54A35E6D"/>
    <w:rsid w:val="54A83213"/>
    <w:rsid w:val="54BB2F47"/>
    <w:rsid w:val="54C479C8"/>
    <w:rsid w:val="54D65CC5"/>
    <w:rsid w:val="54D758A7"/>
    <w:rsid w:val="54F67C9B"/>
    <w:rsid w:val="54F77CF7"/>
    <w:rsid w:val="5507618C"/>
    <w:rsid w:val="550B28E9"/>
    <w:rsid w:val="550E0FCE"/>
    <w:rsid w:val="5511700B"/>
    <w:rsid w:val="551E7032"/>
    <w:rsid w:val="55256578"/>
    <w:rsid w:val="55267C3C"/>
    <w:rsid w:val="55436A98"/>
    <w:rsid w:val="5558401F"/>
    <w:rsid w:val="55603AEE"/>
    <w:rsid w:val="55612602"/>
    <w:rsid w:val="55676C2B"/>
    <w:rsid w:val="55716AAF"/>
    <w:rsid w:val="557C6D01"/>
    <w:rsid w:val="55862E2C"/>
    <w:rsid w:val="55872F83"/>
    <w:rsid w:val="558A4E52"/>
    <w:rsid w:val="55AA2FBB"/>
    <w:rsid w:val="55B47996"/>
    <w:rsid w:val="55B97B9F"/>
    <w:rsid w:val="55C33A53"/>
    <w:rsid w:val="55C4407D"/>
    <w:rsid w:val="55E362E0"/>
    <w:rsid w:val="55E50E73"/>
    <w:rsid w:val="55F45FE4"/>
    <w:rsid w:val="55F83B76"/>
    <w:rsid w:val="560B46EC"/>
    <w:rsid w:val="561641AD"/>
    <w:rsid w:val="56203F03"/>
    <w:rsid w:val="5621327D"/>
    <w:rsid w:val="56262642"/>
    <w:rsid w:val="562754D6"/>
    <w:rsid w:val="56290384"/>
    <w:rsid w:val="562B1B9C"/>
    <w:rsid w:val="563C7020"/>
    <w:rsid w:val="56446F6C"/>
    <w:rsid w:val="565722F0"/>
    <w:rsid w:val="566100FF"/>
    <w:rsid w:val="566E0036"/>
    <w:rsid w:val="56707209"/>
    <w:rsid w:val="56821842"/>
    <w:rsid w:val="568458EB"/>
    <w:rsid w:val="56867584"/>
    <w:rsid w:val="56BE195B"/>
    <w:rsid w:val="56D71B8E"/>
    <w:rsid w:val="56E338D3"/>
    <w:rsid w:val="56E847BD"/>
    <w:rsid w:val="56F269C8"/>
    <w:rsid w:val="56F501AE"/>
    <w:rsid w:val="56F96357"/>
    <w:rsid w:val="570145B3"/>
    <w:rsid w:val="571411D5"/>
    <w:rsid w:val="571D6954"/>
    <w:rsid w:val="573E7E5F"/>
    <w:rsid w:val="574E6F60"/>
    <w:rsid w:val="57526C31"/>
    <w:rsid w:val="575B456D"/>
    <w:rsid w:val="575E405D"/>
    <w:rsid w:val="5776774C"/>
    <w:rsid w:val="577D122C"/>
    <w:rsid w:val="57855F33"/>
    <w:rsid w:val="57877110"/>
    <w:rsid w:val="57966BB0"/>
    <w:rsid w:val="57A07A24"/>
    <w:rsid w:val="57A2386B"/>
    <w:rsid w:val="57A661DB"/>
    <w:rsid w:val="57B162ED"/>
    <w:rsid w:val="57B26037"/>
    <w:rsid w:val="57BE13BD"/>
    <w:rsid w:val="57C45C42"/>
    <w:rsid w:val="57D91936"/>
    <w:rsid w:val="57E34235"/>
    <w:rsid w:val="57E37D4B"/>
    <w:rsid w:val="57E46D51"/>
    <w:rsid w:val="57FE2966"/>
    <w:rsid w:val="581B57F7"/>
    <w:rsid w:val="582302E4"/>
    <w:rsid w:val="58256DE0"/>
    <w:rsid w:val="582726A1"/>
    <w:rsid w:val="58307579"/>
    <w:rsid w:val="58320A09"/>
    <w:rsid w:val="584B0606"/>
    <w:rsid w:val="5853793A"/>
    <w:rsid w:val="585841CA"/>
    <w:rsid w:val="58586CFE"/>
    <w:rsid w:val="585D2E9A"/>
    <w:rsid w:val="585F037B"/>
    <w:rsid w:val="5862602D"/>
    <w:rsid w:val="586351DD"/>
    <w:rsid w:val="586706F3"/>
    <w:rsid w:val="587157C9"/>
    <w:rsid w:val="58835F26"/>
    <w:rsid w:val="5898077D"/>
    <w:rsid w:val="589F492D"/>
    <w:rsid w:val="58B2767D"/>
    <w:rsid w:val="58B461B1"/>
    <w:rsid w:val="58C058EB"/>
    <w:rsid w:val="58D04AE7"/>
    <w:rsid w:val="58D12233"/>
    <w:rsid w:val="58D16E92"/>
    <w:rsid w:val="58D345D7"/>
    <w:rsid w:val="58D84F64"/>
    <w:rsid w:val="58E6430A"/>
    <w:rsid w:val="58F26B77"/>
    <w:rsid w:val="58F72073"/>
    <w:rsid w:val="590B0C7F"/>
    <w:rsid w:val="590F1AB3"/>
    <w:rsid w:val="5918718C"/>
    <w:rsid w:val="59213E93"/>
    <w:rsid w:val="59226893"/>
    <w:rsid w:val="59226BD9"/>
    <w:rsid w:val="592D018B"/>
    <w:rsid w:val="593B2F93"/>
    <w:rsid w:val="593C07BA"/>
    <w:rsid w:val="594159E5"/>
    <w:rsid w:val="59437429"/>
    <w:rsid w:val="594F6FD8"/>
    <w:rsid w:val="595B0854"/>
    <w:rsid w:val="596D67DA"/>
    <w:rsid w:val="597566F3"/>
    <w:rsid w:val="597A5D6D"/>
    <w:rsid w:val="597B0FDB"/>
    <w:rsid w:val="598C3104"/>
    <w:rsid w:val="598D4786"/>
    <w:rsid w:val="59926240"/>
    <w:rsid w:val="599645B0"/>
    <w:rsid w:val="59964CBE"/>
    <w:rsid w:val="59985D77"/>
    <w:rsid w:val="59A246D5"/>
    <w:rsid w:val="59AB6FDC"/>
    <w:rsid w:val="59B166C6"/>
    <w:rsid w:val="59B81CC8"/>
    <w:rsid w:val="59C01EDA"/>
    <w:rsid w:val="59CC45F8"/>
    <w:rsid w:val="59D16D68"/>
    <w:rsid w:val="59D6437F"/>
    <w:rsid w:val="59D925EE"/>
    <w:rsid w:val="59E47E76"/>
    <w:rsid w:val="59FA26DD"/>
    <w:rsid w:val="5A0031AA"/>
    <w:rsid w:val="5A074538"/>
    <w:rsid w:val="5A2275C4"/>
    <w:rsid w:val="5A280956"/>
    <w:rsid w:val="5A2A6479"/>
    <w:rsid w:val="5A2D181C"/>
    <w:rsid w:val="5A364E1D"/>
    <w:rsid w:val="5A371B66"/>
    <w:rsid w:val="5A4679E7"/>
    <w:rsid w:val="5A470DD9"/>
    <w:rsid w:val="5A556541"/>
    <w:rsid w:val="5A61633E"/>
    <w:rsid w:val="5A6951F3"/>
    <w:rsid w:val="5A6D5547"/>
    <w:rsid w:val="5A736C19"/>
    <w:rsid w:val="5A775A57"/>
    <w:rsid w:val="5A873393"/>
    <w:rsid w:val="5A875679"/>
    <w:rsid w:val="5A941256"/>
    <w:rsid w:val="5A9B2BCF"/>
    <w:rsid w:val="5A9D4E9D"/>
    <w:rsid w:val="5AA24261"/>
    <w:rsid w:val="5AB04A47"/>
    <w:rsid w:val="5AB159AF"/>
    <w:rsid w:val="5ABB08B6"/>
    <w:rsid w:val="5AD53641"/>
    <w:rsid w:val="5AD76600"/>
    <w:rsid w:val="5AD84127"/>
    <w:rsid w:val="5AD9328E"/>
    <w:rsid w:val="5B0C3BB8"/>
    <w:rsid w:val="5B123195"/>
    <w:rsid w:val="5B150ED7"/>
    <w:rsid w:val="5B182ACC"/>
    <w:rsid w:val="5B192192"/>
    <w:rsid w:val="5B1C4013"/>
    <w:rsid w:val="5B211379"/>
    <w:rsid w:val="5B2201E3"/>
    <w:rsid w:val="5B4377F2"/>
    <w:rsid w:val="5B440D7E"/>
    <w:rsid w:val="5B4A1C5C"/>
    <w:rsid w:val="5B52063A"/>
    <w:rsid w:val="5B5F03A4"/>
    <w:rsid w:val="5B745BFD"/>
    <w:rsid w:val="5B794653"/>
    <w:rsid w:val="5B7C4AB2"/>
    <w:rsid w:val="5B804E84"/>
    <w:rsid w:val="5B806115"/>
    <w:rsid w:val="5B834092"/>
    <w:rsid w:val="5B8379A6"/>
    <w:rsid w:val="5B8B3E48"/>
    <w:rsid w:val="5B8D17EC"/>
    <w:rsid w:val="5B902F86"/>
    <w:rsid w:val="5BAA161F"/>
    <w:rsid w:val="5BAC183B"/>
    <w:rsid w:val="5BB74CA1"/>
    <w:rsid w:val="5BBE3F27"/>
    <w:rsid w:val="5BCF72D8"/>
    <w:rsid w:val="5BDE2116"/>
    <w:rsid w:val="5BE61256"/>
    <w:rsid w:val="5BEE20A9"/>
    <w:rsid w:val="5BF15B2C"/>
    <w:rsid w:val="5BF3035E"/>
    <w:rsid w:val="5C3564CD"/>
    <w:rsid w:val="5C3A01DA"/>
    <w:rsid w:val="5C434F03"/>
    <w:rsid w:val="5C4B1054"/>
    <w:rsid w:val="5C5233CE"/>
    <w:rsid w:val="5C530BDE"/>
    <w:rsid w:val="5C57687E"/>
    <w:rsid w:val="5C621EFA"/>
    <w:rsid w:val="5C6502AB"/>
    <w:rsid w:val="5C675762"/>
    <w:rsid w:val="5C6C7EB1"/>
    <w:rsid w:val="5C6E77B8"/>
    <w:rsid w:val="5C6E7A84"/>
    <w:rsid w:val="5C8C6BB0"/>
    <w:rsid w:val="5CAA564F"/>
    <w:rsid w:val="5CBF10FA"/>
    <w:rsid w:val="5CD3149F"/>
    <w:rsid w:val="5CD728E8"/>
    <w:rsid w:val="5CDE364B"/>
    <w:rsid w:val="5CDF744C"/>
    <w:rsid w:val="5CE84AF5"/>
    <w:rsid w:val="5CED210B"/>
    <w:rsid w:val="5D2D5717"/>
    <w:rsid w:val="5D327B1E"/>
    <w:rsid w:val="5D494E68"/>
    <w:rsid w:val="5D4D00C1"/>
    <w:rsid w:val="5D543F38"/>
    <w:rsid w:val="5D550EDB"/>
    <w:rsid w:val="5D573A29"/>
    <w:rsid w:val="5D610403"/>
    <w:rsid w:val="5D631EBA"/>
    <w:rsid w:val="5D635F29"/>
    <w:rsid w:val="5D755C5D"/>
    <w:rsid w:val="5D764EFB"/>
    <w:rsid w:val="5D845EA0"/>
    <w:rsid w:val="5D8857FC"/>
    <w:rsid w:val="5D9E3405"/>
    <w:rsid w:val="5DA16055"/>
    <w:rsid w:val="5DB17A30"/>
    <w:rsid w:val="5DB42C29"/>
    <w:rsid w:val="5DBA5AF6"/>
    <w:rsid w:val="5DD5494D"/>
    <w:rsid w:val="5DDE4743"/>
    <w:rsid w:val="5DE60909"/>
    <w:rsid w:val="5DEB255C"/>
    <w:rsid w:val="5DEE4B42"/>
    <w:rsid w:val="5DF43025"/>
    <w:rsid w:val="5DFB3A90"/>
    <w:rsid w:val="5DFC012C"/>
    <w:rsid w:val="5E0162C5"/>
    <w:rsid w:val="5E0E2FE8"/>
    <w:rsid w:val="5E1936B6"/>
    <w:rsid w:val="5E1A3B02"/>
    <w:rsid w:val="5E2442D6"/>
    <w:rsid w:val="5E3478C6"/>
    <w:rsid w:val="5E39312E"/>
    <w:rsid w:val="5E406B3D"/>
    <w:rsid w:val="5E502E08"/>
    <w:rsid w:val="5E59557E"/>
    <w:rsid w:val="5E651CBF"/>
    <w:rsid w:val="5E6957C1"/>
    <w:rsid w:val="5E7128C8"/>
    <w:rsid w:val="5E771D6D"/>
    <w:rsid w:val="5E7B54F5"/>
    <w:rsid w:val="5E8343A9"/>
    <w:rsid w:val="5E850121"/>
    <w:rsid w:val="5E8A398A"/>
    <w:rsid w:val="5EB629D1"/>
    <w:rsid w:val="5EB865EF"/>
    <w:rsid w:val="5EBF1885"/>
    <w:rsid w:val="5ED00A9B"/>
    <w:rsid w:val="5EDD7F5D"/>
    <w:rsid w:val="5EFB03E4"/>
    <w:rsid w:val="5EFE5508"/>
    <w:rsid w:val="5EFF6126"/>
    <w:rsid w:val="5F031561"/>
    <w:rsid w:val="5F090B0B"/>
    <w:rsid w:val="5F0C01D3"/>
    <w:rsid w:val="5F0F0333"/>
    <w:rsid w:val="5F166FCB"/>
    <w:rsid w:val="5F230066"/>
    <w:rsid w:val="5F291100"/>
    <w:rsid w:val="5F2E577D"/>
    <w:rsid w:val="5F311B9B"/>
    <w:rsid w:val="5F3E3FB2"/>
    <w:rsid w:val="5F3F4774"/>
    <w:rsid w:val="5F436A23"/>
    <w:rsid w:val="5F4F0C10"/>
    <w:rsid w:val="5F5244A8"/>
    <w:rsid w:val="5F550703"/>
    <w:rsid w:val="5F553F98"/>
    <w:rsid w:val="5F555D46"/>
    <w:rsid w:val="5F676030"/>
    <w:rsid w:val="5F683CCB"/>
    <w:rsid w:val="5F7162BD"/>
    <w:rsid w:val="5F9822A0"/>
    <w:rsid w:val="5F9847F4"/>
    <w:rsid w:val="5FA12D39"/>
    <w:rsid w:val="5FA56CCD"/>
    <w:rsid w:val="5FAB3BB8"/>
    <w:rsid w:val="5FB54A36"/>
    <w:rsid w:val="5FB711E9"/>
    <w:rsid w:val="5FBB029F"/>
    <w:rsid w:val="5FBC4017"/>
    <w:rsid w:val="5FBF332F"/>
    <w:rsid w:val="5FCA2DCA"/>
    <w:rsid w:val="5FCC12DE"/>
    <w:rsid w:val="5FD96B12"/>
    <w:rsid w:val="5FDF3132"/>
    <w:rsid w:val="5FE07D05"/>
    <w:rsid w:val="5FE12AA9"/>
    <w:rsid w:val="5FE17A1F"/>
    <w:rsid w:val="5FE5356E"/>
    <w:rsid w:val="5FE64BF0"/>
    <w:rsid w:val="5FEA5E0B"/>
    <w:rsid w:val="5FF47F8E"/>
    <w:rsid w:val="5FFD59E0"/>
    <w:rsid w:val="60017C7C"/>
    <w:rsid w:val="6008100A"/>
    <w:rsid w:val="6009648B"/>
    <w:rsid w:val="603040BD"/>
    <w:rsid w:val="60382F21"/>
    <w:rsid w:val="60445BDC"/>
    <w:rsid w:val="60452133"/>
    <w:rsid w:val="604F6082"/>
    <w:rsid w:val="6051475F"/>
    <w:rsid w:val="60544EEE"/>
    <w:rsid w:val="605E51FA"/>
    <w:rsid w:val="60675CC2"/>
    <w:rsid w:val="60693E04"/>
    <w:rsid w:val="607351EB"/>
    <w:rsid w:val="607B2DE8"/>
    <w:rsid w:val="607C7302"/>
    <w:rsid w:val="607E0C14"/>
    <w:rsid w:val="60824919"/>
    <w:rsid w:val="608E1AF9"/>
    <w:rsid w:val="60927AF1"/>
    <w:rsid w:val="6094394A"/>
    <w:rsid w:val="609558DE"/>
    <w:rsid w:val="60985E90"/>
    <w:rsid w:val="60AE4055"/>
    <w:rsid w:val="60B120FE"/>
    <w:rsid w:val="60B13450"/>
    <w:rsid w:val="60CE7B5E"/>
    <w:rsid w:val="60D07D7A"/>
    <w:rsid w:val="60D373D4"/>
    <w:rsid w:val="60E05B3D"/>
    <w:rsid w:val="60EE2DFB"/>
    <w:rsid w:val="60F319F9"/>
    <w:rsid w:val="60FB46CB"/>
    <w:rsid w:val="610004E2"/>
    <w:rsid w:val="61152979"/>
    <w:rsid w:val="611C2FBF"/>
    <w:rsid w:val="612B3202"/>
    <w:rsid w:val="612E506E"/>
    <w:rsid w:val="612E684E"/>
    <w:rsid w:val="613D1187"/>
    <w:rsid w:val="614B5652"/>
    <w:rsid w:val="615C33BC"/>
    <w:rsid w:val="616B2A13"/>
    <w:rsid w:val="616E1341"/>
    <w:rsid w:val="617E77D6"/>
    <w:rsid w:val="618033CC"/>
    <w:rsid w:val="61834DEC"/>
    <w:rsid w:val="618741B1"/>
    <w:rsid w:val="619018FF"/>
    <w:rsid w:val="61A82AA5"/>
    <w:rsid w:val="61A87864"/>
    <w:rsid w:val="61A92379"/>
    <w:rsid w:val="61AB7FEE"/>
    <w:rsid w:val="61B62EE8"/>
    <w:rsid w:val="61B84A0F"/>
    <w:rsid w:val="61C84EF5"/>
    <w:rsid w:val="61DB6D9C"/>
    <w:rsid w:val="61E97DD5"/>
    <w:rsid w:val="62065379"/>
    <w:rsid w:val="62076324"/>
    <w:rsid w:val="621719D8"/>
    <w:rsid w:val="62175534"/>
    <w:rsid w:val="62385728"/>
    <w:rsid w:val="624125B1"/>
    <w:rsid w:val="62483940"/>
    <w:rsid w:val="62487DE4"/>
    <w:rsid w:val="625422E5"/>
    <w:rsid w:val="62637BCA"/>
    <w:rsid w:val="626C278F"/>
    <w:rsid w:val="626C4722"/>
    <w:rsid w:val="62797F9D"/>
    <w:rsid w:val="628249B5"/>
    <w:rsid w:val="62826ED6"/>
    <w:rsid w:val="628F183C"/>
    <w:rsid w:val="629074F8"/>
    <w:rsid w:val="629D3C8C"/>
    <w:rsid w:val="62AA6587"/>
    <w:rsid w:val="62B94CB6"/>
    <w:rsid w:val="62CF02D0"/>
    <w:rsid w:val="62D452B1"/>
    <w:rsid w:val="62D60F4C"/>
    <w:rsid w:val="62DB4E28"/>
    <w:rsid w:val="62FC74AA"/>
    <w:rsid w:val="62FE02AD"/>
    <w:rsid w:val="63074325"/>
    <w:rsid w:val="630A21A8"/>
    <w:rsid w:val="631321A0"/>
    <w:rsid w:val="63147EC0"/>
    <w:rsid w:val="631D4DCC"/>
    <w:rsid w:val="63316ACA"/>
    <w:rsid w:val="63395D7A"/>
    <w:rsid w:val="633A597E"/>
    <w:rsid w:val="63400278"/>
    <w:rsid w:val="634108D7"/>
    <w:rsid w:val="63427FDB"/>
    <w:rsid w:val="63442359"/>
    <w:rsid w:val="6344525A"/>
    <w:rsid w:val="634A45AF"/>
    <w:rsid w:val="63522B1A"/>
    <w:rsid w:val="635307EE"/>
    <w:rsid w:val="635C3B47"/>
    <w:rsid w:val="636724EC"/>
    <w:rsid w:val="636831B2"/>
    <w:rsid w:val="636F1176"/>
    <w:rsid w:val="63750765"/>
    <w:rsid w:val="637936C5"/>
    <w:rsid w:val="637B1AF3"/>
    <w:rsid w:val="637C62D5"/>
    <w:rsid w:val="63881F07"/>
    <w:rsid w:val="63A1155A"/>
    <w:rsid w:val="63A76ED3"/>
    <w:rsid w:val="63A904A0"/>
    <w:rsid w:val="63C82F8A"/>
    <w:rsid w:val="63CC4B24"/>
    <w:rsid w:val="63CD05A1"/>
    <w:rsid w:val="63CF256B"/>
    <w:rsid w:val="63CF65B7"/>
    <w:rsid w:val="63CF6769"/>
    <w:rsid w:val="63D016A9"/>
    <w:rsid w:val="63DD455C"/>
    <w:rsid w:val="63ED7C79"/>
    <w:rsid w:val="63F20007"/>
    <w:rsid w:val="63FB6E60"/>
    <w:rsid w:val="63FF2B83"/>
    <w:rsid w:val="64063AB3"/>
    <w:rsid w:val="640F67DE"/>
    <w:rsid w:val="6418657C"/>
    <w:rsid w:val="642108EC"/>
    <w:rsid w:val="64225E4D"/>
    <w:rsid w:val="642624EA"/>
    <w:rsid w:val="64265F03"/>
    <w:rsid w:val="64322AF9"/>
    <w:rsid w:val="643E0A8F"/>
    <w:rsid w:val="64487C27"/>
    <w:rsid w:val="644C30F6"/>
    <w:rsid w:val="64671D6D"/>
    <w:rsid w:val="646B7DB9"/>
    <w:rsid w:val="646D6E0F"/>
    <w:rsid w:val="64740A1C"/>
    <w:rsid w:val="647E189B"/>
    <w:rsid w:val="64A97426"/>
    <w:rsid w:val="64C574CA"/>
    <w:rsid w:val="64D5312D"/>
    <w:rsid w:val="64D751C4"/>
    <w:rsid w:val="64DA303C"/>
    <w:rsid w:val="64E23F37"/>
    <w:rsid w:val="64E33DF4"/>
    <w:rsid w:val="64E5191A"/>
    <w:rsid w:val="64F42870"/>
    <w:rsid w:val="6504105A"/>
    <w:rsid w:val="650E4988"/>
    <w:rsid w:val="651144BD"/>
    <w:rsid w:val="651E14E2"/>
    <w:rsid w:val="65371F4B"/>
    <w:rsid w:val="65424FBE"/>
    <w:rsid w:val="65477A7B"/>
    <w:rsid w:val="654A3E10"/>
    <w:rsid w:val="654D7A05"/>
    <w:rsid w:val="654E3963"/>
    <w:rsid w:val="654F51D8"/>
    <w:rsid w:val="65605444"/>
    <w:rsid w:val="656B04EE"/>
    <w:rsid w:val="656E7B61"/>
    <w:rsid w:val="65717652"/>
    <w:rsid w:val="658E0BF0"/>
    <w:rsid w:val="658E1FB1"/>
    <w:rsid w:val="65956E9C"/>
    <w:rsid w:val="65A74E21"/>
    <w:rsid w:val="65B80C29"/>
    <w:rsid w:val="65BA51CD"/>
    <w:rsid w:val="65C71020"/>
    <w:rsid w:val="65CC501A"/>
    <w:rsid w:val="65D57BE0"/>
    <w:rsid w:val="65DE7A94"/>
    <w:rsid w:val="660758C0"/>
    <w:rsid w:val="66421E46"/>
    <w:rsid w:val="664D69E3"/>
    <w:rsid w:val="66614A36"/>
    <w:rsid w:val="666A0329"/>
    <w:rsid w:val="666B4936"/>
    <w:rsid w:val="666D71C0"/>
    <w:rsid w:val="66724367"/>
    <w:rsid w:val="66747CBB"/>
    <w:rsid w:val="667E3DD4"/>
    <w:rsid w:val="66862C89"/>
    <w:rsid w:val="66AE33EF"/>
    <w:rsid w:val="66B1690D"/>
    <w:rsid w:val="66B74FFF"/>
    <w:rsid w:val="66C043ED"/>
    <w:rsid w:val="66C15A44"/>
    <w:rsid w:val="66C21A54"/>
    <w:rsid w:val="66DA03E1"/>
    <w:rsid w:val="66E35C90"/>
    <w:rsid w:val="66E6516B"/>
    <w:rsid w:val="66F422E8"/>
    <w:rsid w:val="67114C48"/>
    <w:rsid w:val="67136C12"/>
    <w:rsid w:val="67206C39"/>
    <w:rsid w:val="67242BCD"/>
    <w:rsid w:val="672773CF"/>
    <w:rsid w:val="672A5CF0"/>
    <w:rsid w:val="673646AF"/>
    <w:rsid w:val="67376237"/>
    <w:rsid w:val="674D54A5"/>
    <w:rsid w:val="675E59B4"/>
    <w:rsid w:val="67740DF8"/>
    <w:rsid w:val="677A27ED"/>
    <w:rsid w:val="67887A74"/>
    <w:rsid w:val="679E4197"/>
    <w:rsid w:val="67A817C9"/>
    <w:rsid w:val="67AB7CE7"/>
    <w:rsid w:val="67B44334"/>
    <w:rsid w:val="67CB3049"/>
    <w:rsid w:val="67CC6682"/>
    <w:rsid w:val="67D36F95"/>
    <w:rsid w:val="67D67F5F"/>
    <w:rsid w:val="67ED05CE"/>
    <w:rsid w:val="67F367E5"/>
    <w:rsid w:val="67F43487"/>
    <w:rsid w:val="67FA1B80"/>
    <w:rsid w:val="68090BAE"/>
    <w:rsid w:val="68120C78"/>
    <w:rsid w:val="681349F0"/>
    <w:rsid w:val="6813679E"/>
    <w:rsid w:val="68181558"/>
    <w:rsid w:val="68197AFC"/>
    <w:rsid w:val="683625EF"/>
    <w:rsid w:val="683A5948"/>
    <w:rsid w:val="683F49D8"/>
    <w:rsid w:val="6848469A"/>
    <w:rsid w:val="685644E6"/>
    <w:rsid w:val="68577507"/>
    <w:rsid w:val="686B5300"/>
    <w:rsid w:val="687B63DC"/>
    <w:rsid w:val="687C4343"/>
    <w:rsid w:val="687E630D"/>
    <w:rsid w:val="688D6B5E"/>
    <w:rsid w:val="68A007F0"/>
    <w:rsid w:val="68AC1AD7"/>
    <w:rsid w:val="68B7537B"/>
    <w:rsid w:val="68BC4989"/>
    <w:rsid w:val="68C25ABF"/>
    <w:rsid w:val="68C63810"/>
    <w:rsid w:val="68C73CCF"/>
    <w:rsid w:val="68CD1043"/>
    <w:rsid w:val="68D93544"/>
    <w:rsid w:val="68DF6AB4"/>
    <w:rsid w:val="68EF6092"/>
    <w:rsid w:val="68FB03B5"/>
    <w:rsid w:val="69037179"/>
    <w:rsid w:val="69057C61"/>
    <w:rsid w:val="690F0837"/>
    <w:rsid w:val="690F5FD0"/>
    <w:rsid w:val="69150B42"/>
    <w:rsid w:val="69270753"/>
    <w:rsid w:val="692C6117"/>
    <w:rsid w:val="69785947"/>
    <w:rsid w:val="697C5EC5"/>
    <w:rsid w:val="698C732C"/>
    <w:rsid w:val="6990707E"/>
    <w:rsid w:val="69937B96"/>
    <w:rsid w:val="69AA7CAD"/>
    <w:rsid w:val="69B03D70"/>
    <w:rsid w:val="69B2011F"/>
    <w:rsid w:val="69B3702F"/>
    <w:rsid w:val="69B813AB"/>
    <w:rsid w:val="69BD4C13"/>
    <w:rsid w:val="69C75A92"/>
    <w:rsid w:val="69CA10DE"/>
    <w:rsid w:val="69D33BE7"/>
    <w:rsid w:val="69D36511"/>
    <w:rsid w:val="69D365AC"/>
    <w:rsid w:val="69D44ED8"/>
    <w:rsid w:val="69DD435B"/>
    <w:rsid w:val="69DF2DDC"/>
    <w:rsid w:val="69E44896"/>
    <w:rsid w:val="69E71F77"/>
    <w:rsid w:val="69EE7B7A"/>
    <w:rsid w:val="69F844C5"/>
    <w:rsid w:val="69FA4299"/>
    <w:rsid w:val="69FC1BE0"/>
    <w:rsid w:val="69FD5966"/>
    <w:rsid w:val="6A050368"/>
    <w:rsid w:val="6A3A6264"/>
    <w:rsid w:val="6A3A7A5D"/>
    <w:rsid w:val="6A6257BB"/>
    <w:rsid w:val="6A643248"/>
    <w:rsid w:val="6A671844"/>
    <w:rsid w:val="6A6C729F"/>
    <w:rsid w:val="6A736AB6"/>
    <w:rsid w:val="6A7774B8"/>
    <w:rsid w:val="6A876FCF"/>
    <w:rsid w:val="6A8F418A"/>
    <w:rsid w:val="6AA64DF9"/>
    <w:rsid w:val="6AA96B08"/>
    <w:rsid w:val="6AAF0A00"/>
    <w:rsid w:val="6AB668C1"/>
    <w:rsid w:val="6ACC010A"/>
    <w:rsid w:val="6ADE3093"/>
    <w:rsid w:val="6AEC3AF9"/>
    <w:rsid w:val="6AED7884"/>
    <w:rsid w:val="6AF44665"/>
    <w:rsid w:val="6B013226"/>
    <w:rsid w:val="6B0D1F50"/>
    <w:rsid w:val="6B160A7F"/>
    <w:rsid w:val="6B1A7A75"/>
    <w:rsid w:val="6B202FB1"/>
    <w:rsid w:val="6B204C67"/>
    <w:rsid w:val="6B315878"/>
    <w:rsid w:val="6B392389"/>
    <w:rsid w:val="6B491260"/>
    <w:rsid w:val="6B4B624F"/>
    <w:rsid w:val="6B4D0219"/>
    <w:rsid w:val="6B567508"/>
    <w:rsid w:val="6B7749F3"/>
    <w:rsid w:val="6B992E3C"/>
    <w:rsid w:val="6B9D7432"/>
    <w:rsid w:val="6BA02A3F"/>
    <w:rsid w:val="6BA71125"/>
    <w:rsid w:val="6BB43DF4"/>
    <w:rsid w:val="6BBF1117"/>
    <w:rsid w:val="6BC06D39"/>
    <w:rsid w:val="6BC229B5"/>
    <w:rsid w:val="6BC4672D"/>
    <w:rsid w:val="6BD149A6"/>
    <w:rsid w:val="6BDE2736"/>
    <w:rsid w:val="6BE272A9"/>
    <w:rsid w:val="6BF568E6"/>
    <w:rsid w:val="6BF863D7"/>
    <w:rsid w:val="6C003F66"/>
    <w:rsid w:val="6C004719"/>
    <w:rsid w:val="6C094BFE"/>
    <w:rsid w:val="6C1163E1"/>
    <w:rsid w:val="6C1912A1"/>
    <w:rsid w:val="6C1A2359"/>
    <w:rsid w:val="6C215E63"/>
    <w:rsid w:val="6C28170E"/>
    <w:rsid w:val="6C292B2A"/>
    <w:rsid w:val="6C305B70"/>
    <w:rsid w:val="6C4038DA"/>
    <w:rsid w:val="6C42355D"/>
    <w:rsid w:val="6C433107"/>
    <w:rsid w:val="6C4E5FF7"/>
    <w:rsid w:val="6C5532C3"/>
    <w:rsid w:val="6C553829"/>
    <w:rsid w:val="6C580C23"/>
    <w:rsid w:val="6C586DDD"/>
    <w:rsid w:val="6C647C8D"/>
    <w:rsid w:val="6C752839"/>
    <w:rsid w:val="6C787517"/>
    <w:rsid w:val="6C7D02E9"/>
    <w:rsid w:val="6C847C6A"/>
    <w:rsid w:val="6C871EB0"/>
    <w:rsid w:val="6C89702F"/>
    <w:rsid w:val="6C9205D9"/>
    <w:rsid w:val="6C9231E6"/>
    <w:rsid w:val="6C9F0951"/>
    <w:rsid w:val="6CA82ED2"/>
    <w:rsid w:val="6CA84A13"/>
    <w:rsid w:val="6CA9147F"/>
    <w:rsid w:val="6CB26586"/>
    <w:rsid w:val="6CBA7B30"/>
    <w:rsid w:val="6CCE6489"/>
    <w:rsid w:val="6CD01622"/>
    <w:rsid w:val="6CE95D1F"/>
    <w:rsid w:val="6CF44DF0"/>
    <w:rsid w:val="6CF56BCB"/>
    <w:rsid w:val="6CF64FDC"/>
    <w:rsid w:val="6CF90658"/>
    <w:rsid w:val="6D080630"/>
    <w:rsid w:val="6D0B213A"/>
    <w:rsid w:val="6D0E1D02"/>
    <w:rsid w:val="6D172751"/>
    <w:rsid w:val="6D1B0067"/>
    <w:rsid w:val="6D2D6D39"/>
    <w:rsid w:val="6D324736"/>
    <w:rsid w:val="6D3276C6"/>
    <w:rsid w:val="6D34343E"/>
    <w:rsid w:val="6D394EF9"/>
    <w:rsid w:val="6D552943"/>
    <w:rsid w:val="6D555513"/>
    <w:rsid w:val="6D5D26E9"/>
    <w:rsid w:val="6D605FE2"/>
    <w:rsid w:val="6D7C4ED1"/>
    <w:rsid w:val="6D7E46BA"/>
    <w:rsid w:val="6D8659CB"/>
    <w:rsid w:val="6D8743BA"/>
    <w:rsid w:val="6D9F21C9"/>
    <w:rsid w:val="6DAA54AF"/>
    <w:rsid w:val="6DAF6F69"/>
    <w:rsid w:val="6DBB1B19"/>
    <w:rsid w:val="6DBC2EFB"/>
    <w:rsid w:val="6DC24EEE"/>
    <w:rsid w:val="6DC62E7F"/>
    <w:rsid w:val="6DD80975"/>
    <w:rsid w:val="6DF11649"/>
    <w:rsid w:val="6E023CB5"/>
    <w:rsid w:val="6E0E6FD7"/>
    <w:rsid w:val="6E1959F9"/>
    <w:rsid w:val="6E1B015A"/>
    <w:rsid w:val="6E1D22B5"/>
    <w:rsid w:val="6E220759"/>
    <w:rsid w:val="6E2B5B85"/>
    <w:rsid w:val="6E2D0FE4"/>
    <w:rsid w:val="6E361438"/>
    <w:rsid w:val="6E3B4C53"/>
    <w:rsid w:val="6E3D4575"/>
    <w:rsid w:val="6E5D0773"/>
    <w:rsid w:val="6E7C64A8"/>
    <w:rsid w:val="6E7D0E15"/>
    <w:rsid w:val="6E934195"/>
    <w:rsid w:val="6E963C85"/>
    <w:rsid w:val="6EA63EC8"/>
    <w:rsid w:val="6EB02F99"/>
    <w:rsid w:val="6EB34837"/>
    <w:rsid w:val="6EBE56B6"/>
    <w:rsid w:val="6EC5553D"/>
    <w:rsid w:val="6EC6456A"/>
    <w:rsid w:val="6EC66318"/>
    <w:rsid w:val="6EDC3D8E"/>
    <w:rsid w:val="6EE47208"/>
    <w:rsid w:val="6EF2535F"/>
    <w:rsid w:val="6EFC71DB"/>
    <w:rsid w:val="6F11762D"/>
    <w:rsid w:val="6F14023A"/>
    <w:rsid w:val="6F162A8F"/>
    <w:rsid w:val="6F2A1E3D"/>
    <w:rsid w:val="6F4436E1"/>
    <w:rsid w:val="6F4B4A6F"/>
    <w:rsid w:val="6F5C6C7D"/>
    <w:rsid w:val="6F6B5112"/>
    <w:rsid w:val="6F6D46CD"/>
    <w:rsid w:val="6F6E2E43"/>
    <w:rsid w:val="6F731A7D"/>
    <w:rsid w:val="6F7C2576"/>
    <w:rsid w:val="6F8A37EA"/>
    <w:rsid w:val="6F9C52CB"/>
    <w:rsid w:val="6FA0300D"/>
    <w:rsid w:val="6FA67EF8"/>
    <w:rsid w:val="6FAF7E3D"/>
    <w:rsid w:val="6FBF06CD"/>
    <w:rsid w:val="6FC372D2"/>
    <w:rsid w:val="6FD525B7"/>
    <w:rsid w:val="6FE23C51"/>
    <w:rsid w:val="6FE56C72"/>
    <w:rsid w:val="6FE741DB"/>
    <w:rsid w:val="6FF375E1"/>
    <w:rsid w:val="6FF46EB5"/>
    <w:rsid w:val="70027666"/>
    <w:rsid w:val="70090BB2"/>
    <w:rsid w:val="70164261"/>
    <w:rsid w:val="702072DD"/>
    <w:rsid w:val="702E0A08"/>
    <w:rsid w:val="70343755"/>
    <w:rsid w:val="704C7406"/>
    <w:rsid w:val="704D10EC"/>
    <w:rsid w:val="706634D3"/>
    <w:rsid w:val="706B0B36"/>
    <w:rsid w:val="706F3265"/>
    <w:rsid w:val="707054E2"/>
    <w:rsid w:val="707B7AE2"/>
    <w:rsid w:val="707F473C"/>
    <w:rsid w:val="708446DD"/>
    <w:rsid w:val="70877D29"/>
    <w:rsid w:val="709373BF"/>
    <w:rsid w:val="709541F4"/>
    <w:rsid w:val="70974410"/>
    <w:rsid w:val="709A7A5C"/>
    <w:rsid w:val="70BC0DC7"/>
    <w:rsid w:val="70C1498A"/>
    <w:rsid w:val="70C83590"/>
    <w:rsid w:val="70DF36C1"/>
    <w:rsid w:val="70E072E0"/>
    <w:rsid w:val="70E42F51"/>
    <w:rsid w:val="70F058CE"/>
    <w:rsid w:val="70F12895"/>
    <w:rsid w:val="70F16322"/>
    <w:rsid w:val="70F25AEA"/>
    <w:rsid w:val="71053EA6"/>
    <w:rsid w:val="710870BC"/>
    <w:rsid w:val="7109371A"/>
    <w:rsid w:val="711012BE"/>
    <w:rsid w:val="71125845"/>
    <w:rsid w:val="71144F17"/>
    <w:rsid w:val="711D56FC"/>
    <w:rsid w:val="71211F2C"/>
    <w:rsid w:val="712305F9"/>
    <w:rsid w:val="71291AA1"/>
    <w:rsid w:val="712D3B71"/>
    <w:rsid w:val="713C6D66"/>
    <w:rsid w:val="71402523"/>
    <w:rsid w:val="71405D6D"/>
    <w:rsid w:val="71482D64"/>
    <w:rsid w:val="714F274C"/>
    <w:rsid w:val="7150636D"/>
    <w:rsid w:val="715D7AA9"/>
    <w:rsid w:val="715E6D15"/>
    <w:rsid w:val="716A38D3"/>
    <w:rsid w:val="716D33C3"/>
    <w:rsid w:val="716F713B"/>
    <w:rsid w:val="71744751"/>
    <w:rsid w:val="717B6E60"/>
    <w:rsid w:val="717D0CDF"/>
    <w:rsid w:val="71821FC3"/>
    <w:rsid w:val="7185070D"/>
    <w:rsid w:val="719721EE"/>
    <w:rsid w:val="719B178A"/>
    <w:rsid w:val="719C28C1"/>
    <w:rsid w:val="719C6D06"/>
    <w:rsid w:val="71A52B5D"/>
    <w:rsid w:val="71A66FCE"/>
    <w:rsid w:val="71AE5FBD"/>
    <w:rsid w:val="71AF5789"/>
    <w:rsid w:val="71BF0060"/>
    <w:rsid w:val="71C26572"/>
    <w:rsid w:val="71C440FF"/>
    <w:rsid w:val="71C8684B"/>
    <w:rsid w:val="71DE10EF"/>
    <w:rsid w:val="71E202B2"/>
    <w:rsid w:val="71F47640"/>
    <w:rsid w:val="72062ED0"/>
    <w:rsid w:val="720F447A"/>
    <w:rsid w:val="72174F9E"/>
    <w:rsid w:val="721F290F"/>
    <w:rsid w:val="72245722"/>
    <w:rsid w:val="7229553C"/>
    <w:rsid w:val="722E04E1"/>
    <w:rsid w:val="723810AB"/>
    <w:rsid w:val="724834E8"/>
    <w:rsid w:val="725A02D0"/>
    <w:rsid w:val="72695204"/>
    <w:rsid w:val="7272322F"/>
    <w:rsid w:val="727540D7"/>
    <w:rsid w:val="729059C3"/>
    <w:rsid w:val="729460FE"/>
    <w:rsid w:val="729465D9"/>
    <w:rsid w:val="72A15E33"/>
    <w:rsid w:val="72A52404"/>
    <w:rsid w:val="72A82F27"/>
    <w:rsid w:val="72AB14FA"/>
    <w:rsid w:val="72BC5CC7"/>
    <w:rsid w:val="72C251BB"/>
    <w:rsid w:val="72C40DC1"/>
    <w:rsid w:val="72C70851"/>
    <w:rsid w:val="72CC236B"/>
    <w:rsid w:val="72D66D46"/>
    <w:rsid w:val="72E74AAF"/>
    <w:rsid w:val="72E76673"/>
    <w:rsid w:val="72EC64AA"/>
    <w:rsid w:val="72F37E7F"/>
    <w:rsid w:val="72F433CC"/>
    <w:rsid w:val="73093053"/>
    <w:rsid w:val="732D5122"/>
    <w:rsid w:val="73337CF4"/>
    <w:rsid w:val="733C304D"/>
    <w:rsid w:val="73440153"/>
    <w:rsid w:val="7345480D"/>
    <w:rsid w:val="73463ECB"/>
    <w:rsid w:val="73497518"/>
    <w:rsid w:val="734C3C55"/>
    <w:rsid w:val="735008A6"/>
    <w:rsid w:val="735E1215"/>
    <w:rsid w:val="7364071A"/>
    <w:rsid w:val="736E63F7"/>
    <w:rsid w:val="73797DFD"/>
    <w:rsid w:val="737A1E98"/>
    <w:rsid w:val="739E1612"/>
    <w:rsid w:val="73AE2A20"/>
    <w:rsid w:val="73B01345"/>
    <w:rsid w:val="73BB6668"/>
    <w:rsid w:val="73BE7AF7"/>
    <w:rsid w:val="73BF35A1"/>
    <w:rsid w:val="73C3537F"/>
    <w:rsid w:val="73DB177B"/>
    <w:rsid w:val="73E45B0F"/>
    <w:rsid w:val="73F43927"/>
    <w:rsid w:val="74021198"/>
    <w:rsid w:val="74024296"/>
    <w:rsid w:val="74035919"/>
    <w:rsid w:val="74066F72"/>
    <w:rsid w:val="7407448D"/>
    <w:rsid w:val="740A6CA7"/>
    <w:rsid w:val="741574D8"/>
    <w:rsid w:val="74177616"/>
    <w:rsid w:val="7419513C"/>
    <w:rsid w:val="74235FBB"/>
    <w:rsid w:val="742D7906"/>
    <w:rsid w:val="74343EE8"/>
    <w:rsid w:val="74364BDE"/>
    <w:rsid w:val="7447614D"/>
    <w:rsid w:val="74534AF2"/>
    <w:rsid w:val="74640AAD"/>
    <w:rsid w:val="74704C81"/>
    <w:rsid w:val="74794877"/>
    <w:rsid w:val="748C1845"/>
    <w:rsid w:val="7491561A"/>
    <w:rsid w:val="74942A15"/>
    <w:rsid w:val="749F0ADC"/>
    <w:rsid w:val="749F7D37"/>
    <w:rsid w:val="74A53588"/>
    <w:rsid w:val="74A6485C"/>
    <w:rsid w:val="74B25FB0"/>
    <w:rsid w:val="74B34BB3"/>
    <w:rsid w:val="74C23A26"/>
    <w:rsid w:val="74D8581A"/>
    <w:rsid w:val="74D94311"/>
    <w:rsid w:val="74DD260E"/>
    <w:rsid w:val="74E3172A"/>
    <w:rsid w:val="74E7348C"/>
    <w:rsid w:val="74E9443F"/>
    <w:rsid w:val="74EB7C82"/>
    <w:rsid w:val="74F3598D"/>
    <w:rsid w:val="74FC6453"/>
    <w:rsid w:val="74FD4A5E"/>
    <w:rsid w:val="75096F5F"/>
    <w:rsid w:val="75125AE1"/>
    <w:rsid w:val="75133B4E"/>
    <w:rsid w:val="75137DDD"/>
    <w:rsid w:val="751729FE"/>
    <w:rsid w:val="751A73BE"/>
    <w:rsid w:val="751C3136"/>
    <w:rsid w:val="751C3961"/>
    <w:rsid w:val="75202197"/>
    <w:rsid w:val="75266DA7"/>
    <w:rsid w:val="752957D5"/>
    <w:rsid w:val="75331A99"/>
    <w:rsid w:val="7536737B"/>
    <w:rsid w:val="75464249"/>
    <w:rsid w:val="75524DAA"/>
    <w:rsid w:val="755A6CE3"/>
    <w:rsid w:val="7561531C"/>
    <w:rsid w:val="75617FF5"/>
    <w:rsid w:val="75666A45"/>
    <w:rsid w:val="75703482"/>
    <w:rsid w:val="757802D8"/>
    <w:rsid w:val="759E1D9D"/>
    <w:rsid w:val="75A75F86"/>
    <w:rsid w:val="75B23A9A"/>
    <w:rsid w:val="75B95D7E"/>
    <w:rsid w:val="75C03402"/>
    <w:rsid w:val="75C17839"/>
    <w:rsid w:val="75D51537"/>
    <w:rsid w:val="75D72D6F"/>
    <w:rsid w:val="75E654F2"/>
    <w:rsid w:val="75F82DA4"/>
    <w:rsid w:val="75F95225"/>
    <w:rsid w:val="76143E0D"/>
    <w:rsid w:val="761958C7"/>
    <w:rsid w:val="76235C8A"/>
    <w:rsid w:val="762701F7"/>
    <w:rsid w:val="762A7AD4"/>
    <w:rsid w:val="762D1373"/>
    <w:rsid w:val="76357EFA"/>
    <w:rsid w:val="764343F3"/>
    <w:rsid w:val="76544F52"/>
    <w:rsid w:val="76564A53"/>
    <w:rsid w:val="765F6C70"/>
    <w:rsid w:val="766905FD"/>
    <w:rsid w:val="766A1420"/>
    <w:rsid w:val="767F27F5"/>
    <w:rsid w:val="76944F4E"/>
    <w:rsid w:val="76976CC7"/>
    <w:rsid w:val="76A10290"/>
    <w:rsid w:val="76A42B08"/>
    <w:rsid w:val="76AF1D88"/>
    <w:rsid w:val="76C43A85"/>
    <w:rsid w:val="76D17F50"/>
    <w:rsid w:val="76D76A89"/>
    <w:rsid w:val="76FD0D45"/>
    <w:rsid w:val="770F2826"/>
    <w:rsid w:val="771E481A"/>
    <w:rsid w:val="77275DC2"/>
    <w:rsid w:val="772C405D"/>
    <w:rsid w:val="772F73B8"/>
    <w:rsid w:val="773F1D2A"/>
    <w:rsid w:val="774532FF"/>
    <w:rsid w:val="776433C5"/>
    <w:rsid w:val="77672E36"/>
    <w:rsid w:val="77676119"/>
    <w:rsid w:val="77737839"/>
    <w:rsid w:val="777F5D60"/>
    <w:rsid w:val="77A47413"/>
    <w:rsid w:val="77A858C4"/>
    <w:rsid w:val="77BE6726"/>
    <w:rsid w:val="77C70E30"/>
    <w:rsid w:val="77C86921"/>
    <w:rsid w:val="77D47CF8"/>
    <w:rsid w:val="77D5581E"/>
    <w:rsid w:val="77D9530E"/>
    <w:rsid w:val="77D959A0"/>
    <w:rsid w:val="77DB2B25"/>
    <w:rsid w:val="77FC0FFD"/>
    <w:rsid w:val="78031E71"/>
    <w:rsid w:val="78137A40"/>
    <w:rsid w:val="781400F4"/>
    <w:rsid w:val="78154B8F"/>
    <w:rsid w:val="781E71C5"/>
    <w:rsid w:val="782303E7"/>
    <w:rsid w:val="78276B74"/>
    <w:rsid w:val="78292E30"/>
    <w:rsid w:val="783778BF"/>
    <w:rsid w:val="78397B5B"/>
    <w:rsid w:val="783D78FB"/>
    <w:rsid w:val="784B5AE0"/>
    <w:rsid w:val="78585C45"/>
    <w:rsid w:val="785C5731"/>
    <w:rsid w:val="787953E5"/>
    <w:rsid w:val="789A74C1"/>
    <w:rsid w:val="78A247A0"/>
    <w:rsid w:val="78A66028"/>
    <w:rsid w:val="78CC11E9"/>
    <w:rsid w:val="78E26444"/>
    <w:rsid w:val="78EC15FF"/>
    <w:rsid w:val="78ED54D1"/>
    <w:rsid w:val="79104282"/>
    <w:rsid w:val="791A5BDE"/>
    <w:rsid w:val="791B11A0"/>
    <w:rsid w:val="79295E21"/>
    <w:rsid w:val="793123EA"/>
    <w:rsid w:val="79332409"/>
    <w:rsid w:val="79694470"/>
    <w:rsid w:val="796A0696"/>
    <w:rsid w:val="796E2750"/>
    <w:rsid w:val="79701CA2"/>
    <w:rsid w:val="79711576"/>
    <w:rsid w:val="79776C40"/>
    <w:rsid w:val="797A78A4"/>
    <w:rsid w:val="79866E11"/>
    <w:rsid w:val="79883EBD"/>
    <w:rsid w:val="79A12573"/>
    <w:rsid w:val="79A47CAF"/>
    <w:rsid w:val="79AB2CDA"/>
    <w:rsid w:val="79C031FB"/>
    <w:rsid w:val="79C618C2"/>
    <w:rsid w:val="79C93160"/>
    <w:rsid w:val="79CE239F"/>
    <w:rsid w:val="79D12015"/>
    <w:rsid w:val="79D7762B"/>
    <w:rsid w:val="79D82924"/>
    <w:rsid w:val="79D9505F"/>
    <w:rsid w:val="79E2684F"/>
    <w:rsid w:val="79E32474"/>
    <w:rsid w:val="79E47F9A"/>
    <w:rsid w:val="79F3642F"/>
    <w:rsid w:val="79F91B5B"/>
    <w:rsid w:val="7A057501"/>
    <w:rsid w:val="7A141218"/>
    <w:rsid w:val="7A173ECC"/>
    <w:rsid w:val="7A1A1CD6"/>
    <w:rsid w:val="7A2606BC"/>
    <w:rsid w:val="7A264ABA"/>
    <w:rsid w:val="7A2713AD"/>
    <w:rsid w:val="7A3F208F"/>
    <w:rsid w:val="7A545120"/>
    <w:rsid w:val="7A5F1610"/>
    <w:rsid w:val="7A61045E"/>
    <w:rsid w:val="7A850F98"/>
    <w:rsid w:val="7A8A6671"/>
    <w:rsid w:val="7A8B3363"/>
    <w:rsid w:val="7A8C2B0C"/>
    <w:rsid w:val="7A9E45ED"/>
    <w:rsid w:val="7AA023CB"/>
    <w:rsid w:val="7AA37E55"/>
    <w:rsid w:val="7ABE0A10"/>
    <w:rsid w:val="7AC04563"/>
    <w:rsid w:val="7AC45D00"/>
    <w:rsid w:val="7AC66C02"/>
    <w:rsid w:val="7AE539F4"/>
    <w:rsid w:val="7AE75F94"/>
    <w:rsid w:val="7AEA5A84"/>
    <w:rsid w:val="7AF1296F"/>
    <w:rsid w:val="7AF406B1"/>
    <w:rsid w:val="7AF73891"/>
    <w:rsid w:val="7AFB303D"/>
    <w:rsid w:val="7B01614D"/>
    <w:rsid w:val="7B023AFC"/>
    <w:rsid w:val="7B0271A1"/>
    <w:rsid w:val="7B091B73"/>
    <w:rsid w:val="7B1A0118"/>
    <w:rsid w:val="7B25086A"/>
    <w:rsid w:val="7B296008"/>
    <w:rsid w:val="7B38059E"/>
    <w:rsid w:val="7B3F680F"/>
    <w:rsid w:val="7B5C672A"/>
    <w:rsid w:val="7B5C7310"/>
    <w:rsid w:val="7B6C46EB"/>
    <w:rsid w:val="7B786BEC"/>
    <w:rsid w:val="7B8B4B71"/>
    <w:rsid w:val="7B8F3F36"/>
    <w:rsid w:val="7B9E4A14"/>
    <w:rsid w:val="7BA46E03"/>
    <w:rsid w:val="7BB451E2"/>
    <w:rsid w:val="7BC63DFB"/>
    <w:rsid w:val="7BC91F69"/>
    <w:rsid w:val="7BCC0536"/>
    <w:rsid w:val="7BD302C6"/>
    <w:rsid w:val="7BD83B2F"/>
    <w:rsid w:val="7BDF0887"/>
    <w:rsid w:val="7C042B76"/>
    <w:rsid w:val="7C0B7557"/>
    <w:rsid w:val="7C0C2A4B"/>
    <w:rsid w:val="7C181D53"/>
    <w:rsid w:val="7C210543"/>
    <w:rsid w:val="7C2275E7"/>
    <w:rsid w:val="7C2A25DC"/>
    <w:rsid w:val="7C2B36C0"/>
    <w:rsid w:val="7C2B4443"/>
    <w:rsid w:val="7C2E56D8"/>
    <w:rsid w:val="7C306DEA"/>
    <w:rsid w:val="7C31549F"/>
    <w:rsid w:val="7C3B1BCF"/>
    <w:rsid w:val="7C473A35"/>
    <w:rsid w:val="7C5331B5"/>
    <w:rsid w:val="7C5343F5"/>
    <w:rsid w:val="7C5A2D1D"/>
    <w:rsid w:val="7C6333F8"/>
    <w:rsid w:val="7C6C0E1F"/>
    <w:rsid w:val="7C884FF1"/>
    <w:rsid w:val="7C9E465B"/>
    <w:rsid w:val="7CA314F1"/>
    <w:rsid w:val="7CBA515F"/>
    <w:rsid w:val="7CBB3234"/>
    <w:rsid w:val="7CCC3693"/>
    <w:rsid w:val="7CCF4F32"/>
    <w:rsid w:val="7CE94EC8"/>
    <w:rsid w:val="7CF16C56"/>
    <w:rsid w:val="7D036989"/>
    <w:rsid w:val="7D052701"/>
    <w:rsid w:val="7D127605"/>
    <w:rsid w:val="7D1666BD"/>
    <w:rsid w:val="7D1D4A9A"/>
    <w:rsid w:val="7D284642"/>
    <w:rsid w:val="7D2C0286"/>
    <w:rsid w:val="7D2E64AC"/>
    <w:rsid w:val="7D32101D"/>
    <w:rsid w:val="7D350C73"/>
    <w:rsid w:val="7D382AD7"/>
    <w:rsid w:val="7D3F20B7"/>
    <w:rsid w:val="7D404811"/>
    <w:rsid w:val="7D485373"/>
    <w:rsid w:val="7D674F2F"/>
    <w:rsid w:val="7D715FE9"/>
    <w:rsid w:val="7D8B2905"/>
    <w:rsid w:val="7D8D727A"/>
    <w:rsid w:val="7D8E59FD"/>
    <w:rsid w:val="7D95033F"/>
    <w:rsid w:val="7D9872BD"/>
    <w:rsid w:val="7D9B4E14"/>
    <w:rsid w:val="7DAD2C57"/>
    <w:rsid w:val="7DAF7E0F"/>
    <w:rsid w:val="7DB06B11"/>
    <w:rsid w:val="7DB163E5"/>
    <w:rsid w:val="7DBB5594"/>
    <w:rsid w:val="7DC974BE"/>
    <w:rsid w:val="7DD21CB3"/>
    <w:rsid w:val="7DED1A9A"/>
    <w:rsid w:val="7DED1AE6"/>
    <w:rsid w:val="7DF54524"/>
    <w:rsid w:val="7DFB070E"/>
    <w:rsid w:val="7E041C20"/>
    <w:rsid w:val="7E0B01EB"/>
    <w:rsid w:val="7E1E59C8"/>
    <w:rsid w:val="7E386A8E"/>
    <w:rsid w:val="7E396CD6"/>
    <w:rsid w:val="7E401635"/>
    <w:rsid w:val="7E464D80"/>
    <w:rsid w:val="7E483A93"/>
    <w:rsid w:val="7E4A2F4A"/>
    <w:rsid w:val="7E5C5229"/>
    <w:rsid w:val="7E655B4E"/>
    <w:rsid w:val="7E70004F"/>
    <w:rsid w:val="7E723DC7"/>
    <w:rsid w:val="7E74083C"/>
    <w:rsid w:val="7E755665"/>
    <w:rsid w:val="7E795155"/>
    <w:rsid w:val="7E7A2C7B"/>
    <w:rsid w:val="7E7B37EB"/>
    <w:rsid w:val="7E81400A"/>
    <w:rsid w:val="7E9957F7"/>
    <w:rsid w:val="7E9E4BBC"/>
    <w:rsid w:val="7EAC70FD"/>
    <w:rsid w:val="7EAD1A02"/>
    <w:rsid w:val="7EB90923"/>
    <w:rsid w:val="7EC87457"/>
    <w:rsid w:val="7ECB5CEA"/>
    <w:rsid w:val="7ED00AED"/>
    <w:rsid w:val="7ED06D3F"/>
    <w:rsid w:val="7ED93E46"/>
    <w:rsid w:val="7EDE775D"/>
    <w:rsid w:val="7EF944E8"/>
    <w:rsid w:val="7F041547"/>
    <w:rsid w:val="7F130F92"/>
    <w:rsid w:val="7F17671C"/>
    <w:rsid w:val="7F2D36B0"/>
    <w:rsid w:val="7F47006C"/>
    <w:rsid w:val="7F48180D"/>
    <w:rsid w:val="7F4E56EF"/>
    <w:rsid w:val="7F600EC2"/>
    <w:rsid w:val="7F6A7A8E"/>
    <w:rsid w:val="7F7324FC"/>
    <w:rsid w:val="7F7E052C"/>
    <w:rsid w:val="7F800765"/>
    <w:rsid w:val="7F8A5140"/>
    <w:rsid w:val="7F930498"/>
    <w:rsid w:val="7F9B6C37"/>
    <w:rsid w:val="7F9F54BB"/>
    <w:rsid w:val="7FAC3374"/>
    <w:rsid w:val="7FB664B8"/>
    <w:rsid w:val="7FD14B1D"/>
    <w:rsid w:val="7FD16DE7"/>
    <w:rsid w:val="7FD840FD"/>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0"/>
    <w:qFormat/>
    <w:uiPriority w:val="0"/>
    <w:pPr>
      <w:widowControl w:val="0"/>
      <w:jc w:val="both"/>
    </w:pPr>
    <w:rPr>
      <w:rFonts w:ascii="Times New Roman" w:hAnsi="Times New Roman" w:eastAsia="黑体" w:cs="Times New Roman"/>
      <w:kern w:val="2"/>
      <w:sz w:val="28"/>
      <w:szCs w:val="24"/>
      <w:lang w:val="en-US" w:eastAsia="zh-CN" w:bidi="ar-SA"/>
    </w:rPr>
  </w:style>
  <w:style w:type="paragraph" w:styleId="4">
    <w:name w:val="heading 1"/>
    <w:basedOn w:val="1"/>
    <w:next w:val="1"/>
    <w:link w:val="59"/>
    <w:qFormat/>
    <w:uiPriority w:val="0"/>
    <w:pPr>
      <w:keepNext/>
      <w:keepLines/>
      <w:spacing w:line="360" w:lineRule="auto"/>
      <w:outlineLvl w:val="0"/>
    </w:pPr>
    <w:rPr>
      <w:rFonts w:eastAsia="宋体"/>
      <w:b/>
      <w:bCs/>
      <w:kern w:val="44"/>
      <w:sz w:val="32"/>
      <w:szCs w:val="44"/>
    </w:rPr>
  </w:style>
  <w:style w:type="paragraph" w:styleId="5">
    <w:name w:val="heading 2"/>
    <w:basedOn w:val="1"/>
    <w:next w:val="1"/>
    <w:link w:val="160"/>
    <w:qFormat/>
    <w:uiPriority w:val="0"/>
    <w:pPr>
      <w:keepNext/>
      <w:keepLines/>
      <w:spacing w:before="260" w:after="260" w:line="416" w:lineRule="auto"/>
      <w:outlineLvl w:val="1"/>
    </w:pPr>
    <w:rPr>
      <w:rFonts w:ascii="Arial" w:hAnsi="Arial"/>
      <w:b/>
      <w:bCs/>
      <w:sz w:val="32"/>
      <w:szCs w:val="32"/>
    </w:rPr>
  </w:style>
  <w:style w:type="paragraph" w:styleId="6">
    <w:name w:val="heading 3"/>
    <w:basedOn w:val="1"/>
    <w:next w:val="1"/>
    <w:link w:val="60"/>
    <w:qFormat/>
    <w:uiPriority w:val="0"/>
    <w:pPr>
      <w:keepNext/>
      <w:keepLines/>
      <w:spacing w:line="360" w:lineRule="auto"/>
      <w:outlineLvl w:val="2"/>
    </w:pPr>
    <w:rPr>
      <w:rFonts w:eastAsia="宋体"/>
      <w:b/>
      <w:bCs/>
      <w:sz w:val="24"/>
      <w:szCs w:val="32"/>
    </w:rPr>
  </w:style>
  <w:style w:type="paragraph" w:styleId="7">
    <w:name w:val="heading 4"/>
    <w:basedOn w:val="1"/>
    <w:next w:val="1"/>
    <w:link w:val="61"/>
    <w:qFormat/>
    <w:uiPriority w:val="0"/>
    <w:pPr>
      <w:keepNext/>
      <w:keepLines/>
      <w:spacing w:before="280" w:after="290" w:line="376" w:lineRule="auto"/>
      <w:outlineLvl w:val="3"/>
    </w:pPr>
    <w:rPr>
      <w:rFonts w:ascii="Cambria" w:hAnsi="Cambria" w:eastAsia="宋体"/>
      <w:b/>
      <w:bCs/>
      <w:szCs w:val="28"/>
    </w:rPr>
  </w:style>
  <w:style w:type="paragraph" w:styleId="8">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b/>
      <w:bCs/>
      <w:kern w:val="0"/>
      <w:sz w:val="24"/>
    </w:rPr>
  </w:style>
  <w:style w:type="paragraph" w:styleId="9">
    <w:name w:val="heading 7"/>
    <w:basedOn w:val="1"/>
    <w:next w:val="1"/>
    <w:qFormat/>
    <w:uiPriority w:val="0"/>
    <w:pPr>
      <w:keepNext/>
      <w:keepLines/>
      <w:widowControl/>
      <w:tabs>
        <w:tab w:val="left" w:pos="2520"/>
      </w:tabs>
      <w:spacing w:before="240" w:after="64" w:line="319" w:lineRule="auto"/>
      <w:ind w:left="1296" w:hanging="1296"/>
      <w:jc w:val="left"/>
      <w:outlineLvl w:val="6"/>
    </w:pPr>
    <w:rPr>
      <w:rFonts w:eastAsia="宋体"/>
      <w:b/>
      <w:bCs/>
      <w:kern w:val="0"/>
      <w:sz w:val="24"/>
    </w:rPr>
  </w:style>
  <w:style w:type="paragraph" w:styleId="10">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kern w:val="0"/>
      <w:sz w:val="24"/>
    </w:rPr>
  </w:style>
  <w:style w:type="paragraph" w:styleId="11">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kern w:val="0"/>
      <w:sz w:val="21"/>
      <w:szCs w:val="21"/>
    </w:rPr>
  </w:style>
  <w:style w:type="character" w:default="1" w:styleId="41">
    <w:name w:val="Default Paragraph Font"/>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
    <w:name w:val="table of figures"/>
    <w:basedOn w:val="1"/>
    <w:next w:val="1"/>
    <w:qFormat/>
    <w:uiPriority w:val="0"/>
    <w:pPr>
      <w:ind w:left="200" w:leftChars="200" w:hanging="200" w:hangingChars="200"/>
    </w:pPr>
  </w:style>
  <w:style w:type="paragraph" w:styleId="12">
    <w:name w:val="Normal Indent"/>
    <w:basedOn w:val="1"/>
    <w:qFormat/>
    <w:uiPriority w:val="0"/>
    <w:pPr>
      <w:spacing w:line="360" w:lineRule="auto"/>
      <w:ind w:firstLine="560" w:firstLineChars="200"/>
    </w:pPr>
    <w:rPr>
      <w:rFonts w:eastAsia="宋体"/>
    </w:rPr>
  </w:style>
  <w:style w:type="paragraph" w:styleId="13">
    <w:name w:val="Document Map"/>
    <w:basedOn w:val="1"/>
    <w:semiHidden/>
    <w:qFormat/>
    <w:uiPriority w:val="0"/>
    <w:pPr>
      <w:shd w:val="clear" w:color="auto" w:fill="000080"/>
    </w:pPr>
  </w:style>
  <w:style w:type="paragraph" w:styleId="14">
    <w:name w:val="toa heading"/>
    <w:basedOn w:val="1"/>
    <w:next w:val="1"/>
    <w:unhideWhenUsed/>
    <w:qFormat/>
    <w:uiPriority w:val="99"/>
    <w:pPr>
      <w:spacing w:before="120"/>
    </w:pPr>
    <w:rPr>
      <w:rFonts w:ascii="Cambria" w:hAnsi="Cambria"/>
      <w:sz w:val="24"/>
    </w:rPr>
  </w:style>
  <w:style w:type="paragraph" w:styleId="15">
    <w:name w:val="annotation text"/>
    <w:basedOn w:val="1"/>
    <w:link w:val="158"/>
    <w:qFormat/>
    <w:uiPriority w:val="99"/>
    <w:pPr>
      <w:jc w:val="left"/>
    </w:pPr>
    <w:rPr>
      <w:kern w:val="0"/>
      <w:sz w:val="24"/>
    </w:rPr>
  </w:style>
  <w:style w:type="paragraph" w:styleId="16">
    <w:name w:val="Body Text 3"/>
    <w:basedOn w:val="1"/>
    <w:qFormat/>
    <w:uiPriority w:val="0"/>
    <w:pPr>
      <w:spacing w:line="360" w:lineRule="auto"/>
    </w:pPr>
    <w:rPr>
      <w:rFonts w:ascii="宋体" w:eastAsia="宋体"/>
      <w:sz w:val="24"/>
      <w:szCs w:val="20"/>
    </w:rPr>
  </w:style>
  <w:style w:type="paragraph" w:styleId="17">
    <w:name w:val="Body Text"/>
    <w:basedOn w:val="1"/>
    <w:next w:val="18"/>
    <w:qFormat/>
    <w:uiPriority w:val="0"/>
    <w:rPr>
      <w:rFonts w:ascii="仿宋_GB2312" w:eastAsia="仿宋_GB2312"/>
      <w:sz w:val="24"/>
    </w:rPr>
  </w:style>
  <w:style w:type="paragraph" w:customStyle="1" w:styleId="18">
    <w:name w:val="style4"/>
    <w:basedOn w:val="1"/>
    <w:next w:val="19"/>
    <w:qFormat/>
    <w:uiPriority w:val="0"/>
    <w:pPr>
      <w:widowControl/>
      <w:spacing w:before="100" w:beforeAutospacing="1" w:after="100" w:afterAutospacing="1"/>
      <w:jc w:val="left"/>
    </w:pPr>
    <w:rPr>
      <w:rFonts w:ascii="宋体" w:hAnsi="宋体" w:cs="宋体"/>
      <w:kern w:val="0"/>
      <w:sz w:val="18"/>
      <w:szCs w:val="18"/>
    </w:rPr>
  </w:style>
  <w:style w:type="paragraph" w:customStyle="1" w:styleId="19">
    <w:name w:val="2"/>
    <w:basedOn w:val="1"/>
    <w:next w:val="1"/>
    <w:qFormat/>
    <w:uiPriority w:val="0"/>
    <w:pPr>
      <w:adjustRightInd w:val="0"/>
      <w:spacing w:line="420" w:lineRule="atLeast"/>
      <w:ind w:left="1134" w:hanging="227"/>
      <w:textAlignment w:val="baseline"/>
    </w:pPr>
    <w:rPr>
      <w:kern w:val="0"/>
      <w:szCs w:val="20"/>
    </w:rPr>
  </w:style>
  <w:style w:type="paragraph" w:styleId="20">
    <w:name w:val="Body Text Indent"/>
    <w:basedOn w:val="1"/>
    <w:next w:val="21"/>
    <w:qFormat/>
    <w:uiPriority w:val="0"/>
    <w:pPr>
      <w:spacing w:line="600" w:lineRule="exact"/>
      <w:ind w:firstLine="630"/>
    </w:pPr>
    <w:rPr>
      <w:rFonts w:ascii="宋体" w:hAnsi="宋体" w:eastAsia="宋体"/>
      <w:sz w:val="30"/>
    </w:rPr>
  </w:style>
  <w:style w:type="paragraph" w:styleId="21">
    <w:name w:val="envelope return"/>
    <w:basedOn w:val="1"/>
    <w:qFormat/>
    <w:uiPriority w:val="0"/>
    <w:pPr>
      <w:snapToGrid w:val="0"/>
    </w:pPr>
    <w:rPr>
      <w:rFonts w:ascii="Arial" w:hAnsi="Arial"/>
    </w:rPr>
  </w:style>
  <w:style w:type="paragraph" w:styleId="22">
    <w:name w:val="toc 3"/>
    <w:basedOn w:val="1"/>
    <w:next w:val="1"/>
    <w:qFormat/>
    <w:uiPriority w:val="0"/>
    <w:pPr>
      <w:ind w:left="840" w:leftChars="400"/>
    </w:pPr>
  </w:style>
  <w:style w:type="paragraph" w:styleId="23">
    <w:name w:val="Plain Text"/>
    <w:basedOn w:val="1"/>
    <w:link w:val="62"/>
    <w:qFormat/>
    <w:uiPriority w:val="0"/>
    <w:rPr>
      <w:rFonts w:ascii="宋体" w:hAnsi="Courier New" w:eastAsia="宋体"/>
      <w:sz w:val="21"/>
      <w:szCs w:val="21"/>
    </w:rPr>
  </w:style>
  <w:style w:type="paragraph" w:styleId="24">
    <w:name w:val="Date"/>
    <w:basedOn w:val="1"/>
    <w:next w:val="1"/>
    <w:link w:val="63"/>
    <w:qFormat/>
    <w:uiPriority w:val="0"/>
    <w:pPr>
      <w:ind w:left="2500" w:leftChars="2500"/>
    </w:pPr>
    <w:rPr>
      <w:rFonts w:ascii="宋体" w:hAnsi="宋体" w:eastAsia="宋体"/>
      <w:b/>
      <w:sz w:val="24"/>
      <w:szCs w:val="20"/>
    </w:rPr>
  </w:style>
  <w:style w:type="paragraph" w:styleId="25">
    <w:name w:val="Body Text Indent 2"/>
    <w:basedOn w:val="1"/>
    <w:qFormat/>
    <w:uiPriority w:val="0"/>
    <w:pPr>
      <w:widowControl/>
      <w:spacing w:line="520" w:lineRule="exact"/>
      <w:ind w:firstLine="420"/>
      <w:jc w:val="left"/>
    </w:pPr>
    <w:rPr>
      <w:rFonts w:ascii="仿宋_GB2312" w:eastAsia="仿宋_GB2312"/>
      <w:kern w:val="0"/>
      <w:sz w:val="21"/>
      <w:szCs w:val="20"/>
    </w:rPr>
  </w:style>
  <w:style w:type="paragraph" w:styleId="26">
    <w:name w:val="Balloon Text"/>
    <w:basedOn w:val="1"/>
    <w:link w:val="64"/>
    <w:semiHidden/>
    <w:qFormat/>
    <w:uiPriority w:val="0"/>
    <w:rPr>
      <w:sz w:val="18"/>
      <w:szCs w:val="18"/>
    </w:rPr>
  </w:style>
  <w:style w:type="paragraph" w:styleId="27">
    <w:name w:val="footer"/>
    <w:basedOn w:val="1"/>
    <w:link w:val="65"/>
    <w:qFormat/>
    <w:uiPriority w:val="0"/>
    <w:pPr>
      <w:tabs>
        <w:tab w:val="center" w:pos="4153"/>
        <w:tab w:val="right" w:pos="8306"/>
      </w:tabs>
      <w:snapToGrid w:val="0"/>
      <w:jc w:val="left"/>
    </w:pPr>
    <w:rPr>
      <w:sz w:val="18"/>
      <w:szCs w:val="18"/>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line="360" w:lineRule="auto"/>
      <w:jc w:val="left"/>
    </w:pPr>
    <w:rPr>
      <w:rFonts w:ascii="Calibri" w:hAnsi="Calibri" w:eastAsia="宋体"/>
      <w:b/>
      <w:bCs/>
      <w:caps/>
      <w:sz w:val="20"/>
      <w:szCs w:val="20"/>
    </w:rPr>
  </w:style>
  <w:style w:type="paragraph" w:styleId="30">
    <w:name w:val="toc 6"/>
    <w:basedOn w:val="1"/>
    <w:next w:val="1"/>
    <w:qFormat/>
    <w:uiPriority w:val="0"/>
    <w:pPr>
      <w:ind w:left="1000"/>
    </w:pPr>
    <w:rPr>
      <w:rFonts w:ascii="Calibri"/>
    </w:rPr>
  </w:style>
  <w:style w:type="paragraph" w:styleId="31">
    <w:name w:val="Body Text Indent 3"/>
    <w:basedOn w:val="1"/>
    <w:qFormat/>
    <w:uiPriority w:val="0"/>
    <w:pPr>
      <w:spacing w:line="360" w:lineRule="auto"/>
      <w:ind w:firstLine="420" w:firstLineChars="200"/>
    </w:pPr>
    <w:rPr>
      <w:rFonts w:ascii="宋体" w:hAnsi="宋体" w:eastAsia="宋体"/>
      <w:sz w:val="21"/>
    </w:rPr>
  </w:style>
  <w:style w:type="paragraph" w:styleId="32">
    <w:name w:val="toc 2"/>
    <w:basedOn w:val="1"/>
    <w:next w:val="1"/>
    <w:qFormat/>
    <w:uiPriority w:val="0"/>
    <w:pPr>
      <w:spacing w:line="360" w:lineRule="auto"/>
      <w:ind w:left="210"/>
      <w:jc w:val="left"/>
    </w:pPr>
    <w:rPr>
      <w:rFonts w:ascii="Calibri" w:hAnsi="Calibri" w:eastAsia="宋体"/>
      <w:smallCaps/>
      <w:sz w:val="20"/>
      <w:szCs w:val="20"/>
    </w:rPr>
  </w:style>
  <w:style w:type="paragraph" w:styleId="33">
    <w:name w:val="Body Text 2"/>
    <w:basedOn w:val="1"/>
    <w:next w:val="17"/>
    <w:link w:val="58"/>
    <w:qFormat/>
    <w:uiPriority w:val="0"/>
    <w:pPr>
      <w:adjustRightInd w:val="0"/>
      <w:spacing w:after="120" w:line="480" w:lineRule="auto"/>
      <w:jc w:val="left"/>
      <w:textAlignment w:val="baseline"/>
    </w:pPr>
    <w:rPr>
      <w:rFonts w:eastAsia="宋体"/>
      <w:kern w:val="0"/>
      <w:sz w:val="24"/>
      <w:szCs w:val="20"/>
    </w:rPr>
  </w:style>
  <w:style w:type="paragraph" w:styleId="3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35">
    <w:name w:val="Title"/>
    <w:basedOn w:val="1"/>
    <w:next w:val="1"/>
    <w:qFormat/>
    <w:uiPriority w:val="0"/>
    <w:pPr>
      <w:adjustRightInd w:val="0"/>
      <w:spacing w:before="240" w:after="60" w:line="420" w:lineRule="atLeast"/>
      <w:jc w:val="center"/>
      <w:outlineLvl w:val="0"/>
    </w:pPr>
    <w:rPr>
      <w:rFonts w:ascii="Arial" w:hAnsi="Arial" w:eastAsia="宋体"/>
      <w:b/>
      <w:kern w:val="0"/>
      <w:sz w:val="32"/>
      <w:szCs w:val="20"/>
    </w:rPr>
  </w:style>
  <w:style w:type="paragraph" w:styleId="36">
    <w:name w:val="annotation subject"/>
    <w:basedOn w:val="15"/>
    <w:next w:val="15"/>
    <w:link w:val="159"/>
    <w:qFormat/>
    <w:uiPriority w:val="0"/>
    <w:rPr>
      <w:b/>
      <w:bCs/>
      <w:kern w:val="2"/>
      <w:sz w:val="28"/>
    </w:rPr>
  </w:style>
  <w:style w:type="paragraph" w:styleId="37">
    <w:name w:val="Body Text First Indent"/>
    <w:basedOn w:val="17"/>
    <w:next w:val="38"/>
    <w:qFormat/>
    <w:uiPriority w:val="0"/>
    <w:pPr>
      <w:ind w:firstLine="420" w:firstLineChars="100"/>
    </w:pPr>
    <w:rPr>
      <w:sz w:val="21"/>
    </w:rPr>
  </w:style>
  <w:style w:type="paragraph" w:styleId="38">
    <w:name w:val="Body Text First Indent 2"/>
    <w:basedOn w:val="20"/>
    <w:next w:val="1"/>
    <w:qFormat/>
    <w:uiPriority w:val="0"/>
    <w:pPr>
      <w:widowControl/>
      <w:ind w:firstLine="420" w:firstLineChars="200"/>
    </w:pPr>
    <w:rPr>
      <w:kern w:val="0"/>
      <w:sz w:val="24"/>
      <w:szCs w:val="20"/>
    </w:rPr>
  </w:style>
  <w:style w:type="table" w:styleId="40">
    <w:name w:val="Table Grid"/>
    <w:basedOn w:val="3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qFormat/>
    <w:uiPriority w:val="0"/>
    <w:rPr>
      <w:color w:val="000000"/>
      <w:u w:val="none"/>
    </w:rPr>
  </w:style>
  <w:style w:type="character" w:styleId="45">
    <w:name w:val="Emphasis"/>
    <w:qFormat/>
    <w:uiPriority w:val="0"/>
    <w:rPr>
      <w:b/>
    </w:rPr>
  </w:style>
  <w:style w:type="character" w:styleId="46">
    <w:name w:val="HTML Definition"/>
    <w:qFormat/>
    <w:uiPriority w:val="0"/>
  </w:style>
  <w:style w:type="character" w:styleId="47">
    <w:name w:val="HTML Typewriter"/>
    <w:qFormat/>
    <w:uiPriority w:val="0"/>
    <w:rPr>
      <w:rFonts w:hint="default" w:ascii="monospace" w:hAnsi="monospace" w:eastAsia="monospace" w:cs="monospace"/>
      <w:sz w:val="16"/>
      <w:szCs w:val="0"/>
      <w:bdr w:val="single" w:color="auto" w:sz="2" w:space="0"/>
    </w:rPr>
  </w:style>
  <w:style w:type="character" w:styleId="48">
    <w:name w:val="HTML Acronym"/>
    <w:qFormat/>
    <w:uiPriority w:val="0"/>
    <w:rPr>
      <w:shd w:val="clear" w:color="auto" w:fill="FFFFFF"/>
    </w:rPr>
  </w:style>
  <w:style w:type="character" w:styleId="49">
    <w:name w:val="HTML Variable"/>
    <w:qFormat/>
    <w:uiPriority w:val="0"/>
  </w:style>
  <w:style w:type="character" w:styleId="50">
    <w:name w:val="Hyperlink"/>
    <w:basedOn w:val="41"/>
    <w:qFormat/>
    <w:uiPriority w:val="0"/>
    <w:rPr>
      <w:color w:val="000000"/>
      <w:u w:val="none"/>
    </w:rPr>
  </w:style>
  <w:style w:type="character" w:styleId="51">
    <w:name w:val="HTML Code"/>
    <w:qFormat/>
    <w:uiPriority w:val="0"/>
    <w:rPr>
      <w:rFonts w:hint="default" w:ascii="monospace" w:hAnsi="monospace" w:eastAsia="monospace" w:cs="monospace"/>
      <w:sz w:val="20"/>
    </w:rPr>
  </w:style>
  <w:style w:type="character" w:styleId="52">
    <w:name w:val="annotation reference"/>
    <w:qFormat/>
    <w:uiPriority w:val="99"/>
    <w:rPr>
      <w:rFonts w:ascii="Times New Roman" w:hAnsi="Times New Roman" w:cs="Times New Roman"/>
      <w:sz w:val="21"/>
    </w:rPr>
  </w:style>
  <w:style w:type="character" w:styleId="53">
    <w:name w:val="HTML Cite"/>
    <w:qFormat/>
    <w:uiPriority w:val="0"/>
  </w:style>
  <w:style w:type="character" w:styleId="54">
    <w:name w:val="HTML Keyboard"/>
    <w:qFormat/>
    <w:uiPriority w:val="0"/>
    <w:rPr>
      <w:rFonts w:hint="default" w:ascii="monospace" w:hAnsi="monospace" w:eastAsia="monospace" w:cs="monospace"/>
      <w:sz w:val="20"/>
    </w:rPr>
  </w:style>
  <w:style w:type="character" w:styleId="55">
    <w:name w:val="HTML Sample"/>
    <w:qFormat/>
    <w:uiPriority w:val="0"/>
    <w:rPr>
      <w:rFonts w:ascii="monospace" w:hAnsi="monospace" w:eastAsia="monospace" w:cs="monospace"/>
    </w:rPr>
  </w:style>
  <w:style w:type="paragraph" w:customStyle="1" w:styleId="56">
    <w:name w:val="大标题"/>
    <w:basedOn w:val="1"/>
    <w:next w:val="38"/>
    <w:qFormat/>
    <w:uiPriority w:val="0"/>
    <w:pPr>
      <w:jc w:val="center"/>
    </w:pPr>
    <w:rPr>
      <w:rFonts w:ascii="Arial" w:hAnsi="Arial" w:eastAsia="宋体"/>
      <w:b/>
    </w:rPr>
  </w:style>
  <w:style w:type="paragraph" w:styleId="57">
    <w:name w:val="List Paragraph"/>
    <w:basedOn w:val="1"/>
    <w:qFormat/>
    <w:uiPriority w:val="34"/>
    <w:pPr>
      <w:ind w:firstLine="420" w:firstLineChars="200"/>
    </w:pPr>
  </w:style>
  <w:style w:type="character" w:customStyle="1" w:styleId="58">
    <w:name w:val="正文文本 2 Char"/>
    <w:link w:val="33"/>
    <w:qFormat/>
    <w:uiPriority w:val="0"/>
    <w:rPr>
      <w:sz w:val="24"/>
    </w:rPr>
  </w:style>
  <w:style w:type="character" w:customStyle="1" w:styleId="59">
    <w:name w:val="标题 1 Char"/>
    <w:link w:val="4"/>
    <w:qFormat/>
    <w:uiPriority w:val="0"/>
    <w:rPr>
      <w:b/>
      <w:bCs/>
      <w:kern w:val="44"/>
      <w:sz w:val="32"/>
      <w:szCs w:val="44"/>
    </w:rPr>
  </w:style>
  <w:style w:type="character" w:customStyle="1" w:styleId="60">
    <w:name w:val="标题 3 Char"/>
    <w:link w:val="6"/>
    <w:qFormat/>
    <w:uiPriority w:val="0"/>
    <w:rPr>
      <w:b/>
      <w:bCs/>
      <w:kern w:val="2"/>
      <w:sz w:val="24"/>
      <w:szCs w:val="32"/>
    </w:rPr>
  </w:style>
  <w:style w:type="character" w:customStyle="1" w:styleId="61">
    <w:name w:val="标题 4 Char"/>
    <w:link w:val="7"/>
    <w:qFormat/>
    <w:uiPriority w:val="0"/>
    <w:rPr>
      <w:rFonts w:ascii="Cambria" w:hAnsi="Cambria" w:eastAsia="宋体" w:cs="Times New Roman"/>
      <w:b/>
      <w:bCs/>
      <w:kern w:val="2"/>
      <w:sz w:val="28"/>
      <w:szCs w:val="28"/>
    </w:rPr>
  </w:style>
  <w:style w:type="character" w:customStyle="1" w:styleId="62">
    <w:name w:val="纯文本 Char"/>
    <w:link w:val="23"/>
    <w:qFormat/>
    <w:uiPriority w:val="0"/>
    <w:rPr>
      <w:rFonts w:ascii="宋体" w:hAnsi="Courier New"/>
      <w:kern w:val="2"/>
      <w:sz w:val="21"/>
      <w:szCs w:val="21"/>
    </w:rPr>
  </w:style>
  <w:style w:type="character" w:customStyle="1" w:styleId="63">
    <w:name w:val="日期 Char"/>
    <w:link w:val="24"/>
    <w:qFormat/>
    <w:uiPriority w:val="0"/>
    <w:rPr>
      <w:rFonts w:ascii="宋体" w:hAnsi="宋体"/>
      <w:b/>
      <w:kern w:val="2"/>
      <w:sz w:val="24"/>
    </w:rPr>
  </w:style>
  <w:style w:type="character" w:customStyle="1" w:styleId="64">
    <w:name w:val="批注框文本 Char"/>
    <w:link w:val="26"/>
    <w:qFormat/>
    <w:uiPriority w:val="0"/>
    <w:rPr>
      <w:rFonts w:eastAsia="黑体"/>
      <w:kern w:val="2"/>
      <w:sz w:val="18"/>
      <w:szCs w:val="18"/>
    </w:rPr>
  </w:style>
  <w:style w:type="character" w:customStyle="1" w:styleId="65">
    <w:name w:val="页脚 Char"/>
    <w:link w:val="27"/>
    <w:qFormat/>
    <w:uiPriority w:val="0"/>
    <w:rPr>
      <w:rFonts w:eastAsia="黑体"/>
      <w:kern w:val="2"/>
      <w:sz w:val="18"/>
      <w:szCs w:val="18"/>
    </w:rPr>
  </w:style>
  <w:style w:type="character" w:customStyle="1" w:styleId="66">
    <w:name w:val="页眉 Char"/>
    <w:link w:val="28"/>
    <w:qFormat/>
    <w:uiPriority w:val="0"/>
    <w:rPr>
      <w:rFonts w:eastAsia="黑体"/>
      <w:kern w:val="2"/>
      <w:sz w:val="18"/>
      <w:szCs w:val="18"/>
    </w:rPr>
  </w:style>
  <w:style w:type="paragraph" w:customStyle="1" w:styleId="67">
    <w:name w:val="无间隔1"/>
    <w:unhideWhenUsed/>
    <w:qFormat/>
    <w:uiPriority w:val="1"/>
    <w:rPr>
      <w:rFonts w:ascii="Calibri" w:hAnsi="Calibri" w:eastAsia="宋体" w:cs="Times New Roman"/>
      <w:sz w:val="22"/>
      <w:szCs w:val="22"/>
      <w:lang w:val="en-US" w:eastAsia="en-US" w:bidi="ar-SA"/>
    </w:rPr>
  </w:style>
  <w:style w:type="character" w:customStyle="1" w:styleId="68">
    <w:name w:val="input1"/>
    <w:qFormat/>
    <w:uiPriority w:val="0"/>
    <w:rPr>
      <w:color w:val="000000"/>
      <w:sz w:val="21"/>
      <w:szCs w:val="21"/>
      <w:bdr w:val="single" w:color="000000" w:sz="2" w:space="0"/>
      <w:shd w:val="clear" w:color="auto" w:fill="F7F2B0"/>
    </w:rPr>
  </w:style>
  <w:style w:type="character" w:customStyle="1" w:styleId="69">
    <w:name w:val="font11"/>
    <w:qFormat/>
    <w:uiPriority w:val="0"/>
    <w:rPr>
      <w:rFonts w:hint="eastAsia" w:ascii="宋体" w:hAnsi="宋体" w:eastAsia="宋体" w:cs="宋体"/>
      <w:color w:val="000000"/>
      <w:sz w:val="28"/>
      <w:szCs w:val="28"/>
      <w:u w:val="none"/>
    </w:rPr>
  </w:style>
  <w:style w:type="character" w:customStyle="1" w:styleId="70">
    <w:name w:val="Char Char1"/>
    <w:qFormat/>
    <w:uiPriority w:val="0"/>
    <w:rPr>
      <w:rFonts w:hint="default" w:ascii="Arial" w:hAnsi="Arial" w:cs="Arial"/>
      <w:b/>
      <w:sz w:val="32"/>
    </w:rPr>
  </w:style>
  <w:style w:type="character" w:customStyle="1" w:styleId="71">
    <w:name w:val="正文文字 Char"/>
    <w:qFormat/>
    <w:uiPriority w:val="0"/>
    <w:rPr>
      <w:kern w:val="2"/>
      <w:sz w:val="21"/>
      <w:szCs w:val="24"/>
    </w:rPr>
  </w:style>
  <w:style w:type="character" w:customStyle="1" w:styleId="72">
    <w:name w:val="Char Char5"/>
    <w:qFormat/>
    <w:uiPriority w:val="0"/>
    <w:rPr>
      <w:rFonts w:hint="default" w:ascii="Arial" w:hAnsi="Arial" w:eastAsia="黑体" w:cs="Arial"/>
      <w:sz w:val="24"/>
      <w:szCs w:val="24"/>
    </w:rPr>
  </w:style>
  <w:style w:type="character" w:customStyle="1" w:styleId="73">
    <w:name w:val="Char Char4"/>
    <w:qFormat/>
    <w:uiPriority w:val="0"/>
    <w:rPr>
      <w:rFonts w:hint="default" w:ascii="Arial" w:hAnsi="Arial" w:eastAsia="黑体" w:cs="Arial"/>
      <w:sz w:val="21"/>
      <w:szCs w:val="21"/>
    </w:rPr>
  </w:style>
  <w:style w:type="character" w:customStyle="1" w:styleId="74">
    <w:name w:val="Char Char11"/>
    <w:qFormat/>
    <w:locked/>
    <w:uiPriority w:val="0"/>
    <w:rPr>
      <w:rFonts w:ascii="宋体" w:hAnsi="宋体" w:eastAsia="宋体"/>
      <w:kern w:val="2"/>
      <w:sz w:val="18"/>
      <w:szCs w:val="18"/>
      <w:lang w:val="en-US" w:eastAsia="zh-CN" w:bidi="ar-SA"/>
    </w:rPr>
  </w:style>
  <w:style w:type="character" w:customStyle="1" w:styleId="75">
    <w:name w:val="mini-outputtext1"/>
    <w:basedOn w:val="41"/>
    <w:qFormat/>
    <w:uiPriority w:val="0"/>
  </w:style>
  <w:style w:type="character" w:customStyle="1" w:styleId="76">
    <w:name w:val="Char Char10"/>
    <w:qFormat/>
    <w:locked/>
    <w:uiPriority w:val="0"/>
    <w:rPr>
      <w:rFonts w:ascii="宋体" w:hAnsi="宋体" w:eastAsia="宋体"/>
      <w:kern w:val="2"/>
      <w:sz w:val="18"/>
      <w:szCs w:val="18"/>
      <w:lang w:val="en-US" w:eastAsia="zh-CN" w:bidi="ar-SA"/>
    </w:rPr>
  </w:style>
  <w:style w:type="character" w:customStyle="1" w:styleId="77">
    <w:name w:val="wdate1"/>
    <w:qFormat/>
    <w:uiPriority w:val="0"/>
    <w:rPr>
      <w:shd w:val="clear" w:color="auto" w:fill="F7F2B0"/>
    </w:rPr>
  </w:style>
  <w:style w:type="character" w:customStyle="1" w:styleId="78">
    <w:name w:val="Char Char6"/>
    <w:qFormat/>
    <w:uiPriority w:val="0"/>
    <w:rPr>
      <w:b/>
      <w:bCs/>
      <w:sz w:val="24"/>
      <w:szCs w:val="24"/>
    </w:rPr>
  </w:style>
  <w:style w:type="character" w:customStyle="1" w:styleId="79">
    <w:name w:val="Char Char Char"/>
    <w:qFormat/>
    <w:uiPriority w:val="0"/>
    <w:rPr>
      <w:rFonts w:eastAsia="宋体"/>
      <w:b/>
      <w:bCs/>
      <w:kern w:val="44"/>
      <w:sz w:val="44"/>
      <w:szCs w:val="44"/>
      <w:lang w:val="en-US" w:eastAsia="zh-CN" w:bidi="ar-SA"/>
    </w:rPr>
  </w:style>
  <w:style w:type="character" w:customStyle="1" w:styleId="80">
    <w:name w:val="Char Char7"/>
    <w:qFormat/>
    <w:uiPriority w:val="0"/>
    <w:rPr>
      <w:rFonts w:hint="default" w:ascii="Arial" w:hAnsi="Arial" w:eastAsia="黑体" w:cs="Arial"/>
      <w:b/>
      <w:bCs/>
      <w:sz w:val="24"/>
      <w:szCs w:val="24"/>
    </w:rPr>
  </w:style>
  <w:style w:type="character" w:customStyle="1" w:styleId="81">
    <w:name w:val="Char Char3"/>
    <w:qFormat/>
    <w:uiPriority w:val="0"/>
    <w:rPr>
      <w:rFonts w:hint="eastAsia" w:ascii="宋体" w:hAnsi="宋体" w:eastAsia="宋体"/>
      <w:kern w:val="2"/>
      <w:sz w:val="24"/>
    </w:rPr>
  </w:style>
  <w:style w:type="character" w:customStyle="1" w:styleId="82">
    <w:name w:val="Char Char Char1"/>
    <w:qFormat/>
    <w:uiPriority w:val="0"/>
    <w:rPr>
      <w:kern w:val="2"/>
      <w:sz w:val="24"/>
    </w:rPr>
  </w:style>
  <w:style w:type="character" w:customStyle="1" w:styleId="83">
    <w:name w:val="apple-converted-space"/>
    <w:basedOn w:val="41"/>
    <w:qFormat/>
    <w:uiPriority w:val="0"/>
  </w:style>
  <w:style w:type="character" w:customStyle="1" w:styleId="84">
    <w:name w:val="无间隔 Char"/>
    <w:link w:val="85"/>
    <w:qFormat/>
    <w:uiPriority w:val="0"/>
    <w:rPr>
      <w:rFonts w:ascii="Calibri" w:hAnsi="Calibri"/>
      <w:sz w:val="22"/>
      <w:szCs w:val="22"/>
      <w:lang w:val="en-US" w:eastAsia="zh-CN" w:bidi="ar-SA"/>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Char Char2"/>
    <w:qFormat/>
    <w:uiPriority w:val="0"/>
    <w:rPr>
      <w:kern w:val="2"/>
      <w:sz w:val="21"/>
      <w:szCs w:val="24"/>
    </w:rPr>
  </w:style>
  <w:style w:type="character" w:customStyle="1" w:styleId="87">
    <w:name w:val="Char Char9"/>
    <w:qFormat/>
    <w:uiPriority w:val="0"/>
    <w:rPr>
      <w:rFonts w:hint="default" w:ascii="Arial" w:hAnsi="Arial" w:eastAsia="黑体" w:cs="Arial"/>
      <w:bCs/>
      <w:kern w:val="2"/>
      <w:sz w:val="30"/>
      <w:szCs w:val="32"/>
      <w:lang w:val="en-US" w:eastAsia="zh-CN" w:bidi="ar-SA"/>
    </w:rPr>
  </w:style>
  <w:style w:type="character" w:customStyle="1" w:styleId="88">
    <w:name w:val="noborderinput1"/>
    <w:qFormat/>
    <w:uiPriority w:val="0"/>
    <w:rPr>
      <w:shd w:val="clear" w:color="auto" w:fill="F7F2B0"/>
    </w:rPr>
  </w:style>
  <w:style w:type="character" w:customStyle="1" w:styleId="89">
    <w:name w:val="Char Char8"/>
    <w:qFormat/>
    <w:uiPriority w:val="0"/>
    <w:rPr>
      <w:rFonts w:hint="default" w:ascii="Arial" w:hAnsi="Arial" w:eastAsia="黑体" w:cs="Arial"/>
      <w:b/>
      <w:bCs/>
      <w:kern w:val="2"/>
      <w:sz w:val="28"/>
      <w:szCs w:val="28"/>
    </w:rPr>
  </w:style>
  <w:style w:type="character" w:customStyle="1" w:styleId="90">
    <w:name w:val="NormalCharacter"/>
    <w:link w:val="1"/>
    <w:semiHidden/>
    <w:qFormat/>
    <w:uiPriority w:val="0"/>
    <w:rPr>
      <w:rFonts w:ascii="Times New Roman" w:hAnsi="Times New Roman" w:eastAsia="黑体" w:cs="Times New Roman"/>
      <w:kern w:val="2"/>
      <w:sz w:val="28"/>
      <w:szCs w:val="24"/>
      <w:lang w:val="en-US" w:eastAsia="zh-CN" w:bidi="ar-SA"/>
    </w:rPr>
  </w:style>
  <w:style w:type="character" w:customStyle="1" w:styleId="91">
    <w:name w:val="font161"/>
    <w:qFormat/>
    <w:uiPriority w:val="0"/>
    <w:rPr>
      <w:b/>
      <w:bCs/>
      <w:sz w:val="32"/>
      <w:szCs w:val="32"/>
    </w:rPr>
  </w:style>
  <w:style w:type="character" w:customStyle="1" w:styleId="92">
    <w:name w:val="fontstyle01"/>
    <w:qFormat/>
    <w:uiPriority w:val="0"/>
    <w:rPr>
      <w:rFonts w:hint="eastAsia" w:ascii="宋体" w:hAnsi="宋体" w:eastAsia="宋体"/>
      <w:color w:val="000000"/>
      <w:sz w:val="22"/>
      <w:szCs w:val="22"/>
    </w:rPr>
  </w:style>
  <w:style w:type="paragraph" w:customStyle="1" w:styleId="93">
    <w:name w:val="Char Char Char1 Char Char Char Char"/>
    <w:basedOn w:val="1"/>
    <w:qFormat/>
    <w:uiPriority w:val="0"/>
    <w:pPr>
      <w:tabs>
        <w:tab w:val="left" w:pos="360"/>
      </w:tabs>
    </w:pPr>
    <w:rPr>
      <w:rFonts w:eastAsia="宋体"/>
      <w:sz w:val="24"/>
    </w:rPr>
  </w:style>
  <w:style w:type="paragraph" w:customStyle="1" w:styleId="94">
    <w:name w:val="p"/>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5">
    <w:name w:val="xl76"/>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96">
    <w:name w:val="标题3-1"/>
    <w:basedOn w:val="6"/>
    <w:qFormat/>
    <w:uiPriority w:val="0"/>
    <w:pPr>
      <w:numPr>
        <w:ilvl w:val="0"/>
        <w:numId w:val="1"/>
      </w:numPr>
      <w:spacing w:before="260" w:after="260" w:line="415" w:lineRule="auto"/>
    </w:pPr>
  </w:style>
  <w:style w:type="paragraph" w:customStyle="1" w:styleId="97">
    <w:name w:val="xl75"/>
    <w:basedOn w:val="1"/>
    <w:qFormat/>
    <w:uiPriority w:val="0"/>
    <w:pPr>
      <w:widowControl/>
      <w:shd w:val="clear" w:color="auto" w:fill="FFFFFF"/>
      <w:spacing w:before="100" w:beforeAutospacing="1" w:after="100" w:afterAutospacing="1"/>
      <w:jc w:val="right"/>
    </w:pPr>
    <w:rPr>
      <w:rFonts w:ascii="宋体" w:hAnsi="宋体" w:eastAsia="宋体" w:cs="宋体"/>
      <w:color w:val="000000"/>
      <w:kern w:val="0"/>
      <w:sz w:val="24"/>
    </w:rPr>
  </w:style>
  <w:style w:type="paragraph" w:customStyle="1" w:styleId="98">
    <w:name w:val="xl81"/>
    <w:basedOn w:val="1"/>
    <w:qFormat/>
    <w:uiPriority w:val="0"/>
    <w:pPr>
      <w:widowControl/>
      <w:shd w:val="clear" w:color="auto" w:fill="FFFFFF"/>
      <w:spacing w:before="100" w:beforeAutospacing="1" w:after="100" w:afterAutospacing="1"/>
      <w:jc w:val="center"/>
    </w:pPr>
    <w:rPr>
      <w:rFonts w:ascii="宋体" w:hAnsi="宋体" w:eastAsia="宋体" w:cs="宋体"/>
      <w:b/>
      <w:bCs/>
      <w:color w:val="000000"/>
      <w:kern w:val="0"/>
      <w:sz w:val="32"/>
      <w:szCs w:val="32"/>
    </w:rPr>
  </w:style>
  <w:style w:type="paragraph" w:customStyle="1" w:styleId="99">
    <w:name w:val="xl74"/>
    <w:basedOn w:val="1"/>
    <w:qFormat/>
    <w:uiPriority w:val="0"/>
    <w:pPr>
      <w:widowControl/>
      <w:shd w:val="clear" w:color="auto" w:fill="FFFFFF"/>
      <w:spacing w:before="100" w:beforeAutospacing="1" w:after="100" w:afterAutospacing="1"/>
      <w:jc w:val="left"/>
    </w:pPr>
    <w:rPr>
      <w:rFonts w:ascii="宋体" w:hAnsi="宋体" w:eastAsia="宋体" w:cs="宋体"/>
      <w:color w:val="000000"/>
      <w:kern w:val="0"/>
      <w:sz w:val="24"/>
      <w:u w:val="single"/>
    </w:rPr>
  </w:style>
  <w:style w:type="paragraph" w:customStyle="1" w:styleId="100">
    <w:name w:val="6'"/>
    <w:basedOn w:val="1"/>
    <w:qFormat/>
    <w:uiPriority w:val="0"/>
    <w:pPr>
      <w:autoSpaceDE w:val="0"/>
      <w:autoSpaceDN w:val="0"/>
      <w:adjustRightInd w:val="0"/>
      <w:snapToGrid w:val="0"/>
      <w:spacing w:line="320" w:lineRule="exact"/>
      <w:jc w:val="center"/>
    </w:pPr>
    <w:rPr>
      <w:rFonts w:eastAsia="宋体"/>
      <w:spacing w:val="20"/>
      <w:kern w:val="28"/>
      <w:sz w:val="21"/>
      <w:szCs w:val="20"/>
    </w:rPr>
  </w:style>
  <w:style w:type="paragraph" w:customStyle="1" w:styleId="101">
    <w:name w:val="xl80"/>
    <w:basedOn w:val="1"/>
    <w:qFormat/>
    <w:uiPriority w:val="0"/>
    <w:pPr>
      <w:widowControl/>
      <w:shd w:val="clear" w:color="auto" w:fill="FFFFFF"/>
      <w:spacing w:before="100" w:beforeAutospacing="1" w:after="100" w:afterAutospacing="1"/>
      <w:jc w:val="left"/>
    </w:pPr>
    <w:rPr>
      <w:rFonts w:ascii="宋体" w:hAnsi="宋体" w:eastAsia="宋体" w:cs="宋体"/>
      <w:color w:val="000000"/>
      <w:kern w:val="0"/>
      <w:sz w:val="24"/>
    </w:rPr>
  </w:style>
  <w:style w:type="paragraph" w:customStyle="1" w:styleId="102">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right"/>
    </w:pPr>
    <w:rPr>
      <w:rFonts w:ascii="宋体" w:hAnsi="宋体" w:eastAsia="宋体" w:cs="宋体"/>
      <w:color w:val="000000"/>
      <w:kern w:val="0"/>
      <w:sz w:val="24"/>
    </w:rPr>
  </w:style>
  <w:style w:type="paragraph" w:customStyle="1" w:styleId="103">
    <w:name w:val="xl78"/>
    <w:basedOn w:val="1"/>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104">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105">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4"/>
    </w:rPr>
  </w:style>
  <w:style w:type="paragraph" w:customStyle="1" w:styleId="106">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7">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right"/>
    </w:pPr>
    <w:rPr>
      <w:rFonts w:ascii="宋体" w:hAnsi="宋体" w:eastAsia="宋体" w:cs="宋体"/>
      <w:color w:val="000000"/>
      <w:kern w:val="0"/>
      <w:sz w:val="24"/>
    </w:rPr>
  </w:style>
  <w:style w:type="paragraph" w:customStyle="1" w:styleId="108">
    <w:name w:val="Char Char Char Char"/>
    <w:basedOn w:val="1"/>
    <w:qFormat/>
    <w:uiPriority w:val="0"/>
    <w:rPr>
      <w:rFonts w:ascii="Tahoma" w:hAnsi="Tahoma" w:eastAsia="宋体"/>
      <w:sz w:val="24"/>
      <w:szCs w:val="20"/>
    </w:rPr>
  </w:style>
  <w:style w:type="paragraph" w:customStyle="1" w:styleId="109">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24"/>
    </w:rPr>
  </w:style>
  <w:style w:type="paragraph" w:customStyle="1" w:styleId="11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1">
    <w:name w:val="xl77"/>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112">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left"/>
    </w:pPr>
    <w:rPr>
      <w:rFonts w:ascii="宋体" w:hAnsi="宋体" w:eastAsia="宋体" w:cs="宋体"/>
      <w:color w:val="000000"/>
      <w:kern w:val="0"/>
      <w:sz w:val="24"/>
    </w:rPr>
  </w:style>
  <w:style w:type="paragraph" w:customStyle="1" w:styleId="113">
    <w:name w:val="No Spacing1"/>
    <w:unhideWhenUsed/>
    <w:qFormat/>
    <w:uiPriority w:val="1"/>
    <w:rPr>
      <w:rFonts w:ascii="Calibri" w:hAnsi="Calibri" w:eastAsia="宋体" w:cs="Times New Roman"/>
      <w:sz w:val="22"/>
      <w:szCs w:val="22"/>
      <w:lang w:val="en-US" w:eastAsia="en-US" w:bidi="ar-SA"/>
    </w:rPr>
  </w:style>
  <w:style w:type="paragraph" w:customStyle="1" w:styleId="114">
    <w:name w:val="xl68"/>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24"/>
    </w:rPr>
  </w:style>
  <w:style w:type="paragraph" w:customStyle="1" w:styleId="115">
    <w:name w:val="样式 标题 3 + (中文) 黑体 小四 非加粗 段前: 7.8 磅 段后: 0 磅 行距: 固定值 20 磅"/>
    <w:basedOn w:val="6"/>
    <w:qFormat/>
    <w:uiPriority w:val="0"/>
    <w:pPr>
      <w:spacing w:line="400" w:lineRule="exact"/>
    </w:pPr>
    <w:rPr>
      <w:rFonts w:eastAsia="黑体" w:cs="宋体"/>
      <w:b w:val="0"/>
      <w:bCs w:val="0"/>
      <w:szCs w:val="20"/>
    </w:rPr>
  </w:style>
  <w:style w:type="paragraph" w:customStyle="1" w:styleId="116">
    <w:name w:val="1"/>
    <w:basedOn w:val="1"/>
    <w:qFormat/>
    <w:uiPriority w:val="0"/>
    <w:pPr>
      <w:spacing w:line="360" w:lineRule="auto"/>
    </w:pPr>
    <w:rPr>
      <w:rFonts w:eastAsia="宋体"/>
      <w:sz w:val="21"/>
    </w:rPr>
  </w:style>
  <w:style w:type="paragraph" w:customStyle="1" w:styleId="117">
    <w:name w:val="Char1 Char Char Char Char Char Char"/>
    <w:basedOn w:val="1"/>
    <w:qFormat/>
    <w:uiPriority w:val="0"/>
    <w:rPr>
      <w:rFonts w:ascii="Tahoma" w:hAnsi="Tahoma" w:eastAsia="宋体"/>
      <w:sz w:val="24"/>
      <w:szCs w:val="20"/>
    </w:rPr>
  </w:style>
  <w:style w:type="paragraph" w:customStyle="1" w:styleId="118">
    <w:name w:val="文章副标题"/>
    <w:basedOn w:val="1"/>
    <w:next w:val="1"/>
    <w:qFormat/>
    <w:uiPriority w:val="0"/>
    <w:pPr>
      <w:widowControl/>
      <w:spacing w:before="187" w:after="175" w:line="1122" w:lineRule="atLeast"/>
      <w:jc w:val="center"/>
    </w:pPr>
    <w:rPr>
      <w:rFonts w:eastAsia="宋体"/>
      <w:color w:val="000000"/>
      <w:kern w:val="0"/>
      <w:sz w:val="36"/>
      <w:szCs w:val="20"/>
      <w:u w:color="000000"/>
    </w:rPr>
  </w:style>
  <w:style w:type="paragraph" w:customStyle="1" w:styleId="119">
    <w:name w:val="xl82"/>
    <w:basedOn w:val="1"/>
    <w:qFormat/>
    <w:uiPriority w:val="0"/>
    <w:pPr>
      <w:widowControl/>
      <w:shd w:val="clear" w:color="auto" w:fill="FFFFFF"/>
      <w:spacing w:before="100" w:beforeAutospacing="1" w:after="100" w:afterAutospacing="1"/>
      <w:jc w:val="left"/>
    </w:pPr>
    <w:rPr>
      <w:rFonts w:ascii="宋体" w:hAnsi="宋体" w:eastAsia="宋体" w:cs="宋体"/>
      <w:color w:val="000000"/>
      <w:kern w:val="0"/>
      <w:sz w:val="24"/>
    </w:rPr>
  </w:style>
  <w:style w:type="paragraph" w:customStyle="1" w:styleId="120">
    <w:name w:val="样式 标题 1 + 黑体 三号 非加粗 居中 段前: 6 磅 段后: 6 磅 行距: 固定值 20 磅"/>
    <w:basedOn w:val="4"/>
    <w:qFormat/>
    <w:uiPriority w:val="0"/>
    <w:pPr>
      <w:spacing w:before="312" w:beforeLines="100" w:after="312" w:afterLines="100" w:line="400" w:lineRule="exact"/>
      <w:jc w:val="center"/>
    </w:pPr>
    <w:rPr>
      <w:rFonts w:ascii="黑体" w:hAnsi="黑体" w:eastAsia="黑体" w:cs="宋体"/>
      <w:b w:val="0"/>
      <w:bCs w:val="0"/>
      <w:szCs w:val="20"/>
    </w:rPr>
  </w:style>
  <w:style w:type="paragraph" w:customStyle="1" w:styleId="121">
    <w:name w:val="样式1"/>
    <w:basedOn w:val="1"/>
    <w:next w:val="7"/>
    <w:qFormat/>
    <w:uiPriority w:val="0"/>
    <w:pPr>
      <w:spacing w:line="360" w:lineRule="auto"/>
      <w:ind w:firstLine="420" w:firstLineChars="200"/>
    </w:pPr>
    <w:rPr>
      <w:rFonts w:ascii="宋体" w:hAnsi="宋体" w:eastAsia="宋体"/>
      <w:sz w:val="21"/>
      <w:szCs w:val="21"/>
    </w:rPr>
  </w:style>
  <w:style w:type="paragraph" w:customStyle="1" w:styleId="122">
    <w:name w:val="表格文字"/>
    <w:basedOn w:val="1"/>
    <w:qFormat/>
    <w:uiPriority w:val="0"/>
    <w:pPr>
      <w:adjustRightInd w:val="0"/>
      <w:spacing w:line="420" w:lineRule="atLeast"/>
      <w:jc w:val="left"/>
    </w:pPr>
    <w:rPr>
      <w:rFonts w:eastAsia="宋体"/>
      <w:kern w:val="0"/>
      <w:sz w:val="21"/>
      <w:szCs w:val="20"/>
    </w:rPr>
  </w:style>
  <w:style w:type="paragraph" w:customStyle="1" w:styleId="123">
    <w:name w:val="默认段落字体 Para Char Char Char Char Char Char Char Char Char Char"/>
    <w:basedOn w:val="1"/>
    <w:qFormat/>
    <w:uiPriority w:val="0"/>
    <w:pPr>
      <w:spacing w:line="360" w:lineRule="auto"/>
    </w:pPr>
    <w:rPr>
      <w:rFonts w:eastAsia="宋体"/>
      <w:sz w:val="21"/>
      <w:szCs w:val="20"/>
    </w:rPr>
  </w:style>
  <w:style w:type="paragraph" w:customStyle="1" w:styleId="124">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4"/>
    </w:rPr>
  </w:style>
  <w:style w:type="paragraph" w:customStyle="1" w:styleId="125">
    <w:name w:val="1 Char Char Char Char"/>
    <w:basedOn w:val="1"/>
    <w:qFormat/>
    <w:uiPriority w:val="0"/>
    <w:rPr>
      <w:rFonts w:ascii="Tahoma" w:hAnsi="Tahoma" w:eastAsia="宋体"/>
      <w:sz w:val="24"/>
      <w:szCs w:val="20"/>
    </w:rPr>
  </w:style>
  <w:style w:type="paragraph" w:customStyle="1" w:styleId="126">
    <w:name w:val="xl79"/>
    <w:basedOn w:val="1"/>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127">
    <w:name w:val="xl63"/>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128">
    <w:name w:val="xl83"/>
    <w:basedOn w:val="1"/>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129">
    <w:name w:val="Char1"/>
    <w:basedOn w:val="1"/>
    <w:qFormat/>
    <w:uiPriority w:val="0"/>
    <w:pPr>
      <w:tabs>
        <w:tab w:val="left" w:pos="360"/>
      </w:tabs>
    </w:pPr>
    <w:rPr>
      <w:rFonts w:eastAsia="宋体"/>
      <w:sz w:val="24"/>
    </w:rPr>
  </w:style>
  <w:style w:type="paragraph" w:customStyle="1" w:styleId="130">
    <w:name w:val="Char"/>
    <w:basedOn w:val="1"/>
    <w:qFormat/>
    <w:uiPriority w:val="0"/>
    <w:pPr>
      <w:tabs>
        <w:tab w:val="left" w:pos="360"/>
      </w:tabs>
    </w:pPr>
    <w:rPr>
      <w:rFonts w:eastAsia="宋体"/>
      <w:sz w:val="24"/>
    </w:rPr>
  </w:style>
  <w:style w:type="paragraph" w:customStyle="1" w:styleId="131">
    <w:name w:val="xl73"/>
    <w:basedOn w:val="1"/>
    <w:qFormat/>
    <w:uiPriority w:val="0"/>
    <w:pPr>
      <w:widowControl/>
      <w:shd w:val="clear" w:color="auto" w:fill="FFFFFF"/>
      <w:spacing w:before="100" w:beforeAutospacing="1" w:after="100" w:afterAutospacing="1"/>
      <w:jc w:val="left"/>
    </w:pPr>
    <w:rPr>
      <w:rFonts w:ascii="宋体" w:hAnsi="宋体" w:eastAsia="宋体" w:cs="宋体"/>
      <w:color w:val="000000"/>
      <w:kern w:val="0"/>
      <w:sz w:val="24"/>
    </w:rPr>
  </w:style>
  <w:style w:type="paragraph" w:customStyle="1" w:styleId="132">
    <w:name w:val="Char1 Char Char Char"/>
    <w:basedOn w:val="1"/>
    <w:qFormat/>
    <w:uiPriority w:val="0"/>
    <w:pPr>
      <w:snapToGrid w:val="0"/>
      <w:spacing w:line="360" w:lineRule="auto"/>
      <w:ind w:firstLine="200" w:firstLineChars="200"/>
    </w:pPr>
    <w:rPr>
      <w:rFonts w:eastAsia="宋体"/>
      <w:sz w:val="21"/>
    </w:rPr>
  </w:style>
  <w:style w:type="paragraph" w:customStyle="1" w:styleId="133">
    <w:name w:val="正文首行缩进1"/>
    <w:basedOn w:val="17"/>
    <w:next w:val="134"/>
    <w:qFormat/>
    <w:uiPriority w:val="0"/>
    <w:pPr>
      <w:adjustRightInd w:val="0"/>
      <w:spacing w:after="120" w:line="360" w:lineRule="atLeast"/>
      <w:ind w:firstLine="420" w:firstLineChars="100"/>
      <w:jc w:val="left"/>
      <w:textAlignment w:val="baseline"/>
    </w:pPr>
    <w:rPr>
      <w:rFonts w:ascii="Times New Roman" w:eastAsia="宋体"/>
      <w:kern w:val="0"/>
      <w:szCs w:val="20"/>
    </w:rPr>
  </w:style>
  <w:style w:type="paragraph" w:customStyle="1" w:styleId="134">
    <w:name w:val="正文首行缩进 21"/>
    <w:basedOn w:val="20"/>
    <w:qFormat/>
    <w:uiPriority w:val="0"/>
    <w:pPr>
      <w:adjustRightInd w:val="0"/>
      <w:spacing w:after="120" w:line="360" w:lineRule="atLeast"/>
      <w:ind w:left="420" w:leftChars="200" w:firstLine="200"/>
      <w:jc w:val="left"/>
      <w:textAlignment w:val="baseline"/>
    </w:pPr>
    <w:rPr>
      <w:rFonts w:ascii="Times New Roman" w:hAnsi="Times New Roman"/>
      <w:kern w:val="0"/>
      <w:sz w:val="24"/>
      <w:szCs w:val="20"/>
    </w:rPr>
  </w:style>
  <w:style w:type="paragraph" w:customStyle="1" w:styleId="135">
    <w:name w:val="Table Paragraph"/>
    <w:basedOn w:val="1"/>
    <w:qFormat/>
    <w:uiPriority w:val="1"/>
    <w:rPr>
      <w:rFonts w:ascii="仿宋_GB2312" w:eastAsia="仿宋_GB2312"/>
      <w:sz w:val="32"/>
      <w:szCs w:val="32"/>
    </w:rPr>
  </w:style>
  <w:style w:type="paragraph" w:customStyle="1" w:styleId="136">
    <w:name w:val="默认段落字体 Para Char Char Char Char Char Char Char Char Char1 Char"/>
    <w:basedOn w:val="1"/>
    <w:qFormat/>
    <w:uiPriority w:val="0"/>
    <w:rPr>
      <w:rFonts w:ascii="仿宋_GB2312" w:eastAsia="仿宋_GB2312"/>
      <w:sz w:val="24"/>
      <w:szCs w:val="20"/>
    </w:rPr>
  </w:style>
  <w:style w:type="paragraph" w:customStyle="1" w:styleId="137">
    <w:name w:val="xl69"/>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13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Cs w:val="0"/>
      <w:sz w:val="28"/>
      <w:szCs w:val="20"/>
    </w:rPr>
  </w:style>
  <w:style w:type="paragraph" w:customStyle="1" w:styleId="139">
    <w:name w:val="列出段落1"/>
    <w:basedOn w:val="1"/>
    <w:qFormat/>
    <w:uiPriority w:val="99"/>
    <w:pPr>
      <w:ind w:firstLine="420" w:firstLineChars="200"/>
    </w:pPr>
  </w:style>
  <w:style w:type="character" w:customStyle="1" w:styleId="140">
    <w:name w:val="fontstyle31"/>
    <w:qFormat/>
    <w:uiPriority w:val="0"/>
    <w:rPr>
      <w:rFonts w:hint="default" w:ascii="MicrosoftYaHei" w:hAnsi="MicrosoftYaHei"/>
      <w:color w:val="000000"/>
      <w:kern w:val="0"/>
      <w:sz w:val="22"/>
      <w:szCs w:val="22"/>
      <w:lang w:eastAsia="en-US" w:bidi="en-US"/>
    </w:rPr>
  </w:style>
  <w:style w:type="character" w:customStyle="1" w:styleId="141">
    <w:name w:val="font81"/>
    <w:basedOn w:val="41"/>
    <w:qFormat/>
    <w:uiPriority w:val="0"/>
    <w:rPr>
      <w:rFonts w:hint="eastAsia" w:ascii="宋体" w:hAnsi="宋体" w:eastAsia="宋体" w:cs="宋体"/>
      <w:color w:val="000000"/>
      <w:sz w:val="21"/>
      <w:szCs w:val="21"/>
      <w:u w:val="none"/>
    </w:rPr>
  </w:style>
  <w:style w:type="character" w:customStyle="1" w:styleId="142">
    <w:name w:val="font91"/>
    <w:basedOn w:val="41"/>
    <w:qFormat/>
    <w:uiPriority w:val="0"/>
    <w:rPr>
      <w:rFonts w:ascii="Calibri" w:hAnsi="Calibri" w:cs="Calibri"/>
      <w:color w:val="000000"/>
      <w:sz w:val="21"/>
      <w:szCs w:val="21"/>
      <w:u w:val="none"/>
    </w:rPr>
  </w:style>
  <w:style w:type="character" w:customStyle="1" w:styleId="143">
    <w:name w:val="font51"/>
    <w:basedOn w:val="41"/>
    <w:qFormat/>
    <w:uiPriority w:val="0"/>
    <w:rPr>
      <w:rFonts w:hint="eastAsia" w:ascii="宋体" w:hAnsi="宋体" w:eastAsia="宋体" w:cs="宋体"/>
      <w:color w:val="000000"/>
      <w:sz w:val="21"/>
      <w:szCs w:val="21"/>
      <w:u w:val="none"/>
    </w:rPr>
  </w:style>
  <w:style w:type="character" w:customStyle="1" w:styleId="144">
    <w:name w:val="font41"/>
    <w:basedOn w:val="41"/>
    <w:qFormat/>
    <w:uiPriority w:val="0"/>
    <w:rPr>
      <w:rFonts w:ascii="Calibri" w:hAnsi="Calibri" w:cs="Calibri"/>
      <w:color w:val="000000"/>
      <w:sz w:val="21"/>
      <w:szCs w:val="21"/>
      <w:u w:val="none"/>
    </w:rPr>
  </w:style>
  <w:style w:type="character" w:customStyle="1" w:styleId="145">
    <w:name w:val="font31"/>
    <w:basedOn w:val="41"/>
    <w:qFormat/>
    <w:uiPriority w:val="0"/>
    <w:rPr>
      <w:rFonts w:hint="eastAsia" w:ascii="宋体" w:hAnsi="宋体" w:eastAsia="宋体" w:cs="宋体"/>
      <w:color w:val="000000"/>
      <w:sz w:val="21"/>
      <w:szCs w:val="21"/>
      <w:u w:val="none"/>
    </w:rPr>
  </w:style>
  <w:style w:type="character" w:customStyle="1" w:styleId="146">
    <w:name w:val="font01"/>
    <w:basedOn w:val="41"/>
    <w:qFormat/>
    <w:uiPriority w:val="0"/>
    <w:rPr>
      <w:rFonts w:ascii="Calibri" w:hAnsi="Calibri" w:cs="Calibri"/>
      <w:color w:val="000000"/>
      <w:sz w:val="21"/>
      <w:szCs w:val="21"/>
      <w:u w:val="none"/>
    </w:rPr>
  </w:style>
  <w:style w:type="character" w:customStyle="1" w:styleId="147">
    <w:name w:val="fontstyle21"/>
    <w:qFormat/>
    <w:uiPriority w:val="0"/>
    <w:rPr>
      <w:rFonts w:hint="default" w:ascii="Calibri" w:hAnsi="Calibri" w:cs="Calibri"/>
      <w:color w:val="000000"/>
      <w:kern w:val="0"/>
      <w:sz w:val="22"/>
      <w:szCs w:val="22"/>
      <w:lang w:eastAsia="en-US" w:bidi="en-US"/>
    </w:rPr>
  </w:style>
  <w:style w:type="character" w:customStyle="1" w:styleId="148">
    <w:name w:val="fa"/>
    <w:basedOn w:val="41"/>
    <w:qFormat/>
    <w:uiPriority w:val="0"/>
    <w:rPr>
      <w:color w:val="333333"/>
      <w:sz w:val="19"/>
      <w:szCs w:val="19"/>
    </w:rPr>
  </w:style>
  <w:style w:type="table" w:customStyle="1" w:styleId="149">
    <w:name w:val="TableGrid"/>
    <w:qFormat/>
    <w:uiPriority w:val="0"/>
    <w:tblPr>
      <w:tblCellMar>
        <w:top w:w="0" w:type="dxa"/>
        <w:left w:w="0" w:type="dxa"/>
        <w:bottom w:w="0" w:type="dxa"/>
        <w:right w:w="0" w:type="dxa"/>
      </w:tblCellMar>
    </w:tblPr>
  </w:style>
  <w:style w:type="paragraph" w:customStyle="1" w:styleId="150">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BodyText"/>
    <w:basedOn w:val="1"/>
    <w:qFormat/>
    <w:uiPriority w:val="0"/>
    <w:pPr>
      <w:spacing w:after="120"/>
      <w:textAlignment w:val="baseline"/>
    </w:pPr>
    <w:rPr>
      <w:sz w:val="21"/>
    </w:rPr>
  </w:style>
  <w:style w:type="table" w:customStyle="1" w:styleId="152">
    <w:name w:val="Table Normal"/>
    <w:unhideWhenUsed/>
    <w:qFormat/>
    <w:uiPriority w:val="0"/>
    <w:tblPr>
      <w:tblCellMar>
        <w:top w:w="0" w:type="dxa"/>
        <w:left w:w="0" w:type="dxa"/>
        <w:bottom w:w="0" w:type="dxa"/>
        <w:right w:w="0" w:type="dxa"/>
      </w:tblCellMar>
    </w:tblPr>
  </w:style>
  <w:style w:type="character" w:customStyle="1" w:styleId="153">
    <w:name w:val="font121"/>
    <w:basedOn w:val="41"/>
    <w:qFormat/>
    <w:uiPriority w:val="0"/>
    <w:rPr>
      <w:rFonts w:ascii="Calibri" w:hAnsi="Calibri" w:cs="Calibri"/>
      <w:color w:val="000000"/>
      <w:sz w:val="20"/>
      <w:szCs w:val="20"/>
      <w:u w:val="none"/>
    </w:rPr>
  </w:style>
  <w:style w:type="character" w:customStyle="1" w:styleId="154">
    <w:name w:val="font111"/>
    <w:basedOn w:val="41"/>
    <w:qFormat/>
    <w:uiPriority w:val="0"/>
    <w:rPr>
      <w:rFonts w:hint="default" w:ascii="Arial" w:hAnsi="Arial" w:cs="Arial"/>
      <w:color w:val="000000"/>
      <w:sz w:val="20"/>
      <w:szCs w:val="20"/>
      <w:u w:val="none"/>
    </w:rPr>
  </w:style>
  <w:style w:type="paragraph" w:customStyle="1" w:styleId="155">
    <w:name w:val="正文文本1"/>
    <w:basedOn w:val="1"/>
    <w:qFormat/>
    <w:uiPriority w:val="0"/>
    <w:pPr>
      <w:shd w:val="clear" w:color="auto" w:fill="FFFFFF"/>
      <w:spacing w:line="398" w:lineRule="auto"/>
      <w:ind w:firstLine="400"/>
    </w:pPr>
    <w:rPr>
      <w:rFonts w:ascii="MingLiU" w:hAnsi="MingLiU" w:eastAsia="MingLiU" w:cs="MingLiU"/>
      <w:sz w:val="20"/>
      <w:szCs w:val="20"/>
      <w:lang w:val="zh-CN" w:bidi="zh-CN"/>
    </w:rPr>
  </w:style>
  <w:style w:type="character" w:customStyle="1" w:styleId="156">
    <w:name w:val="font21"/>
    <w:basedOn w:val="41"/>
    <w:qFormat/>
    <w:uiPriority w:val="0"/>
    <w:rPr>
      <w:rFonts w:hint="eastAsia" w:ascii="宋体" w:hAnsi="宋体" w:eastAsia="宋体" w:cs="宋体"/>
      <w:color w:val="000000"/>
      <w:sz w:val="21"/>
      <w:szCs w:val="21"/>
      <w:u w:val="none"/>
    </w:rPr>
  </w:style>
  <w:style w:type="paragraph" w:customStyle="1" w:styleId="157">
    <w:name w:val="样式 宋体 五号 行距: 单倍行距"/>
    <w:basedOn w:val="1"/>
    <w:qFormat/>
    <w:uiPriority w:val="0"/>
    <w:rPr>
      <w:rFonts w:ascii="宋体" w:hAnsi="宋体" w:eastAsia="宋体"/>
      <w:sz w:val="21"/>
    </w:rPr>
  </w:style>
  <w:style w:type="character" w:customStyle="1" w:styleId="158">
    <w:name w:val="批注文字 Char"/>
    <w:basedOn w:val="41"/>
    <w:link w:val="15"/>
    <w:qFormat/>
    <w:uiPriority w:val="99"/>
    <w:rPr>
      <w:rFonts w:eastAsia="黑体"/>
      <w:sz w:val="24"/>
      <w:szCs w:val="24"/>
    </w:rPr>
  </w:style>
  <w:style w:type="character" w:customStyle="1" w:styleId="159">
    <w:name w:val="批注主题 Char"/>
    <w:basedOn w:val="158"/>
    <w:link w:val="36"/>
    <w:qFormat/>
    <w:uiPriority w:val="0"/>
    <w:rPr>
      <w:rFonts w:eastAsia="黑体"/>
      <w:b/>
      <w:bCs/>
      <w:kern w:val="2"/>
      <w:sz w:val="28"/>
      <w:szCs w:val="24"/>
    </w:rPr>
  </w:style>
  <w:style w:type="character" w:customStyle="1" w:styleId="160">
    <w:name w:val="标题 2 Char"/>
    <w:link w:val="5"/>
    <w:qFormat/>
    <w:uiPriority w:val="0"/>
    <w:rPr>
      <w:rFonts w:ascii="Arial" w:hAnsi="Arial"/>
      <w:b/>
      <w:bCs/>
      <w:sz w:val="32"/>
      <w:szCs w:val="32"/>
    </w:rPr>
  </w:style>
  <w:style w:type="paragraph" w:customStyle="1" w:styleId="161">
    <w:name w:val="Table Text"/>
    <w:basedOn w:val="1"/>
    <w:semiHidden/>
    <w:qFormat/>
    <w:uiPriority w:val="0"/>
    <w:rPr>
      <w:rFonts w:ascii="宋体" w:hAnsi="宋体" w:eastAsia="宋体" w:cs="宋体"/>
      <w:sz w:val="20"/>
      <w:szCs w:val="20"/>
      <w:lang w:val="en-US" w:eastAsia="en-US" w:bidi="ar-SA"/>
    </w:rPr>
  </w:style>
  <w:style w:type="character" w:customStyle="1" w:styleId="162">
    <w:name w:val="font71"/>
    <w:basedOn w:val="41"/>
    <w:qFormat/>
    <w:uiPriority w:val="0"/>
    <w:rPr>
      <w:rFonts w:ascii="微软雅黑" w:hAnsi="微软雅黑" w:eastAsia="微软雅黑" w:cs="微软雅黑"/>
      <w:color w:val="000000"/>
      <w:sz w:val="12"/>
      <w:szCs w:val="12"/>
      <w:u w:val="none"/>
    </w:rPr>
  </w:style>
  <w:style w:type="character" w:customStyle="1" w:styleId="163">
    <w:name w:val="font61"/>
    <w:basedOn w:val="41"/>
    <w:qFormat/>
    <w:uiPriority w:val="0"/>
    <w:rPr>
      <w:rFonts w:hint="eastAsia" w:ascii="微软雅黑" w:hAnsi="微软雅黑" w:eastAsia="微软雅黑" w:cs="微软雅黑"/>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zzy</Company>
  <Pages>77</Pages>
  <Words>26505</Words>
  <Characters>27398</Characters>
  <Lines>252</Lines>
  <Paragraphs>71</Paragraphs>
  <TotalTime>122</TotalTime>
  <ScaleCrop>false</ScaleCrop>
  <LinksUpToDate>false</LinksUpToDate>
  <CharactersWithSpaces>27924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2023-10-17T02:47:00Z</dcterms:created>
  <dc:creator>zzy</dc:creator>
  <cp:lastModifiedBy>封旭辉</cp:lastModifiedBy>
  <cp:lastPrinted>2025-03-05T07:02:00Z</cp:lastPrinted>
  <dcterms:modified xsi:type="dcterms:W3CDTF">2025-03-06T03:09:09Z</dcterms:modified>
  <dc:title>招标编号HNFQKF－2005－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8EEFB93BF2EC48BC84682FDD2AB95CFC_13</vt:lpwstr>
  </property>
  <property fmtid="{D5CDD505-2E9C-101B-9397-08002B2CF9AE}" pid="4" name="KSOTemplateDocerSaveRecord">
    <vt:lpwstr>eyJoZGlkIjoiNzJlMzBiODgxZDc0ZTU2YzdlM2Y3NzNhZmM5Y2VmNWYiLCJ1c2VySWQiOiI5MDc0MjQwMTAifQ==</vt:lpwstr>
  </property>
</Properties>
</file>