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392F9">
      <w:pPr>
        <w:keepNext w:val="0"/>
        <w:keepLines w:val="0"/>
        <w:pageBreakBefore w:val="0"/>
        <w:widowControl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（一）总体目标</w:t>
      </w:r>
    </w:p>
    <w:p w14:paraId="3BA2F307">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系统建设以“四库+六模块+一场景”为总体建设思路，对接政务网、党建引领网格化治理平台等政务通道，加大企业营商满意度信息采集，建设以营商环境评价指标数据库、企业信息数据库、企业满意度数据库、公共信用数据库为支撑，以信用信息归集处理、营商环境评价分析、营商环境任务调度、企业满意度调查、问题跟踪监督、营商环境可视化为主要功能的郑东新区营商环境网格化智慧系统。充分运用大数据等技术，归集整合区域内企业的政务、金融、司法、财务、知识产权等信用信息建设信用园区，同时搭建 “信用+智慧楼宇”等信易+场景应用模块。打造营商环境和信用体系的应用闭环，从而减少政府治理成本和企业服务成本，提高企业、民众可获得感。</w:t>
      </w:r>
    </w:p>
    <w:p w14:paraId="1AC07CE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系统建设旨在实现以下四个目标：</w:t>
      </w:r>
    </w:p>
    <w:p w14:paraId="66953CC2">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1.通过信息技术手段促进政府建立更加规范、清晰的营商环境信息化管理体制，以进一步适应政府治理体系和服务能力的现代化要求。</w:t>
      </w:r>
    </w:p>
    <w:p w14:paraId="41F17401">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2.通过信息化手段实现信用机制协同联动，形成有效的信用管理闭环，促进市场主体诚信经营，提升区域整体信用水平。</w:t>
      </w:r>
    </w:p>
    <w:p w14:paraId="5A3CDD0D">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3.依托郑东新区党建引领网格化基层治理平台等政务信息化平台，加大政府营商环境数据和信用信息数据的归集、交换、共享、应用和服务，创新社会治理模式、助力构建“服务型政府”。</w:t>
      </w:r>
    </w:p>
    <w:p w14:paraId="14ADE12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4.引导郑东新区各单位高效履职、拓宽政企对接渠道，有效掌握辖内影响企业发展的第一手资料，为建设高效透明的投资环境提供重要支撑和基础保障。</w:t>
      </w:r>
    </w:p>
    <w:p w14:paraId="448E2493">
      <w:pPr>
        <w:keepNext w:val="0"/>
        <w:keepLines w:val="0"/>
        <w:pageBreakBefore w:val="0"/>
        <w:widowControl w:val="0"/>
        <w:kinsoku/>
        <w:wordWrap w:val="0"/>
        <w:overflowPunct/>
        <w:topLinePunct/>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（二）功能需求</w:t>
      </w:r>
    </w:p>
    <w:p w14:paraId="3F6A1DC9">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1.营商环境评价分析模块</w:t>
      </w:r>
    </w:p>
    <w:p w14:paraId="096E265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绕“提升服务功能，优化营商环境，建设服务型政府”的总目标，对标营商环境评价标准，充分运用各类政务数据和信息资源共享平台，对接调用供电、金融机构、不动产登记、税务、司法、海关以及相关职能部门数据，构建营商环境指标体系和分析模型，建设营商环境分析系统，对东区的营商环境进行持续跟踪与比较，定期形成营商环境分析结果，辅助管理机构科学决策及制定营商环境政策。</w:t>
      </w:r>
    </w:p>
    <w:p w14:paraId="3E24B8D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2.企业满意度调查模块</w:t>
      </w:r>
    </w:p>
    <w:p w14:paraId="6248422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建设企业满意度调查模块，</w:t>
      </w:r>
      <w:r>
        <w:rPr>
          <w:rFonts w:hint="eastAsia" w:ascii="宋体" w:hAnsi="宋体" w:eastAsia="宋体" w:cs="宋体"/>
          <w:color w:val="auto"/>
          <w:sz w:val="24"/>
          <w:szCs w:val="24"/>
          <w:highlight w:val="none"/>
          <w:lang w:val="en-US" w:eastAsia="zh-CN"/>
        </w:rPr>
        <w:t>对接</w:t>
      </w:r>
      <w:r>
        <w:rPr>
          <w:rFonts w:hint="eastAsia" w:ascii="宋体" w:hAnsi="宋体" w:eastAsia="宋体" w:cs="宋体"/>
          <w:color w:val="auto"/>
          <w:sz w:val="24"/>
          <w:szCs w:val="24"/>
          <w:highlight w:val="none"/>
        </w:rPr>
        <w:t>郑东新区政府等网站手机端、网页端、</w:t>
      </w:r>
      <w:r>
        <w:rPr>
          <w:rFonts w:hint="eastAsia" w:ascii="宋体" w:hAnsi="宋体" w:eastAsia="宋体" w:cs="宋体"/>
          <w:color w:val="auto"/>
          <w:sz w:val="24"/>
          <w:szCs w:val="24"/>
          <w:highlight w:val="none"/>
          <w:lang w:val="en-US" w:eastAsia="zh-CN"/>
        </w:rPr>
        <w:t>党建引领</w:t>
      </w:r>
      <w:r>
        <w:rPr>
          <w:rFonts w:hint="eastAsia" w:ascii="宋体" w:hAnsi="宋体" w:eastAsia="宋体" w:cs="宋体"/>
          <w:color w:val="auto"/>
          <w:sz w:val="24"/>
          <w:szCs w:val="24"/>
          <w:highlight w:val="none"/>
        </w:rPr>
        <w:t>网格化平台，作为加强政企对接的窗口，拓宽企业营商满意度信息采集渠道，实现区域内企业营商环境满意度线上调查、问题反馈及跟踪。</w:t>
      </w:r>
    </w:p>
    <w:p w14:paraId="25CA1530">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3.营商环境任务调度</w:t>
      </w:r>
      <w:r>
        <w:rPr>
          <w:rFonts w:hint="eastAsia" w:ascii="宋体" w:hAnsi="宋体" w:cs="宋体"/>
          <w:color w:val="auto"/>
          <w:sz w:val="24"/>
          <w:szCs w:val="24"/>
          <w:highlight w:val="none"/>
          <w:lang w:val="en-US" w:eastAsia="zh-CN"/>
        </w:rPr>
        <w:t>模块</w:t>
      </w:r>
    </w:p>
    <w:p w14:paraId="2130A0C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商环境任务调度模块主要提供营商环境任务分解与填报、任务完成进度的查询与催报及任务统计等功能。指标牵头部门根据工作需要对当次填报任务进行拆解，确定填报时间、填报材料等具体要求，下发填报任务。并通过系统实时监测填报情况，对未进行填报工作的部门发送催报短信以及系统催报通知。</w:t>
      </w:r>
    </w:p>
    <w:p w14:paraId="0048879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4.公共信用信息模块</w:t>
      </w:r>
    </w:p>
    <w:p w14:paraId="67411D74">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公共信用信息</w:t>
      </w:r>
      <w:r>
        <w:rPr>
          <w:rFonts w:hint="eastAsia" w:ascii="宋体" w:hAnsi="宋体" w:eastAsia="宋体" w:cs="宋体"/>
          <w:color w:val="auto"/>
          <w:sz w:val="24"/>
          <w:szCs w:val="24"/>
          <w:highlight w:val="none"/>
          <w:lang w:val="en-US" w:eastAsia="zh-CN"/>
        </w:rPr>
        <w:t>模块</w:t>
      </w:r>
      <w:r>
        <w:rPr>
          <w:rFonts w:hint="eastAsia" w:ascii="宋体" w:hAnsi="宋体" w:eastAsia="宋体" w:cs="宋体"/>
          <w:color w:val="auto"/>
          <w:sz w:val="24"/>
          <w:szCs w:val="24"/>
          <w:highlight w:val="none"/>
        </w:rPr>
        <w:t>是地区公共信用信息的应用服务中枢，</w:t>
      </w:r>
      <w:r>
        <w:rPr>
          <w:rFonts w:hint="eastAsia" w:ascii="宋体" w:hAnsi="宋体" w:eastAsia="宋体" w:cs="宋体"/>
          <w:color w:val="auto"/>
          <w:sz w:val="24"/>
          <w:szCs w:val="24"/>
          <w:highlight w:val="none"/>
          <w:lang w:val="en-US" w:eastAsia="zh-CN"/>
        </w:rPr>
        <w:t>该模块</w:t>
      </w:r>
      <w:r>
        <w:rPr>
          <w:rFonts w:hint="eastAsia" w:ascii="宋体" w:hAnsi="宋体" w:eastAsia="宋体" w:cs="宋体"/>
          <w:color w:val="auto"/>
          <w:sz w:val="24"/>
          <w:szCs w:val="24"/>
          <w:highlight w:val="none"/>
        </w:rPr>
        <w:t>横向贯通地方政务服务系统，纵向连接国家、省、市信用平台，实现了数据归集的自动推送、实时传输、深度分析、智慧决策，为地方加强信用信息资源整合，建立健全以信用为核心的新型市场监管机制，发挥信用信息资源价值提供重要支撑。</w:t>
      </w:r>
    </w:p>
    <w:p w14:paraId="00D9E5B1">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5.问题跟踪监督模块</w:t>
      </w:r>
    </w:p>
    <w:p w14:paraId="465A1A0B">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收集、整理来自区内各部门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营商</w:t>
      </w:r>
      <w:r>
        <w:rPr>
          <w:rFonts w:hint="eastAsia" w:ascii="宋体" w:hAnsi="宋体" w:eastAsia="宋体" w:cs="宋体"/>
          <w:color w:val="auto"/>
          <w:sz w:val="24"/>
          <w:szCs w:val="24"/>
          <w:highlight w:val="none"/>
          <w:lang w:val="en-US" w:eastAsia="zh-CN"/>
        </w:rPr>
        <w:t>信用</w:t>
      </w:r>
      <w:r>
        <w:rPr>
          <w:rFonts w:hint="eastAsia" w:ascii="宋体" w:hAnsi="宋体" w:eastAsia="宋体" w:cs="宋体"/>
          <w:color w:val="auto"/>
          <w:sz w:val="24"/>
          <w:szCs w:val="24"/>
          <w:highlight w:val="none"/>
        </w:rPr>
        <w:t>相关问题，以便跟进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处理；提供信息披露功能，确保信息的公开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透明；支持对职能部门服务质量的监督，确保服务效能；</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问题</w:t>
      </w:r>
      <w:r>
        <w:rPr>
          <w:rFonts w:hint="eastAsia" w:ascii="宋体" w:hAnsi="宋体" w:eastAsia="宋体" w:cs="宋体"/>
          <w:color w:val="auto"/>
          <w:sz w:val="24"/>
          <w:szCs w:val="24"/>
          <w:highlight w:val="none"/>
          <w:lang w:val="en-US" w:eastAsia="zh-CN"/>
        </w:rPr>
        <w:t>的超期提醒</w:t>
      </w:r>
      <w:r>
        <w:rPr>
          <w:rFonts w:hint="eastAsia" w:ascii="宋体" w:hAnsi="宋体" w:eastAsia="宋体" w:cs="宋体"/>
          <w:color w:val="auto"/>
          <w:sz w:val="24"/>
          <w:szCs w:val="24"/>
          <w:highlight w:val="none"/>
        </w:rPr>
        <w:t>，并在整个处理过程中实施监督，确保问题得到妥善解决。</w:t>
      </w:r>
    </w:p>
    <w:p w14:paraId="3E9CFD25">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250A0E3D">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6.营商环境可视化模块</w:t>
      </w:r>
    </w:p>
    <w:p w14:paraId="2F3FA6D7">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整合各系统数据，依据设定的营商环境指标，提供统计分析功能，包含指标排名、问题集中度、任务完成情况、企业指标满意度、涉企诉求整改等情况。</w:t>
      </w:r>
    </w:p>
    <w:p w14:paraId="40D488C9">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挖掘营商环境企业满意度信息资源，对满意度情况进行综合展示，基于企业规模、类别，分别展示郑东新区各个指标满意度排名、各指标满意度动态变化、企业反馈高频问题统计、问题整改等情况，实现关键数据一屏可见、核心信息有效传递、领导决策有据可依的目标。</w:t>
      </w:r>
    </w:p>
    <w:p w14:paraId="79E32606">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7.信用园区及信用场景建设</w:t>
      </w:r>
    </w:p>
    <w:p w14:paraId="06F180DB">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推动园区高质量发展、优化园区营商环境为中心，从健全总体布局、推动信用基础设施建设、推行公共信用评价、健全信用监管机制、拓展信用应用场景、加强企业信用管理、丰富涉企服务、营造诚信文化范围等方面出发，对园区信用体系建设任务进行全面规划部署，为信用园区建立层次清晰的信用制度体系。</w:t>
      </w:r>
    </w:p>
    <w:p w14:paraId="45E8089E">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楼宇场景搭建：通过建立覆盖全域全部企业的信用信息大数据库，将企业按属地分配到楼宇、社区等网格，进行精准扶持培育，实现街道税收增长和经济高质量发展，破解基层治理“经济家底不清、企业信息隔离、产业标签不明、政企沟通不畅、风险监测不明”等问题。在企业综合信用管理服务平台上，开设“信用+楼宇经济”可视化模块，整合智慧岛各楼宇入驻企业技术创新、成长经营、辅助指标等信息，实现“企业信用一码查询、经济台账一图可看、企业走访一键填报、企业贷款一键办理、涉企优惠政策一键享受、企业服务一屏汇集”等。</w:t>
      </w:r>
    </w:p>
    <w:p w14:paraId="2B3F3F88">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8.营商环境满意度及信用咨询提升服务</w:t>
      </w:r>
    </w:p>
    <w:p w14:paraId="76BFA1DD">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优化郑东新区营商环境为目标，通过客观分析郑东新区在营商环境各指标维度的薄弱环节和突出问题，推动各部门进一步优化办事流程、压缩办理时限、提高办事效率，推进“放管服”改革向纵深发展，结合国内营商环境先进地区优秀做法和世界银行对营商环境的最新要求，为郑东新区提供一系列营商环境优化提升咨询服务。</w:t>
      </w:r>
    </w:p>
    <w:p w14:paraId="42155A93">
      <w:pPr>
        <w:spacing w:line="360" w:lineRule="auto"/>
        <w:ind w:firstLine="482" w:firstLineChars="200"/>
        <w:rPr>
          <w:rFonts w:hint="eastAsia" w:ascii="宋体" w:hAnsi="宋体" w:eastAsia="宋体" w:cs="宋体"/>
          <w:b/>
          <w:bCs/>
          <w:color w:val="auto"/>
          <w:sz w:val="24"/>
          <w:szCs w:val="24"/>
          <w:highlight w:val="none"/>
          <w:lang w:eastAsia="zh-CN"/>
        </w:rPr>
      </w:pPr>
    </w:p>
    <w:p w14:paraId="5BA3ACAC">
      <w:pPr>
        <w:spacing w:line="360" w:lineRule="auto"/>
        <w:ind w:firstLine="482" w:firstLineChars="200"/>
        <w:rPr>
          <w:rFonts w:hint="eastAsia" w:ascii="宋体" w:hAnsi="宋体" w:eastAsia="宋体" w:cs="宋体"/>
          <w:b/>
          <w:bCs/>
          <w:color w:val="auto"/>
          <w:sz w:val="24"/>
          <w:szCs w:val="24"/>
          <w:highlight w:val="none"/>
          <w:lang w:eastAsia="zh-CN"/>
        </w:rPr>
        <w:sectPr>
          <w:headerReference r:id="rId3" w:type="first"/>
          <w:footerReference r:id="rId5" w:type="first"/>
          <w:footerReference r:id="rId4" w:type="default"/>
          <w:pgSz w:w="11905" w:h="16838"/>
          <w:pgMar w:top="1304" w:right="1304" w:bottom="1304" w:left="1304" w:header="850" w:footer="1077" w:gutter="0"/>
          <w:pgBorders>
            <w:top w:val="none" w:sz="0" w:space="0"/>
            <w:left w:val="none" w:sz="0" w:space="0"/>
            <w:bottom w:val="none" w:sz="0" w:space="0"/>
            <w:right w:val="none" w:sz="0" w:space="0"/>
          </w:pgBorders>
          <w:pgNumType w:fmt="decimal" w:start="1"/>
          <w:cols w:space="0" w:num="1"/>
          <w:rtlGutter w:val="0"/>
          <w:docGrid w:linePitch="312" w:charSpace="0"/>
        </w:sectPr>
      </w:pPr>
    </w:p>
    <w:p w14:paraId="0E164393">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（四）技术参数</w:t>
      </w:r>
    </w:p>
    <w:tbl>
      <w:tblPr>
        <w:tblStyle w:val="4"/>
        <w:tblW w:w="141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355"/>
        <w:gridCol w:w="1405"/>
        <w:gridCol w:w="7"/>
        <w:gridCol w:w="2275"/>
        <w:gridCol w:w="1881"/>
        <w:gridCol w:w="6483"/>
      </w:tblGrid>
      <w:tr w14:paraId="21F28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4A5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891E">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模块名称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C6CB">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模块描述</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85083">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模块功能</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231">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功能点</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382B">
            <w:pPr>
              <w:keepNext w:val="0"/>
              <w:keepLines w:val="0"/>
              <w:widowControl/>
              <w:suppressLineNumbers w:val="0"/>
              <w:jc w:val="left"/>
              <w:textAlignment w:val="center"/>
              <w:rPr>
                <w:rFonts w:hint="default" w:ascii="宋体" w:hAnsi="宋体" w:eastAsia="宋体" w:cs="宋体"/>
                <w:b/>
                <w:bCs/>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功能技术要求</w:t>
            </w:r>
          </w:p>
        </w:tc>
      </w:tr>
      <w:tr w14:paraId="420DC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777" w:type="dxa"/>
            <w:tcBorders>
              <w:top w:val="single" w:color="000000" w:sz="4" w:space="0"/>
              <w:left w:val="single" w:color="000000" w:sz="4" w:space="0"/>
              <w:bottom w:val="single" w:color="000000" w:sz="4" w:space="0"/>
              <w:right w:val="nil"/>
            </w:tcBorders>
            <w:shd w:val="clear" w:color="auto" w:fill="auto"/>
            <w:vAlign w:val="center"/>
          </w:tcPr>
          <w:p w14:paraId="2A22304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13406" w:type="dxa"/>
            <w:gridSpan w:val="6"/>
            <w:tcBorders>
              <w:top w:val="single" w:color="000000" w:sz="4" w:space="0"/>
              <w:left w:val="nil"/>
              <w:bottom w:val="single" w:color="000000" w:sz="4" w:space="0"/>
              <w:right w:val="single" w:color="000000" w:sz="4" w:space="0"/>
            </w:tcBorders>
            <w:shd w:val="clear" w:color="auto" w:fill="auto"/>
            <w:vAlign w:val="center"/>
          </w:tcPr>
          <w:p w14:paraId="0A5DE7C6">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系统建设类</w:t>
            </w:r>
          </w:p>
        </w:tc>
      </w:tr>
      <w:tr w14:paraId="70FB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7109CD72">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2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37F50">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统一服务展示窗口搭建</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FA0B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7203">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8114">
            <w:pPr>
              <w:jc w:val="left"/>
              <w:rPr>
                <w:rFonts w:hint="eastAsia" w:ascii="宋体" w:hAnsi="宋体" w:eastAsia="宋体" w:cs="宋体"/>
                <w:i w:val="0"/>
                <w:iCs w:val="0"/>
                <w:color w:val="auto"/>
                <w:sz w:val="24"/>
                <w:szCs w:val="24"/>
                <w:highlight w:val="none"/>
                <w:u w:val="none"/>
              </w:rPr>
            </w:pPr>
          </w:p>
        </w:tc>
      </w:tr>
      <w:tr w14:paraId="16035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5F3695">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F8F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统一服务展示窗口搭建</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13B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建设营商统一服务展示窗口，作为对外展示、互动交流的窗口，重点展示营商政策、动态、营商和信用相关重点信息数据、典型成果案例等。</w:t>
            </w: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014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首页</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2D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EB9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包括平台成果展示、政策新闻、营商动态、用户登录等信息的展示。</w:t>
            </w:r>
          </w:p>
        </w:tc>
      </w:tr>
      <w:tr w14:paraId="10B7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9C03E8">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FC68">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7EB6D">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47D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营商表现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A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2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对接营商相关数据，通过数据、图表、文字等形式，展示营商环境指标提升成果。</w:t>
            </w:r>
          </w:p>
        </w:tc>
      </w:tr>
      <w:tr w14:paraId="0AE6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354C1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8FEC">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D33B">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01B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营商政策</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6D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60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归集、展示国家、省、市、区政策等。</w:t>
            </w:r>
          </w:p>
        </w:tc>
      </w:tr>
      <w:tr w14:paraId="6896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72132F">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89F6B">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78DB2">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75D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营商热点</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AF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D9C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展示国家、省、市、区营商环境工作新闻及动态。</w:t>
            </w:r>
          </w:p>
        </w:tc>
      </w:tr>
      <w:tr w14:paraId="6CEF3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91A77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A065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4F620">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729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互动交流</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52BB">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5C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用户可以通过该模块向平台提供对营商环境的意见反馈和改进建议，帮助政府不断优化和提升管理效能和服务质量。</w:t>
            </w:r>
          </w:p>
        </w:tc>
      </w:tr>
      <w:tr w14:paraId="3583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E26865">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01D7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90EA">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A49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办事导航</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52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65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将营商环境相关的企业线上办事事项进行归集管理，便捷企业服务。</w:t>
            </w:r>
          </w:p>
        </w:tc>
      </w:tr>
      <w:tr w14:paraId="6AA6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A98904">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219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后台管理</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979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包括内容管理、用户及权限设置、日志管理、访问量统计等功能。</w:t>
            </w: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53D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内容管理类</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E7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内容发布</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CF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配置内容标题、图文信息、置顶等内容。</w:t>
            </w:r>
          </w:p>
        </w:tc>
      </w:tr>
      <w:tr w14:paraId="1130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7455C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E41DF">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59674">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4912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63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内容修改</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32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提供全面的内容编辑功能，包括对内容名称、所属板块进行修改、文本格式化、图片编辑等。</w:t>
            </w:r>
          </w:p>
        </w:tc>
      </w:tr>
      <w:tr w14:paraId="01ED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3A7F4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EA4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213F">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D5A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E8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内容删除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17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支持一键删除指定内容，删除操作需经过多级确认，避免误删。</w:t>
            </w:r>
          </w:p>
        </w:tc>
      </w:tr>
      <w:tr w14:paraId="084F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BB118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D0D1C">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A0E7F">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CAF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7D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栏目发布</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74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栏目发布功能支持自定义栏目模板，实现个性化展示。同时，提供栏目内容分类与聚合功能，提升用户体验。支持栏目权限管理，确保不同用户只能访问其权限范围内的栏目内容。</w:t>
            </w:r>
          </w:p>
        </w:tc>
      </w:tr>
      <w:tr w14:paraId="6B09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61539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D1B7">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4830B">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8DF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87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栏目修改</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404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栏目修改功能支持全面编辑栏目信息，包括名称、描述、分类、图标等。</w:t>
            </w:r>
          </w:p>
        </w:tc>
      </w:tr>
      <w:tr w14:paraId="632E3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08B105">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139D7">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9CE4">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D91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139F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栏目删除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6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栏目删除功能需经过多级确认，避免误删。删除后，系统将自动更新相关索引和链接，确保网站结构的完整性。</w:t>
            </w:r>
          </w:p>
        </w:tc>
      </w:tr>
      <w:tr w14:paraId="2713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0D627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0C32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93D40">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46A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互动管理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CE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互动内容列表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2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提供互动内容的集中展示与管理功能。支持内容筛选、排序、搜索等操作，方便用户快速找到所需内容。</w:t>
            </w:r>
          </w:p>
        </w:tc>
      </w:tr>
      <w:tr w14:paraId="7A54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086E08">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5D9E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CD1FB">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40F4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298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互动内容详情</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502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展示企业提交的具体互动交流内容详情信息，如反馈类型、主题、内容等。</w:t>
            </w:r>
          </w:p>
        </w:tc>
      </w:tr>
      <w:tr w14:paraId="4A68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9CFE0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5A25">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6407F">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20E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9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用户创建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BE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该功能支持管理员创建新用户，并强制要求填写详细的用户信息，如登录账户、密码（支持复杂度校验）、单位名称、联系人、联系方式（支持多种格式验证）等。创建过程中，系统会进行实时数据校验，确保信息的准确性和完整性。</w:t>
            </w:r>
          </w:p>
        </w:tc>
      </w:tr>
      <w:tr w14:paraId="08C1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8232A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5F0C">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9F4A">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92DE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7E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账户信息修改</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22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对用户信息进行修改。</w:t>
            </w:r>
          </w:p>
        </w:tc>
      </w:tr>
      <w:tr w14:paraId="56D75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9FD0C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61FF7">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0910E">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52CB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285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密码重置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D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对账户密码进行重置。</w:t>
            </w:r>
          </w:p>
        </w:tc>
      </w:tr>
      <w:tr w14:paraId="078BB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9F10D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4C29">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0D3A">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641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日志管理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A0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用户访问日志</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52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系统详细记录用户的访问日志，包括登录时间、退出时间、IP地址、访问页面、操作行为等，并提供日志查询、导出和统计分析功能。</w:t>
            </w:r>
          </w:p>
        </w:tc>
      </w:tr>
      <w:tr w14:paraId="2016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240DA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73E0">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8471">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257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95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用户使用日志</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AC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监测并展示用户使用日志信息。</w:t>
            </w:r>
          </w:p>
        </w:tc>
      </w:tr>
      <w:tr w14:paraId="7072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BE4DD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0DBCE">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E84FA">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1EB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权限管理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C1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角色创建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1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创建管理员角色、职能部门角色。</w:t>
            </w:r>
          </w:p>
        </w:tc>
      </w:tr>
      <w:tr w14:paraId="1E90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3838A5">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4776">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95137">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AC9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54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权限配置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9F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对系统全部用户进行权限配置。</w:t>
            </w:r>
          </w:p>
        </w:tc>
      </w:tr>
      <w:tr w14:paraId="3AB1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6B9C3C">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379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801D3">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6037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流量统计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B3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AC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用户访问量、浏览量等多维度统计。</w:t>
            </w:r>
          </w:p>
        </w:tc>
      </w:tr>
      <w:tr w14:paraId="2035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773685">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CDC4E">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383E">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nil"/>
              <w:left w:val="nil"/>
              <w:bottom w:val="nil"/>
              <w:right w:val="nil"/>
            </w:tcBorders>
            <w:shd w:val="clear" w:color="auto" w:fill="auto"/>
            <w:vAlign w:val="center"/>
          </w:tcPr>
          <w:p w14:paraId="1B7268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E4C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部门创建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C7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按部门职能关系创建部门，方便明确部门信息及责任，以推进相关工作开展。</w:t>
            </w:r>
          </w:p>
        </w:tc>
      </w:tr>
      <w:tr w14:paraId="7689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AB950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D74F6">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F479">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nil"/>
              <w:left w:val="nil"/>
              <w:bottom w:val="nil"/>
              <w:right w:val="nil"/>
            </w:tcBorders>
            <w:shd w:val="clear" w:color="auto" w:fill="auto"/>
            <w:vAlign w:val="center"/>
          </w:tcPr>
          <w:p w14:paraId="094CB03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7A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部门删除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26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删除已创建的部门信息。</w:t>
            </w:r>
          </w:p>
        </w:tc>
      </w:tr>
      <w:tr w14:paraId="3E74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5D1F0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07FB">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AD32A">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nil"/>
              <w:left w:val="nil"/>
              <w:bottom w:val="nil"/>
              <w:right w:val="nil"/>
            </w:tcBorders>
            <w:shd w:val="clear" w:color="auto" w:fill="auto"/>
            <w:vAlign w:val="center"/>
          </w:tcPr>
          <w:p w14:paraId="3ACA9C6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3D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部门编辑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86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编辑已保存的部门信息。</w:t>
            </w:r>
          </w:p>
        </w:tc>
      </w:tr>
      <w:tr w14:paraId="7291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2135F62D">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C8A84C">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营商环境评价分析模块</w:t>
            </w:r>
          </w:p>
        </w:tc>
      </w:tr>
      <w:tr w14:paraId="6899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C9140A4">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289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营商环境评价分析模块</w:t>
            </w:r>
          </w:p>
        </w:tc>
        <w:tc>
          <w:tcPr>
            <w:tcW w:w="1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8E9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营商环境数据归集。支持以系统对接、企业联合填报方式，面向各区直单位和企业归集营商环境核心指标的数据信息。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采集的数据项需大量需求分析过程，依据指标来设计采集模板，需要大量系统录入和处理工作。</w:t>
            </w: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BE8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3F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33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数据采集结果统计，包括数据关联指标、已报送部门、未报送部门等指标。</w:t>
            </w:r>
          </w:p>
        </w:tc>
      </w:tr>
      <w:tr w14:paraId="1FA2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94026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8E4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B2839">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14D3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A8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数据筛选</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73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支持按年度、类型等多维度筛选数据采集结果。</w:t>
            </w:r>
          </w:p>
        </w:tc>
      </w:tr>
      <w:tr w14:paraId="44E9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BA4F9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3EB4">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83F28">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944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采集模板定制化开发</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41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模板定制化开发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43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郑东新区营商环境进行走访调研，并结合实际梳理情况，设计郑东新区自评数据采集模板，并进行定制化开发。模板内容包括指标信息、关联问题、模板编号等，同时区分政府部门/企业两种大类，涵盖三级指标及多类问题。</w:t>
            </w:r>
          </w:p>
        </w:tc>
      </w:tr>
      <w:tr w14:paraId="2F08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32E4C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BF0A">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679A5">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2C2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56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采集模板组件</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E3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集模板应支持单选题、多选题、单选+填空、多选+填空、矩阵单选题、矩阵多选题、填空题、问答题、排序题、多媒体题（文字、图片、音频、视频）等题型，以及多媒体题型与上述所有题目的混排。选项不仅是文字，还支持图片等多媒体格式。</w:t>
            </w:r>
          </w:p>
        </w:tc>
      </w:tr>
      <w:tr w14:paraId="731A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5ACE0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AE66">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4E0B">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DAB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CB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模板列表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26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汇总展示模板信息，支持条件搜索、支持按指标、部门进行筛选。</w:t>
            </w:r>
          </w:p>
        </w:tc>
      </w:tr>
      <w:tr w14:paraId="3BBE9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8F1D2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88DC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9A138">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C89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A9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状态管理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1C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用户对拥有权限的模板可以将状态由“未启用”通过发布项目变为“进行中”；在模板使用执行过程中将模板状态更改为“已暂停”或“已结束”。未处于“进行中”状态的问卷，用户访问后无法答题，并获得相应的提示。</w:t>
            </w:r>
          </w:p>
        </w:tc>
      </w:tr>
      <w:tr w14:paraId="16987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30B84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9DD2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BE71F">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F8F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部门数据直报及报送</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62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填报任务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4A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展示部门所需的填报任务，包括时间、指标、提交时间、点击填报等信息和操作。</w:t>
            </w:r>
          </w:p>
        </w:tc>
      </w:tr>
      <w:tr w14:paraId="017B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E2DD3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1234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BA09E">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E251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5D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数据填写</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F8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支持各业务部门按照主管单位的不同要求，完成营商相应采集模板的数据填报，用户根据模板中的指标项逐一进行数据录入。系统支持多种题型的数据录入，包括单选题、多选题、单选+填空以及多选+填空等，满足不同场景下的数据录入需求。</w:t>
            </w:r>
          </w:p>
        </w:tc>
      </w:tr>
      <w:tr w14:paraId="0B39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C9D9C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A57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587C">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A81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52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数据校验</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F8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针对每一级指标及问题，设置校验逻辑，包括但不限于数据的格式、内容及缺失情况等。</w:t>
            </w:r>
          </w:p>
        </w:tc>
      </w:tr>
      <w:tr w14:paraId="6C5D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40156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5550">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B0AF3">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8712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DCD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文件上传</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983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支持图片、PDF、WORD、EXCEL等多类型文件上传，支持3M以下。</w:t>
            </w:r>
          </w:p>
        </w:tc>
      </w:tr>
      <w:tr w14:paraId="5AF8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E217C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3500A">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4F40">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3D1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86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数据复用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A8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关联历史数据，一键复用填写。</w:t>
            </w:r>
          </w:p>
        </w:tc>
      </w:tr>
      <w:tr w14:paraId="1250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2D90E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0C8E">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115A">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D39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4E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数据暂存</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B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支持营商环境信息填写数据暂存，支持未提交状态下的后续修改。</w:t>
            </w:r>
          </w:p>
        </w:tc>
      </w:tr>
      <w:tr w14:paraId="413D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280BA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1AC0B">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C44A">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E5179">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78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数据提交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17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将填写的营商环境数据提交至后台进行加工、逻辑处理和存储。</w:t>
            </w:r>
          </w:p>
        </w:tc>
      </w:tr>
      <w:tr w14:paraId="0F8D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CAA52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48A4">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71AFD">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07F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C2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主账号填报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D8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各一级指标牵头单位基于各配合单位所报送的数据结果，对归口营商指标数据做最终的结果确认和提交，该内容将作为最终参与营商环境自评得分计算的基础数据。</w:t>
            </w:r>
          </w:p>
        </w:tc>
      </w:tr>
      <w:tr w14:paraId="11E0D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4F217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7835">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42607">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D75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A3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催报及催报通知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0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催促未报送部门；展示本部门所接收到的数据催报通知。</w:t>
            </w:r>
          </w:p>
        </w:tc>
      </w:tr>
      <w:tr w14:paraId="30C5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E21F18">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8FBF">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BFF2">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E9BE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8C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催报处理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76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针对催报事项，关联反馈被催报原因及处理结果。</w:t>
            </w:r>
          </w:p>
        </w:tc>
      </w:tr>
      <w:tr w14:paraId="0685B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7C904C">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D618C">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879EC">
            <w:pPr>
              <w:jc w:val="left"/>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61F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系统对接采集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5B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1B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开发数据采集接口，支持部门（市场监督、金融监管等）进行系统对接。对接接口数量不低于20个，包括但不限于获得信贷、企业开办、企业登记、水、电、人口等相关数据。</w:t>
            </w:r>
          </w:p>
        </w:tc>
      </w:tr>
      <w:tr w14:paraId="5F4A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A235CC">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18F0F">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95CD1">
            <w:pPr>
              <w:jc w:val="left"/>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521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企业联合填报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58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问卷添加</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A9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导入企业联合填报电子问卷相关信息，包括填报列表、详情页面。</w:t>
            </w:r>
          </w:p>
        </w:tc>
      </w:tr>
      <w:tr w14:paraId="25D8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F2CEE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C2B87">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1A2E">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D36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5A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填报状态跟踪</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1E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可实时查看填报人数、填报状态等。</w:t>
            </w:r>
          </w:p>
        </w:tc>
      </w:tr>
      <w:tr w14:paraId="46DB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24B67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435B">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36FFC">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3FB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19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填报数据处理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E9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将问卷收集的数据进行标准化处理，将数据动态同步至系统，自动化完成收集数据与系统中营商环境指标的关联和计算。</w:t>
            </w:r>
          </w:p>
        </w:tc>
      </w:tr>
      <w:tr w14:paraId="66B3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1A0FB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2DF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B5BE">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B1CE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BE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填报企业统计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10D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对填报企业进行多维度统计、分析和展示，包括企业行业统计、企业类型分布等。</w:t>
            </w:r>
          </w:p>
        </w:tc>
      </w:tr>
      <w:tr w14:paraId="259B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4DB92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A2B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D98BC">
            <w:pPr>
              <w:jc w:val="left"/>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269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52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填报指标统计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C2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指标数据统计时间、程序、效率相关的中位数、平均值、最大数、最小值统计等。</w:t>
            </w:r>
          </w:p>
        </w:tc>
      </w:tr>
      <w:tr w14:paraId="1761C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DE061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024C">
            <w:pPr>
              <w:jc w:val="left"/>
              <w:rPr>
                <w:rFonts w:hint="eastAsia" w:ascii="宋体" w:hAnsi="宋体" w:eastAsia="宋体" w:cs="宋体"/>
                <w:i w:val="0"/>
                <w:iCs w:val="0"/>
                <w:color w:val="auto"/>
                <w:sz w:val="24"/>
                <w:szCs w:val="24"/>
                <w:highlight w:val="none"/>
                <w:u w:val="none"/>
              </w:rPr>
            </w:pPr>
          </w:p>
        </w:tc>
        <w:tc>
          <w:tcPr>
            <w:tcW w:w="1405" w:type="dxa"/>
            <w:vMerge w:val="restart"/>
            <w:tcBorders>
              <w:top w:val="single" w:color="000000" w:sz="4" w:space="0"/>
              <w:left w:val="single" w:color="000000" w:sz="4" w:space="0"/>
              <w:bottom w:val="single" w:color="000000" w:sz="4" w:space="0"/>
              <w:right w:val="nil"/>
            </w:tcBorders>
            <w:shd w:val="clear" w:color="auto" w:fill="auto"/>
            <w:vAlign w:val="center"/>
          </w:tcPr>
          <w:p w14:paraId="1B7279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营商环境评价。根据省营商环境评价指标现状，结合东区实际设置营商环境评价模型，定期自评郑东新区营商环境情况，反应各指标责任单位工作开展情况。</w:t>
            </w: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B68F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首页</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2F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多维度筛选</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C7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支持多维度筛选，关联展示不同维度的营商环境综合结果信息。</w:t>
            </w:r>
          </w:p>
        </w:tc>
      </w:tr>
      <w:tr w14:paraId="02D5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E3BDFC">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6F3A">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519BFB2">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C570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38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自评得分展示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EA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展示郑东新区营商环境自评结果总体得分情况。</w:t>
            </w:r>
          </w:p>
        </w:tc>
      </w:tr>
      <w:tr w14:paraId="78EA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2FCC2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33576">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30BE9494">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8345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FCE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自评指标得分展示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16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支持按指标筛选，通过表格及雷达图进行一级指标及特色指标得分情况展示。</w:t>
            </w:r>
          </w:p>
        </w:tc>
      </w:tr>
      <w:tr w14:paraId="30B2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0D3D6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03E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EB11D22">
            <w:pPr>
              <w:jc w:val="center"/>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B7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营商指标</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4E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梳理及构建指标库</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B5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河南省及郑州市营商环境要求，调研并梳理郑东新区营商环境的二级、三级自评指标。结合郑东新区实际情况，确保指标体系的科学性和实用性。构建树形结构指标库，展示各级指标之间的层级关系和逻辑关系，并提供指标库的动态更新和维护功能，确保指标体系的时效性和准确性。</w:t>
            </w:r>
          </w:p>
        </w:tc>
      </w:tr>
      <w:tr w14:paraId="1826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2D3F5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C43D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146D7EFC">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024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53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问题关联展示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C7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依照数据采集模板指标关联设定，展示三级指标关联问题。</w:t>
            </w:r>
          </w:p>
        </w:tc>
      </w:tr>
      <w:tr w14:paraId="5F26D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984DF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4CA4">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3D2CA371">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12A5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45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模型添加</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BD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世行、国家发改委、省、市等营商环境文件进行梳理，在营商环境各项要求的基础上，支持逐层级设定指标的权重和计算逻辑，确保评价结果的客观性和公正性。支持计算公式的灵活配置，用户可以根据自己的需求自定义计算公式，以满足不同场景下的评价需求。</w:t>
            </w:r>
          </w:p>
        </w:tc>
      </w:tr>
      <w:tr w14:paraId="162B6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C63F9F">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6BFE6">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148C7FF0">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2D20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E2A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计算工具定制化开发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B76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满足复杂计算需求，定制化开发实现各类计算公式和计算工具，不仅包括基础的加减乘除运算，还包括归一化、平均值等高级计算功能。支持根据指标的层级关系和计算逻辑，构建指标父级、子级的计算关系和逻辑，确保计算结果的准确性和一致性。</w:t>
            </w:r>
          </w:p>
        </w:tc>
      </w:tr>
      <w:tr w14:paraId="27006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C5B9DC">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3341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12A3DFCA">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83B7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0F9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模型版本管理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AA2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了便于历史数据的归档和结果留存，支持定制开发模型版本管理功能，记录每个版本的版本号、指标、计算模型及状态等信息，便于用户随时查看和比较不同版本之间的差异。以提高数据的可追溯性和可靠性，为用户提供灵活性和便捷性的操作。</w:t>
            </w:r>
          </w:p>
        </w:tc>
      </w:tr>
      <w:tr w14:paraId="1DDE5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AB000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30C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2F722AF">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4A49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43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模型关联展示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5B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树形展示一级、二级、三级指标及指标向下关联的问题和计算公式，支持一级、二级、三级、问题、计算公式的隐藏、收缩的前端展示。</w:t>
            </w:r>
          </w:p>
        </w:tc>
      </w:tr>
      <w:tr w14:paraId="6205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375C55">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EC6F">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5AAC95BF">
            <w:pPr>
              <w:jc w:val="center"/>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EAD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营商环境报告</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07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报告列表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04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按数据时间等维度，展示对应报告名称、时间等信息。</w:t>
            </w:r>
          </w:p>
        </w:tc>
      </w:tr>
      <w:tr w14:paraId="715B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3AE81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C7D8">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A56BD2D">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D78B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E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报告详情</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68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报告包括总体水平、单项指标得分情况、特色指标得分、优秀指标得分、预警指标等模块。</w:t>
            </w:r>
          </w:p>
        </w:tc>
      </w:tr>
      <w:tr w14:paraId="2C3C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CBE04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808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A29DFF1">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557A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CB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报告引擎</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0B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系统可自动调取营商环境评估数据，归集、清洗数据，根据营商环境分析结果，生成该时间范围内的本地分析报告，包括数据整理、模型调用、模型计算及标准化文本生成等。</w:t>
            </w:r>
          </w:p>
        </w:tc>
      </w:tr>
      <w:tr w14:paraId="3E2D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14084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2A74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774193D7">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0923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6A6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报告权限管理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11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可指定用户进行查看，五查看权限的用户无法查看报告。</w:t>
            </w:r>
          </w:p>
        </w:tc>
      </w:tr>
      <w:tr w14:paraId="7663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E82E7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2D1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5C1FFD9E">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D36E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8E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报告权限申请</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85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用户可申请查阅报告。</w:t>
            </w:r>
          </w:p>
        </w:tc>
      </w:tr>
      <w:tr w14:paraId="2422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199A6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B762">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6FABDD1">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2FF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92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报告权限申请处理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B0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管理员可对报告查阅申请进行通过、拒绝处理。</w:t>
            </w:r>
          </w:p>
        </w:tc>
      </w:tr>
      <w:tr w14:paraId="269B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15640F">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8B15">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E53B2A6">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DB05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D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报告导出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C7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支持PDF等格式的报告导出。</w:t>
            </w:r>
          </w:p>
        </w:tc>
      </w:tr>
      <w:tr w14:paraId="39400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5E302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C2CC">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15BA04A9">
            <w:pPr>
              <w:jc w:val="center"/>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628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预警管理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D9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条件筛选</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7B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支持按预警数据集、预警类别、预警指标、预警级别、关联单位进行筛选。</w:t>
            </w:r>
          </w:p>
        </w:tc>
      </w:tr>
      <w:tr w14:paraId="7EF3C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335746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37AD">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6A56CEB0">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E8FF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EF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预警信息列表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86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汇总展示预警信息，展示字段包括预警数据集、预警类别、预警指标、预警级别、关联单位、查看。</w:t>
            </w:r>
          </w:p>
        </w:tc>
      </w:tr>
      <w:tr w14:paraId="69CB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80C3C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9A65">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54CFFE32">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B1E9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D11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预警信息详情</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CA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对预警信息进行详细风险展示。</w:t>
            </w:r>
          </w:p>
        </w:tc>
      </w:tr>
      <w:tr w14:paraId="3555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28299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D2DA">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530C9DD8">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38B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7D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预警模型配置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2A7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根据用户需求内置各类预警触发公式，包含“加、减、乘、除、大于、小于等”。预警条件支持灵活进行配置调整，包括预警名称、预警级别、预警关联单位等配置内容。</w:t>
            </w:r>
          </w:p>
        </w:tc>
      </w:tr>
      <w:tr w14:paraId="78FB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1B5B5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81F40">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B55E9FE">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CA0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E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风险级别配置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8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结合郑东新区营商环境自评结果，梳理高、中、低风险指标，同时针对预警指标设置不同预警阈值。</w:t>
            </w:r>
          </w:p>
        </w:tc>
      </w:tr>
      <w:tr w14:paraId="3E25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A162A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3810">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47A62F8">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978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58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预警数据关联</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0E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将预警模型与系统数据通过预警算法逻辑定向匹配。</w:t>
            </w:r>
          </w:p>
        </w:tc>
      </w:tr>
      <w:tr w14:paraId="7AEA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CA704E">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F5097">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131C54E5">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3F2D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83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定时任务管理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48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依据营商环境重点监测数据，可配置定时或实时任务，针对选定指标进行跑批监测。</w:t>
            </w:r>
          </w:p>
        </w:tc>
      </w:tr>
      <w:tr w14:paraId="108F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A2402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B791">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0B440A3">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EA7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016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9F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以站内通知形式第一时间推送预警触发信息。</w:t>
            </w:r>
          </w:p>
        </w:tc>
      </w:tr>
      <w:tr w14:paraId="157A7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86458C">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45D9F">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68688ED">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135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C2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风险追踪</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17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依据风险指标跑批监测结果，对已提示的风险指标进行状态跟踪，并依据风险关联部门反馈，进行已处理/未处理状态提示。</w:t>
            </w:r>
          </w:p>
        </w:tc>
      </w:tr>
      <w:tr w14:paraId="13164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0FB1B2">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38C6">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674297B">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DC4D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4E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风险指标反馈</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25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风险关联部门依据风险提示内容，可进行风险信息处理信息录入及证明材料上传，支持excel、word等多种文件格式。</w:t>
            </w:r>
          </w:p>
        </w:tc>
      </w:tr>
      <w:tr w14:paraId="1B91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9EF64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6A423">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09E1E95C">
            <w:pPr>
              <w:jc w:val="center"/>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C32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世行案例管理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AE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先进表现模版</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5D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支持设置世行先进表现模板，用户可将世行历年单项指标排名第一的经济体的表现作为优秀案例。</w:t>
            </w:r>
          </w:p>
        </w:tc>
      </w:tr>
      <w:tr w14:paraId="2353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CDD67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17535">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7E57A8F9">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89B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598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内容编辑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0D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基于系统设置的先进表现模版编辑世行先进案例内容。</w:t>
            </w:r>
          </w:p>
        </w:tc>
      </w:tr>
      <w:tr w14:paraId="12A75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9E93C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5F87">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0D761CBC">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ADC1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D2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案例发布</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3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发布世行先进表现内容，发布后的先进表现同时展示在分析评价模块和世行案例模块，便于为用户提供参考。</w:t>
            </w:r>
          </w:p>
        </w:tc>
      </w:tr>
      <w:tr w14:paraId="6B72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6B647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E11F">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75DED19">
            <w:pPr>
              <w:jc w:val="center"/>
              <w:rPr>
                <w:rFonts w:hint="eastAsia" w:ascii="宋体" w:hAnsi="宋体" w:eastAsia="宋体" w:cs="宋体"/>
                <w:i w:val="0"/>
                <w:iCs w:val="0"/>
                <w:color w:val="auto"/>
                <w:sz w:val="24"/>
                <w:szCs w:val="24"/>
                <w:highlight w:val="none"/>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12C7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世行数据主题库</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EAB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世行主题数据创建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A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行数据为世界银行官方发布的历年度数据汇总，包含190个经济体在10大主题指标当中自2012年起的年度数据（2012年之后主题指标稳定为10个）。世行数据将在系统建设时，内置于系统数据库中，并于后期世行每年度发布最新报告及数据后进行维护更新并展示到系统世行主题库中，根据往年数据，具体数据内容包括：时间、经济体名称、总分、总排名、各主题指标的得分及排名、以及各主题指标项下的细分指标的数据表现。</w:t>
            </w:r>
          </w:p>
        </w:tc>
      </w:tr>
      <w:tr w14:paraId="55284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1"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A9EA8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89F61">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2F482394">
            <w:pPr>
              <w:jc w:val="center"/>
              <w:rPr>
                <w:rFonts w:hint="eastAsia" w:ascii="宋体" w:hAnsi="宋体" w:eastAsia="宋体" w:cs="宋体"/>
                <w:i w:val="0"/>
                <w:iCs w:val="0"/>
                <w:color w:val="auto"/>
                <w:sz w:val="24"/>
                <w:szCs w:val="24"/>
                <w:highlight w:val="none"/>
                <w:u w:val="none"/>
              </w:rPr>
            </w:pPr>
          </w:p>
        </w:tc>
        <w:tc>
          <w:tcPr>
            <w:tcW w:w="2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32A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对标分析</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1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横向对标</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65B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主要用于与其它经济体或城市进行对标，以寻找差距。可与世行190个经济体进行横向比较，捕捉本区域与世界经济体间在商业政策、法律、制度环境及执行能力的差异。 </w:t>
            </w:r>
          </w:p>
        </w:tc>
      </w:tr>
      <w:tr w14:paraId="45BE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917C1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DA101">
            <w:pPr>
              <w:jc w:val="left"/>
              <w:rPr>
                <w:rFonts w:hint="eastAsia" w:ascii="宋体" w:hAnsi="宋体" w:eastAsia="宋体" w:cs="宋体"/>
                <w:i w:val="0"/>
                <w:iCs w:val="0"/>
                <w:color w:val="auto"/>
                <w:sz w:val="24"/>
                <w:szCs w:val="24"/>
                <w:highlight w:val="none"/>
                <w:u w:val="none"/>
              </w:rPr>
            </w:pPr>
          </w:p>
        </w:tc>
        <w:tc>
          <w:tcPr>
            <w:tcW w:w="1405" w:type="dxa"/>
            <w:vMerge w:val="continue"/>
            <w:tcBorders>
              <w:top w:val="single" w:color="000000" w:sz="4" w:space="0"/>
              <w:left w:val="single" w:color="000000" w:sz="4" w:space="0"/>
              <w:bottom w:val="single" w:color="000000" w:sz="4" w:space="0"/>
              <w:right w:val="nil"/>
            </w:tcBorders>
            <w:shd w:val="clear" w:color="auto" w:fill="auto"/>
            <w:vAlign w:val="center"/>
          </w:tcPr>
          <w:p w14:paraId="4C16A38E">
            <w:pPr>
              <w:jc w:val="center"/>
              <w:rPr>
                <w:rFonts w:hint="eastAsia" w:ascii="宋体" w:hAnsi="宋体" w:eastAsia="宋体" w:cs="宋体"/>
                <w:i w:val="0"/>
                <w:iCs w:val="0"/>
                <w:color w:val="auto"/>
                <w:sz w:val="24"/>
                <w:szCs w:val="24"/>
                <w:highlight w:val="none"/>
                <w:u w:val="none"/>
              </w:rPr>
            </w:pPr>
          </w:p>
        </w:tc>
        <w:tc>
          <w:tcPr>
            <w:tcW w:w="2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8DEA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0A4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纵向对标</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9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要用于观测自身表现变化趋势，以及时调整政策方向。可将本地在不同时间周期中的指标数据及得分情况进行纵向比较，掌握各指标表现的历史变化轨迹，结合实际的服务及政策变化，进一步分析判断相关政策应用的作用成效。</w:t>
            </w:r>
          </w:p>
        </w:tc>
      </w:tr>
      <w:tr w14:paraId="73FD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EC7B9F">
            <w:pPr>
              <w:jc w:val="left"/>
              <w:rPr>
                <w:rFonts w:hint="eastAsia" w:ascii="宋体" w:hAnsi="宋体" w:eastAsia="宋体" w:cs="宋体"/>
                <w:i w:val="0"/>
                <w:iCs w:val="0"/>
                <w:color w:val="auto"/>
                <w:sz w:val="24"/>
                <w:szCs w:val="24"/>
                <w:highlight w:val="none"/>
                <w:u w:val="none"/>
              </w:rPr>
            </w:pPr>
          </w:p>
        </w:tc>
        <w:tc>
          <w:tcPr>
            <w:tcW w:w="1355" w:type="dxa"/>
            <w:tcBorders>
              <w:top w:val="single" w:color="000000" w:sz="4" w:space="0"/>
              <w:left w:val="single" w:color="000000" w:sz="4" w:space="0"/>
              <w:right w:val="single" w:color="000000" w:sz="4" w:space="0"/>
            </w:tcBorders>
            <w:shd w:val="clear" w:color="auto" w:fill="auto"/>
            <w:vAlign w:val="center"/>
          </w:tcPr>
          <w:p w14:paraId="72032B69">
            <w:pPr>
              <w:keepNext w:val="0"/>
              <w:keepLines w:val="0"/>
              <w:widowControl/>
              <w:suppressLineNumbers w:val="0"/>
              <w:jc w:val="left"/>
              <w:textAlignment w:val="center"/>
              <w:rPr>
                <w:rFonts w:hint="eastAsia" w:ascii="宋体" w:hAnsi="宋体" w:eastAsia="宋体" w:cs="宋体"/>
                <w:b/>
                <w:bCs/>
                <w:i w:val="0"/>
                <w:iCs w:val="0"/>
                <w:color w:val="auto"/>
                <w:sz w:val="24"/>
                <w:szCs w:val="24"/>
                <w:highlight w:val="none"/>
                <w:u w:val="none"/>
              </w:rPr>
            </w:pPr>
          </w:p>
        </w:tc>
        <w:tc>
          <w:tcPr>
            <w:tcW w:w="120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C4B9B8">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营商环境成果可视化</w:t>
            </w:r>
          </w:p>
        </w:tc>
      </w:tr>
      <w:tr w14:paraId="1015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D369F4">
            <w:pPr>
              <w:jc w:val="left"/>
              <w:rPr>
                <w:rFonts w:hint="eastAsia" w:ascii="宋体" w:hAnsi="宋体" w:eastAsia="宋体" w:cs="宋体"/>
                <w:i w:val="0"/>
                <w:iCs w:val="0"/>
                <w:color w:val="auto"/>
                <w:sz w:val="24"/>
                <w:szCs w:val="24"/>
                <w:highlight w:val="none"/>
                <w:u w:val="none"/>
              </w:rPr>
            </w:pP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31CF5C7C">
            <w:pPr>
              <w:jc w:val="left"/>
              <w:rPr>
                <w:rFonts w:hint="eastAsia" w:ascii="宋体" w:hAnsi="宋体" w:eastAsia="宋体" w:cs="宋体"/>
                <w:i w:val="0"/>
                <w:iCs w:val="0"/>
                <w:color w:val="auto"/>
                <w:sz w:val="24"/>
                <w:szCs w:val="24"/>
                <w:highlight w:val="none"/>
                <w:u w:val="none"/>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D53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营商环境成果展示（数据来源主要为：系统直接录入、与相关系统数据对接、基于原始数据的加工统计等）</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27E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发展表现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1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人口统计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4C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展示郑东新区人口数量、人口增长比率、人口数量折线图。</w:t>
            </w:r>
          </w:p>
        </w:tc>
      </w:tr>
      <w:tr w14:paraId="7D4C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51BEC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9B2B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CA6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1719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F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公共服务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35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展示郑东新区教育机构、医疗机构数量及走势折线图。</w:t>
            </w:r>
          </w:p>
        </w:tc>
      </w:tr>
      <w:tr w14:paraId="5C6BD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110D79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2FF2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50E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E29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B1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经济运行</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91C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展示郑东新区经济总量、产业增加值等指标。</w:t>
            </w:r>
          </w:p>
        </w:tc>
      </w:tr>
      <w:tr w14:paraId="68C3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BA531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AB6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E25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39D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DC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企业数量</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F7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企业总数、高新技术企业数量、特色产业企业数量及走势。</w:t>
            </w:r>
          </w:p>
        </w:tc>
      </w:tr>
      <w:tr w14:paraId="5C9C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E60BE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A63A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3F4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6907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F9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人才数量</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B6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展示高层次人才及产业人才就业及数量信息。</w:t>
            </w:r>
          </w:p>
        </w:tc>
      </w:tr>
      <w:tr w14:paraId="070C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51FB38">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A86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4ABC8">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66C8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A5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优秀案例对比</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AD2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对标国内优秀案例，展示郑东新区相关指标对比情况。</w:t>
            </w:r>
          </w:p>
        </w:tc>
      </w:tr>
      <w:tr w14:paraId="6701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3C9F5D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D94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EE63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6A5D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B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整体得分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94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郑东新区营商环境整体得分及走势图。</w:t>
            </w:r>
          </w:p>
        </w:tc>
      </w:tr>
      <w:tr w14:paraId="7926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932862">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937E">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1CD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98C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D0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指标得分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A5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一级指标得分及走势图。</w:t>
            </w:r>
          </w:p>
        </w:tc>
      </w:tr>
      <w:tr w14:paraId="10DC8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B1ACA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E619">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3BC3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403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0E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政务环境</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2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展示郑东新区优秀指标中政务服务优秀数据。</w:t>
            </w:r>
          </w:p>
        </w:tc>
      </w:tr>
      <w:tr w14:paraId="06691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3582FA">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FF7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8E5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CF2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05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信用创新</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FA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展示信用网格、信用楼宇相关分布及统计信息。</w:t>
            </w:r>
          </w:p>
        </w:tc>
      </w:tr>
      <w:tr w14:paraId="0E33A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B8981E">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217C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F9A8">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CDA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投资环境</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13C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产业项目投资</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ED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按郑东新区支柱产业进行投资占比展示。</w:t>
            </w:r>
          </w:p>
        </w:tc>
      </w:tr>
      <w:tr w14:paraId="68D35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46676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A6A4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9E3D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EEC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FE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财政扶持政策</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B70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展示财政资金扶持政策。</w:t>
            </w:r>
          </w:p>
        </w:tc>
      </w:tr>
      <w:tr w14:paraId="3F3D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63986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14B7E">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BEC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A249">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19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项目投资统计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51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包括项目总数、签约数、投资额等。</w:t>
            </w:r>
          </w:p>
        </w:tc>
      </w:tr>
      <w:tr w14:paraId="7F9E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81E8F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0F91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DBCB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49B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F9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最新签约项目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0B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包括项目名称、投资额、签约时间等</w:t>
            </w:r>
          </w:p>
        </w:tc>
      </w:tr>
      <w:tr w14:paraId="33CB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D18970">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EEE0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328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09C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C8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固定投资分析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77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按国有、民营、港澳台及外商投资占比进行展示分析</w:t>
            </w:r>
          </w:p>
        </w:tc>
      </w:tr>
      <w:tr w14:paraId="79D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797A0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48A3">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D5DC">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4B5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营商地图</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6CC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线上服务事项</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9E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轮播展示营商环境线上服务事项</w:t>
            </w:r>
          </w:p>
        </w:tc>
      </w:tr>
      <w:tr w14:paraId="7879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679F3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926D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7C41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776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5C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营商环境政策</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F2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轮播展示营商环境相关政策</w:t>
            </w:r>
          </w:p>
        </w:tc>
      </w:tr>
      <w:tr w14:paraId="5F59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252093">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6D49">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A54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EBC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B8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金融服务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D7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展示企业融资产品数量及名称</w:t>
            </w:r>
          </w:p>
        </w:tc>
      </w:tr>
      <w:tr w14:paraId="35F4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BDDE42">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80B2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B952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5FE1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AB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公共资源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12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展示医疗及教育资源数量</w:t>
            </w:r>
          </w:p>
        </w:tc>
      </w:tr>
      <w:tr w14:paraId="3ADD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715AF9">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DD16E">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5E90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F3D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ED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产业地图</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FD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展示产业政策、产业分布、重点项目、明星企业等相关数据</w:t>
            </w:r>
          </w:p>
        </w:tc>
      </w:tr>
      <w:tr w14:paraId="4BB9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4F5857D0">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8875CE">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企业满意度调查模块</w:t>
            </w:r>
          </w:p>
        </w:tc>
      </w:tr>
      <w:tr w14:paraId="0E3C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4F79AE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DAC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企业满意度调查模块</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54B9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以营商环境各指标项为基础，以多种类型线上电子问卷形式收集企业及满意度数据，根据采集的企业满意度问卷调查数据，对结果进行多维度分析（得分趋势、行业评分趋势、企业类型评分趋势）。</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C1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问卷列表</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35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79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汇总展示满意度问卷列表</w:t>
            </w:r>
          </w:p>
        </w:tc>
      </w:tr>
      <w:tr w14:paraId="4728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CBC7D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A62C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84D2E">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82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问卷定制化开发</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546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25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专业、深入的营商环境调研、梳理和分析，精准定位满意度调查问卷的核心内容，并在此基础上进行问卷的定制化开发，开发充分考虑问卷界面和数据字段的设计、数据收集与处理功能的实现等，以满足客户对问卷外观、交互性和数据收集效率成效等方面的个性化需求。当年定制数量不低于4次</w:t>
            </w:r>
          </w:p>
        </w:tc>
      </w:tr>
      <w:tr w14:paraId="3C6E8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E524B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14CA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8B3A">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47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问卷发布</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15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C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输入问卷名称、关联指标、配置线上访问方式，包括但不限于二维码、网址链接等</w:t>
            </w:r>
          </w:p>
        </w:tc>
      </w:tr>
      <w:tr w14:paraId="6F99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B7FE7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9A0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BB0E">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21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问卷统计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298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29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依据用户的企业类型、行业分布进行数量统计；针对问卷中的指标进行计算统计，包括指标得分最大值、最小值、中位数、平均值等指标</w:t>
            </w:r>
          </w:p>
        </w:tc>
      </w:tr>
      <w:tr w14:paraId="4D191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260E0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C7D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D995">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2F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数据分析处理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D1BC">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65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结合营商环境自评指标，对企业填报数据进行分析处理，包括标准化处理、模型计算等，并将指标得分或指标表现情况与系统指标进行报表、图表等多种形式展示</w:t>
            </w:r>
          </w:p>
        </w:tc>
      </w:tr>
      <w:tr w14:paraId="22F6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8184D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D8C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8E4DB">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957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问卷渠道管理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DD6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BC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依据调研指标所关联渠道，录入相关渠道信息，并配置相关问卷分发权限</w:t>
            </w:r>
          </w:p>
        </w:tc>
      </w:tr>
      <w:tr w14:paraId="2A7F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C8E8B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819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A219">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F8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问卷渠道统计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A14F">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A9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为有效监测问卷数据采集数量及质量，支持该渠道答题数量、完成度、触达数量等相关信息的统计，并通过报表展示</w:t>
            </w:r>
          </w:p>
        </w:tc>
      </w:tr>
      <w:tr w14:paraId="061BC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11A19690">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3AFAF8">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营商环境任务调度模块</w:t>
            </w:r>
          </w:p>
        </w:tc>
      </w:tr>
      <w:tr w14:paraId="3F8C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0E72A1">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B3EA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营商环境任务调度模块</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8B7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任务分配和调度。由营商环境主管部门使用，将国家、省、市营商环境整改提升任务细化分解，明确责任部门和配合部门，将工作通过系统向各执行单位派发，跟踪任务进度，汇总完成情况，确保任务高效推进。</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E215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数据总览</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90E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总体进度</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873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按任务发布总数、完成数量、未完成数量、完成率进行展示</w:t>
            </w:r>
          </w:p>
        </w:tc>
      </w:tr>
      <w:tr w14:paraId="2301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7FDCE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DA50D">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9C8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71A3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D6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指标进度</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163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按任务所属指标展示任务总数、完成率、完成数量、未完成数量</w:t>
            </w:r>
          </w:p>
        </w:tc>
      </w:tr>
      <w:tr w14:paraId="5497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F6A24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DDC2">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B06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4DA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0D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部门进度</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0F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按任务关联部门，展示部门任务总数、完成率、完成数量、未完成数量</w:t>
            </w:r>
          </w:p>
        </w:tc>
      </w:tr>
      <w:tr w14:paraId="54D1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0AD53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EE2A">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3B00B">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C78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2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任务定制化开发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D0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结合营商环境整体工作要求，梳理制定营商环境工作任务，任务类型包括但不限于限期整改型、数据追踪型、问题反馈型等，并进行定制化开发。</w:t>
            </w:r>
          </w:p>
        </w:tc>
      </w:tr>
      <w:tr w14:paraId="5506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07591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DF70C">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38B0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16F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4D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任务关联</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EE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针对客户实际权责清单情况进行梳理后，将任务与部门进行关联，可配置任务的主要牵头部门和配合部门</w:t>
            </w:r>
          </w:p>
        </w:tc>
      </w:tr>
      <w:tr w14:paraId="1492D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4DAA8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07F5">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2A48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6799">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9B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任务详情</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2F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查看任务进度、关联部门、部门填报数据展示等</w:t>
            </w:r>
          </w:p>
        </w:tc>
      </w:tr>
      <w:tr w14:paraId="0972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E5578C">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9639">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E8EE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0FD3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9E3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任务筛选</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8E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支持按完成清理、关联部门、关联指标等进行筛选</w:t>
            </w:r>
          </w:p>
        </w:tc>
      </w:tr>
      <w:tr w14:paraId="14E68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F9B60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B211">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5658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7C4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E0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任务审核</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9B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对部门填写的任务反馈进行审核，包括审核通过、审核不通过，审核不通过需页面填写拒绝原因</w:t>
            </w:r>
          </w:p>
        </w:tc>
      </w:tr>
      <w:tr w14:paraId="59F7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FD34F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C9E83">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C33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7840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82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任务状态管理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A4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支持任务启用/关闭配置</w:t>
            </w:r>
          </w:p>
        </w:tc>
      </w:tr>
      <w:tr w14:paraId="139D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EABCE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F427">
            <w:pPr>
              <w:jc w:val="center"/>
              <w:rPr>
                <w:rFonts w:hint="eastAsia" w:ascii="宋体" w:hAnsi="宋体" w:eastAsia="宋体" w:cs="宋体"/>
                <w:i w:val="0"/>
                <w:iCs w:val="0"/>
                <w:color w:val="auto"/>
                <w:sz w:val="24"/>
                <w:szCs w:val="24"/>
                <w:highlight w:val="none"/>
                <w:u w:val="none"/>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F7E5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任务填报。各责任部门根据分配工作进行任务填报、部门任务进度查询、接收通知公告。</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8D4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任务填报</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04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牵头任务管理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1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作为指标主牵头部门，可对牵头任务进行相关内容填写及预审提交等</w:t>
            </w:r>
          </w:p>
        </w:tc>
      </w:tr>
      <w:tr w14:paraId="2A8F9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A55AC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1B69">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172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F20F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EB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审核未通过任务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C3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可对审核未通过任务进行内容编辑及再次提交审核</w:t>
            </w:r>
          </w:p>
        </w:tc>
      </w:tr>
      <w:tr w14:paraId="4537D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C4173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EE98">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A720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983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41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被催办任务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1B9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针对被催办任务进行展示，并可进行编辑及提交</w:t>
            </w:r>
          </w:p>
        </w:tc>
      </w:tr>
      <w:tr w14:paraId="2B05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80A9D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2F45E">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EB03F">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FEE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08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配合任务管理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275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作为指标配合部门，可对配合任务进行协助材料或内容补充及提交</w:t>
            </w:r>
          </w:p>
        </w:tc>
      </w:tr>
      <w:tr w14:paraId="4D4D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70E89A">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F0B3E">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1C8FF">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337D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69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退回任务管理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8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针对被退回任务进行再次编辑并提交</w:t>
            </w:r>
          </w:p>
        </w:tc>
      </w:tr>
      <w:tr w14:paraId="4AD6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3C405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9CB1A">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F73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6B7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D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延期任务管理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A8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针对延期未完成任务，可进行再次标记并提交</w:t>
            </w:r>
          </w:p>
        </w:tc>
      </w:tr>
      <w:tr w14:paraId="4F99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7F58E4">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74345">
            <w:pPr>
              <w:jc w:val="center"/>
              <w:rPr>
                <w:rFonts w:hint="eastAsia" w:ascii="宋体" w:hAnsi="宋体" w:eastAsia="宋体" w:cs="宋体"/>
                <w:i w:val="0"/>
                <w:iCs w:val="0"/>
                <w:color w:val="auto"/>
                <w:sz w:val="24"/>
                <w:szCs w:val="24"/>
                <w:highlight w:val="none"/>
                <w:u w:val="none"/>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2D4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催报管理。主管部门进行任务催报，提醒未提交报送任务的责任部门及时完成报送。</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C32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92B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催报设置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27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管理员进行任务催报设置，如催报方式、催报周期、催报内容等，其中催报方式支持定期催报和手动催报两种，定期催报会按照选择的每月周期进行催报通知，手动催报支持在数据总览页面手动点击催报按钮给未填报的单位发送通知</w:t>
            </w:r>
          </w:p>
        </w:tc>
      </w:tr>
      <w:tr w14:paraId="0FD1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8213C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0819">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286D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EE4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61B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催报记录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E7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支持查看历史催报记录信息，支持筛选、快捷搜索被催报单位及催报时间</w:t>
            </w:r>
          </w:p>
        </w:tc>
      </w:tr>
      <w:tr w14:paraId="2B228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5EB24A">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F486">
            <w:pPr>
              <w:jc w:val="center"/>
              <w:rPr>
                <w:rFonts w:hint="eastAsia" w:ascii="宋体" w:hAnsi="宋体" w:eastAsia="宋体" w:cs="宋体"/>
                <w:i w:val="0"/>
                <w:iCs w:val="0"/>
                <w:color w:val="auto"/>
                <w:sz w:val="24"/>
                <w:szCs w:val="24"/>
                <w:highlight w:val="none"/>
                <w:u w:val="none"/>
              </w:rPr>
            </w:pP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1D7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公告管理。主管部门在创建任务后可通过发布公告通知各责任责任部门开展任务填报工作，通知公告中发布的资讯，部门人员可在数据总览中查询。</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7BC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公告管理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115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新增公告</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A9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为管理人员提供发布任务公告功能，通过输入标题及公告内容，点击发布按钮即可将公告发出。</w:t>
            </w:r>
          </w:p>
        </w:tc>
      </w:tr>
      <w:tr w14:paraId="719E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25E93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9C0D5">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AA40B">
            <w:pPr>
              <w:jc w:val="center"/>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1FB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5D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公告预览</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D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在正式发布公告前，可点击预览按钮可预览公告内容</w:t>
            </w:r>
          </w:p>
        </w:tc>
      </w:tr>
      <w:tr w14:paraId="0D9C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9F8D5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E3D0">
            <w:pPr>
              <w:jc w:val="center"/>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A7DE6">
            <w:pPr>
              <w:jc w:val="center"/>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928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1C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查看公告</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1EB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可查看已发布公告的详情内容</w:t>
            </w:r>
          </w:p>
        </w:tc>
      </w:tr>
      <w:tr w14:paraId="6386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36C23824">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D33E6A">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涉企问题跟踪反馈监督模块</w:t>
            </w:r>
          </w:p>
        </w:tc>
      </w:tr>
      <w:tr w14:paraId="34D8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E978D5A">
            <w:pPr>
              <w:keepNext w:val="0"/>
              <w:keepLines w:val="0"/>
              <w:widowControl/>
              <w:suppressLineNumbers w:val="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4FC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涉企问题跟踪反馈监督模块</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999F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重点跟踪监测企业反馈的营商环境问题跟进及整改解决情况，定时提醒各部门营商环境负责工作人员登录系统，领取相关任务，反馈问题整改进度，同时，通过短信、电话等形式开展企业回访，监督、倒逼政府部门加速涉企问题解决。</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167D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问题管理（主管部门）</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3F6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快速反馈问题</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9F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支持企业在平台交流互动，快速反馈发展中的问题。</w:t>
            </w:r>
          </w:p>
        </w:tc>
      </w:tr>
      <w:tr w14:paraId="1A8E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9D460D1">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08A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22C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871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问题列表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EB5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汇总平台及问卷采集到的企业问题，支持问题详情的查看</w:t>
            </w:r>
          </w:p>
        </w:tc>
      </w:tr>
      <w:tr w14:paraId="0507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E4F9C4">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51F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3F22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1485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86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问题确认</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DC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结合实际工作，确认问题真实性</w:t>
            </w:r>
          </w:p>
        </w:tc>
      </w:tr>
      <w:tr w14:paraId="478F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95C79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FF83E">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1C42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BDE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38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问题关联</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F0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针对已确认问题，将问题关联至责任部门。同时支持时效性配置</w:t>
            </w:r>
          </w:p>
        </w:tc>
      </w:tr>
      <w:tr w14:paraId="3DE4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40F0A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9C0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D7ED6">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2258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19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问题追踪</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84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追踪问题进展，包括部门查看情况及反馈情况</w:t>
            </w:r>
          </w:p>
        </w:tc>
      </w:tr>
      <w:tr w14:paraId="754B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28467D">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700F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C7BA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D2A1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F4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问题反馈</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46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问题得到部门反馈或解决后，可选择向用户进行结果反馈</w:t>
            </w:r>
          </w:p>
        </w:tc>
      </w:tr>
      <w:tr w14:paraId="46F3D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B342F7">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F5FE">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C3C75">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58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整改跟进（部门）</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2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问题提醒</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13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实时跟进部门整改进度，对长期未整改部门和问题进行特别提醒。</w:t>
            </w:r>
          </w:p>
        </w:tc>
      </w:tr>
      <w:tr w14:paraId="159BF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AFE67B">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92B9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844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2F0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0E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问题应答</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部门用户可结合实际情况，对企业问题进行回复</w:t>
            </w:r>
          </w:p>
        </w:tc>
      </w:tr>
      <w:tr w14:paraId="25CB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D94576">
            <w:pPr>
              <w:jc w:val="left"/>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C3F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1B1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34E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8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问题退回</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C27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部门可对问题进行退回，退回徐填写退回原因</w:t>
            </w:r>
          </w:p>
        </w:tc>
      </w:tr>
      <w:tr w14:paraId="22C0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251AE444">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5C878D">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信用信息共享模块</w:t>
            </w:r>
          </w:p>
        </w:tc>
      </w:tr>
      <w:tr w14:paraId="7172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A964B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83E4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信用网站</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871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严格按照国家、河南省、郑州市标准及要求，汇总展示信用工作工作内容及工作成果</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539D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信用动态</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6A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国家动态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5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展示国家信用工作动态新闻</w:t>
            </w:r>
          </w:p>
        </w:tc>
      </w:tr>
      <w:tr w14:paraId="5387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9FD32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4973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5B08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867D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10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省级动态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70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展示河南省信用工作动态新闻</w:t>
            </w:r>
          </w:p>
        </w:tc>
      </w:tr>
      <w:tr w14:paraId="01B7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24261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934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36BB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F5B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F71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市级动态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99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展示郑州市信用工作动态新闻</w:t>
            </w:r>
          </w:p>
        </w:tc>
      </w:tr>
      <w:tr w14:paraId="0067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DB3C0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6BDB">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06A9">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D85A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政策法规</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99F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国家法规</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6A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展示国家信用法规</w:t>
            </w:r>
          </w:p>
        </w:tc>
      </w:tr>
      <w:tr w14:paraId="3E10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B071A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9892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8CE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75DD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69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省级政策</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47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展示河南省信用法规</w:t>
            </w:r>
          </w:p>
        </w:tc>
      </w:tr>
      <w:tr w14:paraId="01D3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7B00F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7FA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D25BE">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616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信用公示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F0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双公示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35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开发行政许可、行政处罚两个模块公式模块，功能点包括查询、结果详情、查询条目限制及分页等功能</w:t>
            </w:r>
          </w:p>
        </w:tc>
      </w:tr>
      <w:tr w14:paraId="1344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AB04F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FDA2B">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08F3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EAC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2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八公示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A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分别开发监督检查公示、行政强制、行政奖励、行政给付、行政确认、行政裁决、行政征收、其他行政执法进行公示八个子模块内容，功能点包括查询、结果详情、查询条目限制及分页等功能</w:t>
            </w:r>
          </w:p>
        </w:tc>
      </w:tr>
      <w:tr w14:paraId="5CFC4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FAEBE0">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5D6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DE59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AED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AC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统一社会信用代码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F8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按统一信用代码及企业名称提供企业信息查询功能</w:t>
            </w:r>
          </w:p>
        </w:tc>
      </w:tr>
      <w:tr w14:paraId="3C7AA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36BB8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1672">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C83B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C49E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63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红黑名单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12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支持按统一社会信用代码、企业名称进行守信激励信息和失信惩戒信息的查询</w:t>
            </w:r>
          </w:p>
        </w:tc>
      </w:tr>
      <w:tr w14:paraId="551A2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569DF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4A5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4455">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1C1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信用服务</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11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信用异议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EB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展示信用异议处理指南</w:t>
            </w:r>
          </w:p>
        </w:tc>
      </w:tr>
      <w:tr w14:paraId="6603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EE564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E1EB">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8973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F8DB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15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信用修复</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8AC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展示信用修复的处理指南</w:t>
            </w:r>
          </w:p>
        </w:tc>
      </w:tr>
      <w:tr w14:paraId="49EC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AF32D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B1FE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D34D">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3300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联合奖惩</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A07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守信激励</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6A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守信激励事迹展示及详情查看</w:t>
            </w:r>
          </w:p>
        </w:tc>
      </w:tr>
      <w:tr w14:paraId="6009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5283F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821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513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F2E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4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失信惩戒</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D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失信惩戒信息展示及详情查看</w:t>
            </w:r>
          </w:p>
        </w:tc>
      </w:tr>
      <w:tr w14:paraId="766E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ED089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11E5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698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028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D3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联合奖惩文件</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B3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展示联合奖惩相关的政策文件</w:t>
            </w:r>
          </w:p>
        </w:tc>
      </w:tr>
      <w:tr w14:paraId="71EA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701780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076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B730">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A49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专项治理（模块）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E3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政务领域</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19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展示政务诚信领域相关工作新闻及政策</w:t>
            </w:r>
          </w:p>
        </w:tc>
      </w:tr>
      <w:tr w14:paraId="6189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81FE6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7D00E">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903F">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4D7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F6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风险提示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B9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展示社会信用欺诈风险的相关新闻及政策</w:t>
            </w:r>
          </w:p>
        </w:tc>
      </w:tr>
      <w:tr w14:paraId="3972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AA20F4">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64B3">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08CF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D73A9">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E9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涉金融领域</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59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展示涉金融领域的信用风险事件及相关政策</w:t>
            </w:r>
          </w:p>
        </w:tc>
      </w:tr>
      <w:tr w14:paraId="1A1D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A9E574">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40D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825D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744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60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专项治理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ADC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展示郑东新区专项治理领域政策及新闻动态</w:t>
            </w:r>
          </w:p>
        </w:tc>
      </w:tr>
      <w:tr w14:paraId="2877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FE1BE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4CEE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4E01">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D6E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典型案例（模块）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E8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红榜案例</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8D2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展示守信激励事迹及政策</w:t>
            </w:r>
          </w:p>
        </w:tc>
      </w:tr>
      <w:tr w14:paraId="0616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251C7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A4D8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4B1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8F2D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E7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黑榜案例</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9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展示失信惩戒案例及政策</w:t>
            </w:r>
          </w:p>
        </w:tc>
      </w:tr>
      <w:tr w14:paraId="6748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ECDD18">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C33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AC405">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10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行业信用（模块）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E25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金融</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A6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展示金融领域信用体系建设新闻及政策</w:t>
            </w:r>
          </w:p>
        </w:tc>
      </w:tr>
      <w:tr w14:paraId="1951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AECE0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CFEC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5246">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992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3F7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交通</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811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展示交通领域信用体系建设新闻及政策</w:t>
            </w:r>
          </w:p>
        </w:tc>
      </w:tr>
      <w:tr w14:paraId="70F8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4D68F0">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29F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3DD6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90484">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26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5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展示税务领域信用体系建设新闻及政策</w:t>
            </w:r>
          </w:p>
        </w:tc>
      </w:tr>
      <w:tr w14:paraId="4A3C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EE8F0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F28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A1B3">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19F3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41D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环保</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2B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展示环保领域信用体系建设新闻及政策</w:t>
            </w:r>
          </w:p>
        </w:tc>
      </w:tr>
      <w:tr w14:paraId="1B01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912B0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738D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2D19B">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E9C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城市信用（模块）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8B5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信用建设</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82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展示郑东新区信用建设工作成果、新闻及政策</w:t>
            </w:r>
          </w:p>
        </w:tc>
      </w:tr>
      <w:tr w14:paraId="7C5E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B5193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F947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4BEB3">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684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51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领导谈信用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A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展示国内各级领导对信用工作的解读及观点</w:t>
            </w:r>
          </w:p>
        </w:tc>
      </w:tr>
      <w:tr w14:paraId="3198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FA9AE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1C05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D4FE">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CD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信用承诺（模块）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B8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3C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展示信用承诺主体及承诺事项</w:t>
            </w:r>
          </w:p>
        </w:tc>
      </w:tr>
      <w:tr w14:paraId="526A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8ECEF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E247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FF03">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57D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互动交流（模块）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43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意见建议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24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链接河南政务服务网</w:t>
            </w:r>
          </w:p>
        </w:tc>
      </w:tr>
      <w:tr w14:paraId="3CD68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0FA0D0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7D0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40FE6">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15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诚信万里行（模块）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DA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642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展示诚信万里行相关工作新闻及政策</w:t>
            </w:r>
          </w:p>
        </w:tc>
      </w:tr>
      <w:tr w14:paraId="553D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96D3D4">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3652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FA04">
            <w:pPr>
              <w:jc w:val="left"/>
              <w:rPr>
                <w:rFonts w:hint="eastAsia" w:ascii="宋体" w:hAnsi="宋体" w:eastAsia="宋体" w:cs="宋体"/>
                <w:i w:val="0"/>
                <w:iCs w:val="0"/>
                <w:color w:val="auto"/>
                <w:sz w:val="24"/>
                <w:szCs w:val="24"/>
                <w:highlight w:val="none"/>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C4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信易+（模块）</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AAE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D58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展示信易+工作动态及成果</w:t>
            </w:r>
          </w:p>
        </w:tc>
      </w:tr>
      <w:tr w14:paraId="2960E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9C956C">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2BF9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后台管理系统</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A66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系统的后台管理模块</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513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前端展示管理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E2F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新闻管理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EE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新闻发布、修改、撤销等</w:t>
            </w:r>
          </w:p>
        </w:tc>
      </w:tr>
      <w:tr w14:paraId="5200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AE93F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E0C1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794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AC0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084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栏目管理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70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对栏目名称、所属板块进行管理</w:t>
            </w:r>
          </w:p>
        </w:tc>
      </w:tr>
      <w:tr w14:paraId="2722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EE792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3C10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BBE47">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88F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8ED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政策管理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58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对政策信息、所属分类进行管理</w:t>
            </w:r>
          </w:p>
        </w:tc>
      </w:tr>
      <w:tr w14:paraId="6977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01136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5D4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91EA7">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978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DA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建议交流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D1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针对信用体系相关工作提供管理及互动模块。</w:t>
            </w:r>
          </w:p>
        </w:tc>
      </w:tr>
      <w:tr w14:paraId="21E3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01EC1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441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1E44">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20F7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人员及系统管理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54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C4E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对人员及所属账号进行管理，包括账号密码增删改查</w:t>
            </w:r>
          </w:p>
        </w:tc>
      </w:tr>
      <w:tr w14:paraId="41E9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EA24D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2B35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1B6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3919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E62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部门管理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66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对部门进行配置及管理，包括部门信息的增删改查</w:t>
            </w:r>
          </w:p>
        </w:tc>
      </w:tr>
      <w:tr w14:paraId="3447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3F0C10">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897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7C3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4D0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30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角色管理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0C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对角色进行管理，包括角色及权限的配置管理</w:t>
            </w:r>
          </w:p>
        </w:tc>
      </w:tr>
      <w:tr w14:paraId="12EC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0C3BE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525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826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7D23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5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权限管理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6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对权限进行管理，包括权限的增删改查及分配等。</w:t>
            </w:r>
          </w:p>
        </w:tc>
      </w:tr>
      <w:tr w14:paraId="2A34F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C229F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884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01E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0BB1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CC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菜单管理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7C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对功能菜单的管理功能</w:t>
            </w:r>
          </w:p>
        </w:tc>
      </w:tr>
      <w:tr w14:paraId="1CA7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3760F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14AB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2C41D">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DCCB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D7C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字典管理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3BA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对系统所引用的大量数据字典进行统一、标准化管理维护。</w:t>
            </w:r>
          </w:p>
        </w:tc>
      </w:tr>
      <w:tr w14:paraId="4FF15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E8196C">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B65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F34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BDE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524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系统日志</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10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系统日志管理，包括日志检索、查看、跟踪及实时监测等功能。</w:t>
            </w:r>
          </w:p>
        </w:tc>
      </w:tr>
      <w:tr w14:paraId="5FCB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FB9E3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4CD9">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D930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60A3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E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注册用户管理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87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对网站注册用户的管理，包括账户名、权限、密码、有效性等管理</w:t>
            </w:r>
          </w:p>
        </w:tc>
      </w:tr>
      <w:tr w14:paraId="6E64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800DC4">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9DD89">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67B9E">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1107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业务管理</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13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异议申请管理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A3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由审核人员对异议申请进行办理，同时对异议主体提交的信息进行核实，完成核实后，可对异议处理结果进行线上反馈</w:t>
            </w:r>
          </w:p>
        </w:tc>
      </w:tr>
      <w:tr w14:paraId="3ECF0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248A0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ECA8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597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24E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51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信用承诺审核</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60F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由审核人员对信用承诺申请进行处理，核实信用承诺真实性，并对审核结果进行线上反馈</w:t>
            </w:r>
          </w:p>
        </w:tc>
      </w:tr>
      <w:tr w14:paraId="5C36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277F1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CEA6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428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1F3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5A7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信用承诺模板配置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84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针对客户实际要求，对承诺事项进行模板配置    </w:t>
            </w:r>
          </w:p>
        </w:tc>
      </w:tr>
      <w:tr w14:paraId="797D0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7F981DF">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0B02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信用信息处理平台</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068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针对信用数据的采集、标准化、共享等处理平台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采集维度、数据标准化内容、市级节点报送内容详见《河南省公共信用信息目录2020版》，包含43个职能部门，约600多个数据项。</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BD5A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联合奖惩系统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5F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奖惩查询</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17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支持按统一社会信用代码、企业名称进行守信激励信息和失信惩戒信息的查询</w:t>
            </w:r>
          </w:p>
        </w:tc>
      </w:tr>
      <w:tr w14:paraId="01E4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FA0EE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90E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41B4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537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5B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奖惩实施</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E6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依据联合奖惩备忘录，将奖惩主体加入联合奖惩名单，并录入奖惩依据及作出认定部门等信息</w:t>
            </w:r>
          </w:p>
        </w:tc>
      </w:tr>
      <w:tr w14:paraId="351E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DF2B00">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0BA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9FED">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C934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8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奖惩反馈</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55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依据联合奖惩备忘录，相关部门对认定为失信主体或守信主体的认定结果，进行系统录入并反馈</w:t>
            </w:r>
          </w:p>
        </w:tc>
      </w:tr>
      <w:tr w14:paraId="6DBA2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FE97C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27F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834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7B2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FA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批量核查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FFD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支持批量名单导入、跑批功能，自动识别企业/自然人是否为奖惩对象</w:t>
            </w:r>
          </w:p>
        </w:tc>
      </w:tr>
      <w:tr w14:paraId="7CD73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0771E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43B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BEA37">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F76C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7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奖惩统计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A7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按奖惩类型进行数量等相关字段的统计展示</w:t>
            </w:r>
          </w:p>
        </w:tc>
      </w:tr>
      <w:tr w14:paraId="7C59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4891FC">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EFD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FFE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D6D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0AA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措施目录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C2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联合奖惩依据的文件及类目查询、更新及展示</w:t>
            </w:r>
          </w:p>
        </w:tc>
      </w:tr>
      <w:tr w14:paraId="0093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AE4A49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82E1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CFBCC">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ACB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数据采集系统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3F5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数据报送情况统计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57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按报送部门、报送数据类目、数据条数、报送时间等进行统计展示</w:t>
            </w:r>
          </w:p>
        </w:tc>
      </w:tr>
      <w:tr w14:paraId="7C52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AE4D5A">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127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A3F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506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281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文件导入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C7F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支持excel格式的数据文件导入，包括导入模板识别、信息读取、前端校验等业务流开发。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《河南省公共信用信息目录2020版》包含43个职能部门，约600多个数据项。</w:t>
            </w:r>
          </w:p>
        </w:tc>
      </w:tr>
      <w:tr w14:paraId="0C13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85CD2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C965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BD7D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884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4D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数据库对接/接口</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1A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现与郑东新区多个委办局业务系统的深度对接，通过数据库对接/接口方式，实现数据交换、信息共享及业务流程协同。具体涉及定制化开发、测试调优、后期维护等多个环节，在确保数据安全、系统稳定的前提下，进行高度定制化的开发工作，以满足各委办局的具体业务需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《河南省公共信用信息目录2020版》包含43个职能部门，约600多个数据项。</w:t>
            </w:r>
          </w:p>
        </w:tc>
      </w:tr>
      <w:tr w14:paraId="399A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5FA8C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DC6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283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652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8F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人工单条录入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D4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“十公示”10个录入页面开发以及信用承诺等各类信用数据的人工手动信息录入业务定制化开发，并针对每项数据指标配置数据精准校验规则，确保人工录入信息的准确性和质量</w:t>
            </w:r>
          </w:p>
        </w:tc>
      </w:tr>
      <w:tr w14:paraId="147B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DEFBB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1C2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655E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029E9">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8F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人工批量导入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76E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“十公示”10个类目以及信用承诺等各类信用数据提供批量导入模板，支持excel形式进行数据批量导入。</w:t>
            </w:r>
          </w:p>
        </w:tc>
      </w:tr>
      <w:tr w14:paraId="1EF3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3399F8">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31E3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ABD9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E3F9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06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模板开发及系统识别支持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AC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十公示模板开发及识别，系统能够自动读取文件上报内容、并开发每个模板上报数据的自动检验逻辑。</w:t>
            </w:r>
          </w:p>
        </w:tc>
      </w:tr>
      <w:tr w14:paraId="3402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7FCBE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2A1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B565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E130">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6E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数据校验支持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2A4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及时率、准确率、瞒报率校验逻辑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及时率：十公示主体认定时间与要求上报时间的及时性校验；</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准确率：对接人口库与企业库数据，对于部门上报主体信息的唯一性进行数据验证；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瞒报率：（未按时报送的信息数量 / 应报送的信息总数）× 100%</w:t>
            </w:r>
          </w:p>
        </w:tc>
      </w:tr>
      <w:tr w14:paraId="194B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0946B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41AC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25003">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323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DD8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问题数据反馈及录入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0BE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针对上报错误数据，可自动返回至相关部门，支持部门对问题数据进行修改及再次上传。</w:t>
            </w:r>
          </w:p>
        </w:tc>
      </w:tr>
      <w:tr w14:paraId="4210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2C17D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3CC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21DF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832D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9E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零增量报送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27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当期无新增数据量，支持部门选择零增量报送</w:t>
            </w:r>
          </w:p>
        </w:tc>
      </w:tr>
      <w:tr w14:paraId="56110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70494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0B8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9BDD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BCF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805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疑问数据修改</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CE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针对批量、手工或退回的问题数据，进行修改及再次上报</w:t>
            </w:r>
          </w:p>
        </w:tc>
      </w:tr>
      <w:tr w14:paraId="6FDD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CF4FB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72D0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6747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5284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7A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数据报送查询</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9E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支持按部门、数据类目进行报送情况及报送进度的查询</w:t>
            </w:r>
          </w:p>
        </w:tc>
      </w:tr>
      <w:tr w14:paraId="7772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B8463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8AFB">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4F8A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7545">
            <w:pPr>
              <w:jc w:val="left"/>
              <w:rPr>
                <w:rFonts w:hint="eastAsia" w:ascii="宋体" w:hAnsi="宋体" w:eastAsia="宋体" w:cs="宋体"/>
                <w:i w:val="0"/>
                <w:iCs w:val="0"/>
                <w:color w:val="auto"/>
                <w:sz w:val="24"/>
                <w:szCs w:val="24"/>
                <w:highlight w:val="none"/>
                <w:u w:val="none"/>
              </w:rPr>
            </w:pP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8A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DE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十公示归集情况统计</w:t>
            </w:r>
          </w:p>
        </w:tc>
      </w:tr>
      <w:tr w14:paraId="3B5A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42FF1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E23A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71FC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D43B">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24811">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933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十公示数据处理情况统计</w:t>
            </w:r>
          </w:p>
        </w:tc>
      </w:tr>
      <w:tr w14:paraId="7A5B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F5685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AD6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CD7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EEA3">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F0B2">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F3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十公示报送情况统计</w:t>
            </w:r>
          </w:p>
        </w:tc>
      </w:tr>
      <w:tr w14:paraId="3F73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DF628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3F1B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58D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B5FB">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115F2">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B2F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十公示7天公示统计</w:t>
            </w:r>
          </w:p>
        </w:tc>
      </w:tr>
      <w:tr w14:paraId="3382F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2BE63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8C4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365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DBFF">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FAAE9">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E90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十公示疑问数据统计</w:t>
            </w:r>
          </w:p>
        </w:tc>
      </w:tr>
      <w:tr w14:paraId="0155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354650">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7FDF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AE4D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1D865">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4DD6">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66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十公示处理情况统计</w:t>
            </w:r>
          </w:p>
        </w:tc>
      </w:tr>
      <w:tr w14:paraId="4F58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7BE70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1D1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6EE7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D00E">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0256">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FD7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十公示撤销异议统计</w:t>
            </w:r>
          </w:p>
        </w:tc>
      </w:tr>
      <w:tr w14:paraId="3518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57838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BAA3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E304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1038">
            <w:pPr>
              <w:jc w:val="left"/>
              <w:rPr>
                <w:rFonts w:hint="eastAsia" w:ascii="宋体" w:hAnsi="宋体" w:eastAsia="宋体" w:cs="宋体"/>
                <w:i w:val="0"/>
                <w:iCs w:val="0"/>
                <w:color w:val="auto"/>
                <w:sz w:val="24"/>
                <w:szCs w:val="24"/>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0875">
            <w:pPr>
              <w:jc w:val="left"/>
              <w:rPr>
                <w:rFonts w:hint="eastAsia" w:ascii="宋体" w:hAnsi="宋体" w:eastAsia="宋体" w:cs="宋体"/>
                <w:i w:val="0"/>
                <w:iCs w:val="0"/>
                <w:color w:val="auto"/>
                <w:sz w:val="24"/>
                <w:szCs w:val="24"/>
                <w:highlight w:val="none"/>
                <w:u w:val="none"/>
              </w:rPr>
            </w:pP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811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十公示关联统计</w:t>
            </w:r>
          </w:p>
        </w:tc>
      </w:tr>
      <w:tr w14:paraId="05B18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A4ACC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349D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B469">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03B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中心处理系统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78B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数据处理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D49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响应国家和河南省对数据标准化的要求，对现有的各项数据进行全面核查与定制化处理，确保数据质量、格式和安全性均符合国家和地方标准。通过系统进行数据源核查、数据标准化、数据安全处理与数据质量测试等环节，从而提升数据的可用性、准确性和合规性，为政府决策、业务分析和公共服务提供坚实的数据支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标准化要求详见《河南省公共信用信息目录2020版》</w:t>
            </w:r>
          </w:p>
        </w:tc>
      </w:tr>
      <w:tr w14:paraId="55D5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1211A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9AC7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6E05F">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BEC8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BB3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市级数据上报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33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依照河南省/郑州市文件要求的数据上报内容，系统支持定期/手动向市级信用节点进行数据推送。推送内容涵盖《河南省公共信用信息目录2020版》要求全部内容</w:t>
            </w:r>
          </w:p>
        </w:tc>
      </w:tr>
      <w:tr w14:paraId="3807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2C05D8">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62933">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8A8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FF09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8A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主题库管理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DD0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对主题库名称、字段、标准等进行管理及维护，库表数量不低于100个</w:t>
            </w:r>
          </w:p>
        </w:tc>
      </w:tr>
      <w:tr w14:paraId="2B24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E6A75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916D2">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DE9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78F2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D4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业务管理支持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7CD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依照国家、河南省要求，完成业务流管理，主要在新建表过程中配置表规则、对数据处理规则、处理流程进行配置等</w:t>
            </w:r>
          </w:p>
        </w:tc>
      </w:tr>
      <w:tr w14:paraId="463B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23CCC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0A7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0F9BA">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7A1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信用信息共享平台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3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共享目录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C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展示数据的共享条件、共享内容、共享结果等信息</w:t>
            </w:r>
          </w:p>
        </w:tc>
      </w:tr>
      <w:tr w14:paraId="6B90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216E71">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D199">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FD6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100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E2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信用查询</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22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支持按统一社会信用代码、企业名称进行企业基础信息的查询</w:t>
            </w:r>
          </w:p>
        </w:tc>
      </w:tr>
      <w:tr w14:paraId="7E2D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754B7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0A5B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5F81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0339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8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交换共享申请</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A6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数据交换共享申请功能，包括申请原因、申请内容、申请范围、申请单位及频率等信息填写</w:t>
            </w:r>
          </w:p>
        </w:tc>
      </w:tr>
      <w:tr w14:paraId="3B710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DB382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660B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608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CE25">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FEF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交换共享审核</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9A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对申请信息进行审核，可进行通过/拒绝操作，若拒绝，需填理由</w:t>
            </w:r>
          </w:p>
        </w:tc>
      </w:tr>
      <w:tr w14:paraId="4DA8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BADC4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9C2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2F2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B4D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F0E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共享交换定制化开发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4F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为满足区级部门对信用数据的共享需求，定制化完成数据交换接口的开发，同时支持库表、文件等交换形式。支持线上共享权限的管理，以及数据的自动化交换共享。</w:t>
            </w:r>
          </w:p>
        </w:tc>
      </w:tr>
      <w:tr w14:paraId="7BBC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6CF87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0C4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9510F">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974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1F1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联合奖惩</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10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联合奖惩名单共享，开发对外查询接口及页面查询入口，支持批量查询及结果统计</w:t>
            </w:r>
          </w:p>
        </w:tc>
      </w:tr>
      <w:tr w14:paraId="379D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0BA86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24C2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90E5">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4EB1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A65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信用大数据</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依照河南省信用信息目录，对公共信用信息共享，开发对外查询接口及页面查询入口</w:t>
            </w:r>
          </w:p>
        </w:tc>
      </w:tr>
      <w:tr w14:paraId="6ADBE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502B9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BD85">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40D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ACA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E3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工作动态</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DE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信用信息共享相关工作新闻及政策发布与展示</w:t>
            </w:r>
          </w:p>
        </w:tc>
      </w:tr>
      <w:tr w14:paraId="544C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381ADA">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98AF">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3E35F">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6F0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窗口系统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EF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首页</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4EA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用户登录</w:t>
            </w:r>
          </w:p>
        </w:tc>
      </w:tr>
      <w:tr w14:paraId="5A18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C4EF0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3289">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1AB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9992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5B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法人信用报告</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23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支持按统一社会信用代码、企业名称进行企业基础信息的查询</w:t>
            </w:r>
          </w:p>
        </w:tc>
      </w:tr>
      <w:tr w14:paraId="7C32A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11B90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C837D">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6370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A9EB3">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7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法人信用审核</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6B5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支持按统一社会信用代码、企业名称进行企业信用信息进行核查</w:t>
            </w:r>
          </w:p>
        </w:tc>
      </w:tr>
      <w:tr w14:paraId="72AE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A53F68">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C61A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4F0D">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AA8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725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自然人信用报告</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8E1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支持按身份证号码、姓名进行自然人基础信息的查询</w:t>
            </w:r>
          </w:p>
        </w:tc>
      </w:tr>
      <w:tr w14:paraId="52982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E4FE2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B14D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304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128E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EBD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自然人信用审查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582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支持按身份证号码、姓名进行自然人基信用信息的核查</w:t>
            </w:r>
          </w:p>
        </w:tc>
      </w:tr>
      <w:tr w14:paraId="3B1F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BCD5F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EC5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0BD9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249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0E0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统计分析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9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对查询记录及查询结果进行汇总统计</w:t>
            </w:r>
          </w:p>
        </w:tc>
      </w:tr>
      <w:tr w14:paraId="3029B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25E27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658D2">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6868">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0A01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信用监管系统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952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评价指标库</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07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制定公共信用评价模型指标，支持指标添加及维护功能</w:t>
            </w:r>
          </w:p>
        </w:tc>
      </w:tr>
      <w:tr w14:paraId="5E9A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29A52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D3E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7F2D7">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B03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59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计算模型</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83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采取逻辑回归算法，开发公共信用评价模型，包括特征工程、模型调参、模型测试</w:t>
            </w:r>
          </w:p>
        </w:tc>
      </w:tr>
      <w:tr w14:paraId="44BA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1F25C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3A95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24D72">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999C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EBD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公共信用评价结果</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D3A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支持按统一社会信用代码、企业名称进行企业评价结果的查询</w:t>
            </w:r>
          </w:p>
        </w:tc>
      </w:tr>
      <w:tr w14:paraId="1736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F9816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5133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A743">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E0BC">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ACF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行业信用监管评价结果</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01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支持按统一社会信用代码、企业名称进行行业监管部门信用评价结果的查询</w:t>
            </w:r>
          </w:p>
        </w:tc>
      </w:tr>
      <w:tr w14:paraId="0E253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78DC2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C4E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8DE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07BB">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60A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总体评级结果</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86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按等级进行企业信用等级分布统计展示</w:t>
            </w:r>
          </w:p>
        </w:tc>
      </w:tr>
      <w:tr w14:paraId="767A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F26117">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4A4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6C6D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A8C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AC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合同履约监管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EA4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支持按统一社会信用代码、企业名称进行合同履约结果的查询</w:t>
            </w:r>
          </w:p>
        </w:tc>
      </w:tr>
      <w:tr w14:paraId="6950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11DD56">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E04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B265">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0446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信用承诺报送系统</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A01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信用承诺管理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F3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针对客户实际要求，对承诺事项的内容进行维护以及承诺模板关联配置等</w:t>
            </w:r>
          </w:p>
        </w:tc>
      </w:tr>
      <w:tr w14:paraId="3A64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5AB56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6E0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F5F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BCF6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EF9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批量上传</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08A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支持多种承诺事项的承诺书上传，支持PDF、图片、word等格式</w:t>
            </w:r>
          </w:p>
        </w:tc>
      </w:tr>
      <w:tr w14:paraId="33B5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B12A69">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DB37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D4BDF">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B32A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6E6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统计分析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9A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按承诺事项、履约情况等进行梳理统计及展示</w:t>
            </w:r>
          </w:p>
        </w:tc>
      </w:tr>
      <w:tr w14:paraId="6B61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5CECCC">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5E1D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EF2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0266">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A5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批量生成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D87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依照多种承诺事项的内置模板，可批量导入或单条录入企业信息，并生成完整版企业承诺书</w:t>
            </w:r>
          </w:p>
        </w:tc>
      </w:tr>
      <w:tr w14:paraId="0699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43E98B">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A5A92">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CE316">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6FEC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D4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反馈结果统计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1CC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对信用承诺事项履约结果进行批量或单条信息的录入反馈</w:t>
            </w:r>
          </w:p>
        </w:tc>
      </w:tr>
      <w:tr w14:paraId="6D8B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4B0D1070">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AA46F">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信用场景搭建及网格化平台应用创新</w:t>
            </w:r>
          </w:p>
        </w:tc>
      </w:tr>
      <w:tr w14:paraId="7D0B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4CE84C">
            <w:pPr>
              <w:keepNext w:val="0"/>
              <w:keepLines w:val="0"/>
              <w:widowControl/>
              <w:suppressLineNumbers w:val="0"/>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7.1</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564E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信用场景应用支撑组件开发</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84A3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为有效提升信用信息数据应用价值，发挥信用在政府治理过程中的价值，通过对信用信息采集和处理，形成可场景化应用的档案及画像服务组件</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EF6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企业信用档案</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08C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档案模板开发</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286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从系统本身收集的数据、信用信息子模块数据、外部数据等多数据源收集企业的工商信息、经营情况、知识产权、市场数据、行政处罚、税务、社保、用水用电等企业相关信用信息，围绕“信用+园区”、“信用+政策直达”场景，开发两个场景专题档案模板，支持后续场景下专题模板的添加及维护</w:t>
            </w:r>
          </w:p>
        </w:tc>
      </w:tr>
      <w:tr w14:paraId="5EFC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C1862A">
            <w:pPr>
              <w:jc w:val="center"/>
              <w:rPr>
                <w:rFonts w:hint="eastAsia" w:ascii="宋体" w:hAnsi="宋体" w:eastAsia="宋体" w:cs="宋体"/>
                <w:b/>
                <w:bCs/>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0C2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0F03">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4B05A">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C8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企业信用档案</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8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通过对信用+场景内企业多维度信息的关联、整合，生成企业信用档案，以统一社会信用代码为基础，实现一户一档，一户一码。</w:t>
            </w:r>
          </w:p>
        </w:tc>
      </w:tr>
      <w:tr w14:paraId="17C2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989C46">
            <w:pPr>
              <w:jc w:val="center"/>
              <w:rPr>
                <w:rFonts w:hint="eastAsia" w:ascii="宋体" w:hAnsi="宋体" w:eastAsia="宋体" w:cs="宋体"/>
                <w:b/>
                <w:bCs/>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05000">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150B">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FAC1">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52A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企业信用档案列表</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B20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汇总信用+楼宇场景内的企业，并以列表形式展示企业的关键信息。</w:t>
            </w:r>
          </w:p>
        </w:tc>
      </w:tr>
      <w:tr w14:paraId="1AC1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D85CCB">
            <w:pPr>
              <w:jc w:val="center"/>
              <w:rPr>
                <w:rFonts w:hint="eastAsia" w:ascii="宋体" w:hAnsi="宋体" w:eastAsia="宋体" w:cs="宋体"/>
                <w:b/>
                <w:bCs/>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00A2">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DDC57">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A5A1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企业信用画像</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AF4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特征抽取及标签库建立</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CD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收集到的企业多维度数据进行清洗，去除重复、错误和无关的数据，确保数据的准确性和完整性。根据企业画像的需求，进行维度划分和特征抽取，建立企业标签库。标签涵盖企业基本信息、企业经营、企业风险、企业创新等多维度标签</w:t>
            </w:r>
          </w:p>
        </w:tc>
      </w:tr>
      <w:tr w14:paraId="4878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7440CD">
            <w:pPr>
              <w:jc w:val="center"/>
              <w:rPr>
                <w:rFonts w:hint="eastAsia" w:ascii="宋体" w:hAnsi="宋体" w:eastAsia="宋体" w:cs="宋体"/>
                <w:b/>
                <w:bCs/>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296F8">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B3A0">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0532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2A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企业画像构建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41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根据企业基础数据情况，通过与标签关联匹配，包括企业基本信息、企业经营、企业风险、企业创新等多维度。将各个维度的标签整合在一起，形成完整的企业画像并进行可视化呈现。</w:t>
            </w:r>
          </w:p>
        </w:tc>
      </w:tr>
      <w:tr w14:paraId="4D75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BE7214">
            <w:pPr>
              <w:jc w:val="center"/>
              <w:rPr>
                <w:rFonts w:hint="eastAsia" w:ascii="宋体" w:hAnsi="宋体" w:eastAsia="宋体" w:cs="宋体"/>
                <w:b/>
                <w:bCs/>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1E3B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6DE84">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906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188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画像诊断</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73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对企业画像进行全面诊断，找出存在的问题和短板，如数据缺失、维度不完整等。根据诊断结果，制定针对性的优化方案，如补充数据、完善维度等。</w:t>
            </w:r>
          </w:p>
        </w:tc>
      </w:tr>
      <w:tr w14:paraId="1CB7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37FDA12">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1A63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网格化平台接入</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9083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与党建引领网格化治理平台进行技术对接，实现用户信息、企业信息及业务数据的交互和共享，同时将系统集成接入至网格化平台中，便于网格员采集、更新和共享信用信息，以及开展满意度调查等工作。</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37A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与网格化平台进行数据交互和共享</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C4B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企业信息的互通与共享</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1D8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针对网格化场景应用需求，开发企业信用信息的专项输出接口。</w:t>
            </w:r>
          </w:p>
        </w:tc>
      </w:tr>
      <w:tr w14:paraId="3F5D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F67264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2383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C90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897AD">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859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营商信用数据的交互与共享</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62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针对网格化场景应用需求，开发企业信用信息的专项输出接口。</w:t>
            </w:r>
          </w:p>
        </w:tc>
      </w:tr>
      <w:tr w14:paraId="689FC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BADCF4">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F8DF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3934">
            <w:pPr>
              <w:jc w:val="left"/>
              <w:rPr>
                <w:rFonts w:hint="eastAsia" w:ascii="宋体" w:hAnsi="宋体" w:eastAsia="宋体" w:cs="宋体"/>
                <w:i w:val="0"/>
                <w:iCs w:val="0"/>
                <w:color w:val="auto"/>
                <w:sz w:val="24"/>
                <w:szCs w:val="24"/>
                <w:highlight w:val="none"/>
                <w:u w:val="none"/>
              </w:rPr>
            </w:pP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7C2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系统集成接入网格化平台</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93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功能操作集成</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A19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将部分营商相关功能在网格化平台中统一建立入口，便捷用户一体化功能操作访问.例如信息采集、满意度调查等。</w:t>
            </w:r>
          </w:p>
        </w:tc>
      </w:tr>
      <w:tr w14:paraId="042F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5F41A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90A6">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03C37">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001F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9E3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消息通知</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59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与网格化短信通道、消息通道及邮箱系统等渠道打通，便于系统间信息及信息及时传达。</w:t>
            </w:r>
          </w:p>
        </w:tc>
      </w:tr>
      <w:tr w14:paraId="437B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80E500">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CAE0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5C04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22047">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125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统一身份认证登录</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0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采用统一身份认证登录模式，与网格化平台保持胡同</w:t>
            </w:r>
          </w:p>
        </w:tc>
      </w:tr>
      <w:tr w14:paraId="17124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495A476">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3E8D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信用+园区场景搭建</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351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通过建立信用园区的信用信息大数据库，将企业按属地分配到楼宇等，通过三维可视化手段，增强信用在楼宇管理环节的应用便利性。</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BFB4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信用+园区场景搭建</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5A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信用园区地图建模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438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开发信用+园区场景地图，将楼宇、地块等信息在系统中集成3D建模，形成3D可视化地图。</w:t>
            </w:r>
          </w:p>
        </w:tc>
      </w:tr>
      <w:tr w14:paraId="3AA8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02A39B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306C">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257A">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D2F8">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B0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企业地址解析及属地分配</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A94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对企业基本信息中的注册地址、联系地址或实际经营地址等进行加工解析，并将企业分配到对应的楼宇或地块。</w:t>
            </w:r>
          </w:p>
        </w:tc>
      </w:tr>
      <w:tr w14:paraId="30FA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39698E">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E044">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7861">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0320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4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楼宇信息统计及展示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FF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按楼宇对入驻企业的数量、类型、经营、纳税、信用等级、信用奖惩等信息进行多维度、综合统计、分析及展示。</w:t>
            </w:r>
          </w:p>
        </w:tc>
      </w:tr>
      <w:tr w14:paraId="242C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0CF6D8">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3F401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信用+政策直达</w:t>
            </w:r>
          </w:p>
        </w:tc>
        <w:tc>
          <w:tcPr>
            <w:tcW w:w="141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178B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对政策进行标签化处理，通过标签匹配模型，实现政策与企业的精准匹配，助力精准扶持培育政策的直达。</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1CE0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信用+政策直达</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5D8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政策库构建</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0E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汇集整理郑东新区惠企政策数据，建立惠企政策库，支持按行业、部门等进行归集、归类、存储等。</w:t>
            </w:r>
          </w:p>
        </w:tc>
      </w:tr>
      <w:tr w14:paraId="68C1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550EC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BAA7">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BE57">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FADE">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78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政策库管理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A4F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支持政策数据收录与整合、政策检索与查询、政策的维护及删除等功能。</w:t>
            </w:r>
          </w:p>
        </w:tc>
      </w:tr>
      <w:tr w14:paraId="0888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904965">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FF0DA">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A74E">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F852">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235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政策标签体系建设及管理</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ACE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构建政策标签体系，对惠企政策进行标签化处理，重点进行准入、申报条件的标签化。政策标签体系包含但不限于行业、成立年限、企业规模、纳税、员工数量等。</w:t>
            </w:r>
          </w:p>
        </w:tc>
      </w:tr>
      <w:tr w14:paraId="71D8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2E8793">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9A1B">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D529">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63819">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064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政策匹配模型</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B6E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依托企业画像标签库及政策库与政策标签，逐一建立标签匹配关联逻辑，实现企业与政策、政策与企业的双向精准匹配，支持匹配度的计算。</w:t>
            </w:r>
          </w:p>
        </w:tc>
      </w:tr>
      <w:tr w14:paraId="5FF7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D83422">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41E43">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3E25C">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C7F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A4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自动识别引擎</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9C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通过识别引擎算法，将政策标签与企业标签进行双向匹配，政策列表下可查看满足条件企业数量及明细，企业档案中可查看符合的政策数量及明细。</w:t>
            </w:r>
          </w:p>
        </w:tc>
      </w:tr>
      <w:tr w14:paraId="41B7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D777DF">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1291">
            <w:pPr>
              <w:jc w:val="left"/>
              <w:rPr>
                <w:rFonts w:hint="eastAsia" w:ascii="宋体" w:hAnsi="宋体" w:eastAsia="宋体" w:cs="宋体"/>
                <w:i w:val="0"/>
                <w:iCs w:val="0"/>
                <w:color w:val="auto"/>
                <w:sz w:val="24"/>
                <w:szCs w:val="24"/>
                <w:highlight w:val="none"/>
                <w:u w:val="none"/>
              </w:rPr>
            </w:pPr>
          </w:p>
        </w:tc>
        <w:tc>
          <w:tcPr>
            <w:tcW w:w="141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DDF8">
            <w:pPr>
              <w:jc w:val="left"/>
              <w:rPr>
                <w:rFonts w:hint="eastAsia" w:ascii="宋体" w:hAnsi="宋体" w:eastAsia="宋体" w:cs="宋体"/>
                <w:i w:val="0"/>
                <w:iCs w:val="0"/>
                <w:color w:val="auto"/>
                <w:sz w:val="24"/>
                <w:szCs w:val="24"/>
                <w:highlight w:val="none"/>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46DF">
            <w:pPr>
              <w:jc w:val="left"/>
              <w:rPr>
                <w:rFonts w:hint="eastAsia" w:ascii="宋体" w:hAnsi="宋体" w:eastAsia="宋体" w:cs="宋体"/>
                <w:i w:val="0"/>
                <w:iCs w:val="0"/>
                <w:color w:val="auto"/>
                <w:sz w:val="24"/>
                <w:szCs w:val="24"/>
                <w:highlight w:val="none"/>
                <w:u w:val="none"/>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70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精准政策直达</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751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依托问卷、短信、邮箱等形式，支持政策一键推送功能。</w:t>
            </w:r>
          </w:p>
        </w:tc>
      </w:tr>
      <w:tr w14:paraId="137B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3D372822">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二、</w:t>
            </w:r>
          </w:p>
        </w:tc>
        <w:tc>
          <w:tcPr>
            <w:tcW w:w="13406" w:type="dxa"/>
            <w:gridSpan w:val="6"/>
            <w:tcBorders>
              <w:top w:val="single" w:color="000000" w:sz="4" w:space="0"/>
              <w:left w:val="nil"/>
              <w:bottom w:val="single" w:color="000000" w:sz="4" w:space="0"/>
              <w:right w:val="single" w:color="000000" w:sz="4" w:space="0"/>
            </w:tcBorders>
            <w:shd w:val="clear" w:color="auto" w:fill="auto"/>
            <w:vAlign w:val="center"/>
          </w:tcPr>
          <w:p w14:paraId="7E34B01E">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咨询服务类</w:t>
            </w:r>
          </w:p>
        </w:tc>
      </w:tr>
      <w:tr w14:paraId="15D6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332E948D">
            <w:pPr>
              <w:keepNext w:val="0"/>
              <w:keepLines w:val="0"/>
              <w:widowControl/>
              <w:suppressLineNumbers w:val="0"/>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13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6795F8">
            <w:pPr>
              <w:jc w:val="left"/>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营商环境+信用体系咨询服务</w:t>
            </w:r>
          </w:p>
        </w:tc>
      </w:tr>
      <w:tr w14:paraId="4920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1"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6BCA71C9">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1355" w:type="dxa"/>
            <w:tcBorders>
              <w:top w:val="nil"/>
              <w:left w:val="single" w:color="000000" w:sz="4" w:space="0"/>
              <w:bottom w:val="single" w:color="000000" w:sz="4" w:space="0"/>
              <w:right w:val="single" w:color="000000" w:sz="4" w:space="0"/>
            </w:tcBorders>
            <w:shd w:val="clear" w:color="auto" w:fill="auto"/>
            <w:vAlign w:val="center"/>
          </w:tcPr>
          <w:p w14:paraId="0B83992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营商环境企业满意度调查咨询服务</w:t>
            </w:r>
          </w:p>
        </w:tc>
        <w:tc>
          <w:tcPr>
            <w:tcW w:w="1412" w:type="dxa"/>
            <w:gridSpan w:val="2"/>
            <w:tcBorders>
              <w:top w:val="nil"/>
              <w:left w:val="single" w:color="000000" w:sz="4" w:space="0"/>
              <w:bottom w:val="single" w:color="000000" w:sz="4" w:space="0"/>
              <w:right w:val="single" w:color="000000" w:sz="4" w:space="0"/>
            </w:tcBorders>
            <w:shd w:val="clear" w:color="auto" w:fill="auto"/>
            <w:vAlign w:val="center"/>
          </w:tcPr>
          <w:p w14:paraId="0F2C1F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营商环境企业满意度调查咨询服务</w:t>
            </w:r>
          </w:p>
        </w:tc>
        <w:tc>
          <w:tcPr>
            <w:tcW w:w="2275" w:type="dxa"/>
            <w:tcBorders>
              <w:top w:val="nil"/>
              <w:left w:val="single" w:color="000000" w:sz="4" w:space="0"/>
              <w:bottom w:val="single" w:color="000000" w:sz="4" w:space="0"/>
              <w:right w:val="single" w:color="000000" w:sz="4" w:space="0"/>
            </w:tcBorders>
            <w:shd w:val="clear" w:color="auto" w:fill="auto"/>
            <w:vAlign w:val="center"/>
          </w:tcPr>
          <w:p w14:paraId="7BD38F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营商环境企业满意度调查咨询服务</w:t>
            </w:r>
          </w:p>
        </w:tc>
        <w:tc>
          <w:tcPr>
            <w:tcW w:w="1881" w:type="dxa"/>
            <w:tcBorders>
              <w:top w:val="nil"/>
              <w:left w:val="single" w:color="000000" w:sz="4" w:space="0"/>
              <w:bottom w:val="single" w:color="000000" w:sz="4" w:space="0"/>
              <w:right w:val="single" w:color="000000" w:sz="4" w:space="0"/>
            </w:tcBorders>
            <w:shd w:val="clear" w:color="auto" w:fill="auto"/>
            <w:vAlign w:val="center"/>
          </w:tcPr>
          <w:p w14:paraId="267A7F2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营商环境企业满意度调查咨询服务</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B93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置专业团队（含营商环境专家、调研员、数据分析师等）每季度设计并实施一次企业满意度调查工作（全年共4次），涵盖市场监管、市场准入、获得信贷、执行合同、企业权益保护、政府采购、政务服务、信用环境建设等指标，结合权威先进的市场主体满意度体系，就具体指标与多部门进行深入研讨，设计出具有本地区特色、可量化、可操作的营商环境市场满意度体系和问卷。通过在线、现场座谈及电话等多渠道采集问卷内容，调查主体涵盖企业、个体工商户等，从而确保问卷样本的多样性。问卷设计内容结合上次评价结果充分结合郑东新区营商环境提升工作重点，通过满意度调查系统模块结合省级评价要求展开。例如从联合抽查次数占比增速、企业开办效率、银税合作普惠小微贷款、执行案件平均结案用时、采购环节效率等，另通过政务大厅暗访获取真实数据，客观监测线下大厅政务服务质量，推进营商环境工作任务部署。根据现状调研、满意度调研、大厅暗访的结果，梳理分析营商环境改革现状与现存问题，并为评价提供切实可行的优化方案。对所收集上来的问卷数据深度分析，输出详尽的满意度调查分析报告，内容涵盖各领域满意度评分、关键问题与痛点分析、行业对比与标杆分析、改进建议与策略优化等，为政府决策提供有力支持。</w:t>
            </w:r>
          </w:p>
        </w:tc>
      </w:tr>
      <w:tr w14:paraId="4398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9" w:hRule="atLeast"/>
        </w:trPr>
        <w:tc>
          <w:tcPr>
            <w:tcW w:w="777" w:type="dxa"/>
            <w:tcBorders>
              <w:top w:val="single" w:color="000000" w:sz="4" w:space="0"/>
              <w:left w:val="single" w:color="000000" w:sz="4" w:space="0"/>
              <w:bottom w:val="single" w:color="000000" w:sz="4" w:space="0"/>
              <w:right w:val="single" w:color="000000" w:sz="4" w:space="0"/>
            </w:tcBorders>
            <w:shd w:val="clear" w:color="auto" w:fill="auto"/>
            <w:vAlign w:val="top"/>
          </w:tcPr>
          <w:p w14:paraId="178C0ADE">
            <w:pPr>
              <w:keepNext w:val="0"/>
              <w:keepLines w:val="0"/>
              <w:widowControl/>
              <w:suppressLineNumbers w:val="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B60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信用示范区县创建辅导</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88E7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信用示范区县创建辅导</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D2B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信用示范区县创建辅导</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FE9C">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信用示范区县创建辅导</w:t>
            </w:r>
          </w:p>
        </w:tc>
        <w:tc>
          <w:tcPr>
            <w:tcW w:w="6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6DE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备专业团队（含信用方面业务专家、数据分析师、应用场景业务人员等）服务郑东新区信用示范区县创建工作，对接郑东新区经发、市场监管、税务、环保等局办委，配合梳理信用监管与奖惩机制、信用服务与创新等社会信用体系建设框架。包括结合《2024—2025 年社会信用体系建设行动计划》，配合郑东新区梳理制定《郑东新区建设示范区县任务分解表》、《郑东新区社会信用体系建设工作考核办法》等工作；制定科学、合理的信用评价指标体系，涵盖企业、个人、政府等多个维度；建立信用监测预警机制，定期发布信用报告，围绕政务服务、市场监管、融资贷款、公共服务等领域，开发多样化的信用应用场景，全面提升“双公示”数据质量等相关工作。</w:t>
            </w:r>
          </w:p>
        </w:tc>
      </w:tr>
    </w:tbl>
    <w:p w14:paraId="7571B2C4">
      <w:pPr>
        <w:rPr>
          <w:rFonts w:hint="eastAsia" w:ascii="宋体" w:hAnsi="宋体" w:eastAsia="宋体" w:cs="宋体"/>
          <w:b/>
          <w:bCs/>
          <w:color w:val="auto"/>
          <w:sz w:val="32"/>
          <w:szCs w:val="32"/>
          <w:highlight w:val="none"/>
        </w:rPr>
      </w:pPr>
    </w:p>
    <w:p w14:paraId="3E4671A7">
      <w:pPr>
        <w:rPr>
          <w:rFonts w:hint="eastAsia" w:ascii="宋体" w:hAnsi="宋体" w:eastAsia="宋体" w:cs="宋体"/>
          <w:b/>
          <w:bCs/>
          <w:color w:val="auto"/>
          <w:sz w:val="32"/>
          <w:szCs w:val="32"/>
          <w:highlight w:val="none"/>
        </w:rPr>
      </w:pPr>
    </w:p>
    <w:p w14:paraId="44EDEA7D">
      <w:pPr>
        <w:pStyle w:val="6"/>
        <w:keepNext w:val="0"/>
        <w:keepLines w:val="0"/>
        <w:pageBreakBefore w:val="0"/>
        <w:widowControl w:val="0"/>
        <w:kinsoku/>
        <w:wordWrap/>
        <w:overflowPunct/>
        <w:topLinePunct w:val="0"/>
        <w:autoSpaceDE/>
        <w:autoSpaceDN/>
        <w:bidi w:val="0"/>
        <w:adjustRightInd w:val="0"/>
        <w:spacing w:line="360" w:lineRule="auto"/>
        <w:ind w:left="0" w:leftChars="0" w:firstLine="482" w:firstLineChars="200"/>
        <w:textAlignment w:val="baseline"/>
        <w:rPr>
          <w:rFonts w:hint="eastAsia" w:ascii="宋体" w:hAnsi="宋体" w:eastAsia="宋体" w:cs="宋体"/>
          <w:b/>
          <w:bCs/>
          <w:snapToGrid/>
          <w:color w:val="auto"/>
          <w:kern w:val="2"/>
          <w:sz w:val="24"/>
          <w:szCs w:val="24"/>
          <w:highlight w:val="none"/>
          <w:lang w:val="en-US" w:eastAsia="zh-CN" w:bidi="ar-SA"/>
        </w:rPr>
        <w:sectPr>
          <w:pgSz w:w="16838" w:h="11905" w:orient="landscape"/>
          <w:pgMar w:top="1304" w:right="1304" w:bottom="1304" w:left="1304" w:header="850" w:footer="1077" w:gutter="0"/>
          <w:pgBorders>
            <w:top w:val="none" w:sz="0" w:space="0"/>
            <w:left w:val="none" w:sz="0" w:space="0"/>
            <w:bottom w:val="none" w:sz="0" w:space="0"/>
            <w:right w:val="none" w:sz="0" w:space="0"/>
          </w:pgBorders>
          <w:pgNumType w:fmt="decimal"/>
          <w:cols w:space="0" w:num="1"/>
          <w:rtlGutter w:val="0"/>
          <w:docGrid w:linePitch="312" w:charSpace="0"/>
        </w:sectPr>
      </w:pPr>
    </w:p>
    <w:p w14:paraId="44D2C413">
      <w:pPr>
        <w:pStyle w:val="6"/>
        <w:keepNext w:val="0"/>
        <w:keepLines w:val="0"/>
        <w:pageBreakBefore w:val="0"/>
        <w:widowControl w:val="0"/>
        <w:kinsoku/>
        <w:wordWrap/>
        <w:overflowPunct/>
        <w:topLinePunct w:val="0"/>
        <w:autoSpaceDE/>
        <w:autoSpaceDN/>
        <w:bidi w:val="0"/>
        <w:adjustRightInd w:val="0"/>
        <w:spacing w:line="360" w:lineRule="auto"/>
        <w:ind w:left="0" w:leftChars="0" w:firstLine="482" w:firstLineChars="200"/>
        <w:textAlignment w:val="baseline"/>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snapToGrid/>
          <w:color w:val="auto"/>
          <w:kern w:val="2"/>
          <w:sz w:val="24"/>
          <w:szCs w:val="24"/>
          <w:highlight w:val="none"/>
          <w:lang w:val="en-US" w:eastAsia="zh-CN" w:bidi="ar-SA"/>
        </w:rPr>
        <w:t>四、其他要求</w:t>
      </w:r>
    </w:p>
    <w:p w14:paraId="7B94BDF9">
      <w:pPr>
        <w:keepNext w:val="0"/>
        <w:keepLines w:val="0"/>
        <w:pageBreakBefore w:val="0"/>
        <w:widowControl w:val="0"/>
        <w:kinsoku/>
        <w:wordWrap/>
        <w:overflowPunct/>
        <w:topLinePunct w:val="0"/>
        <w:autoSpaceDE/>
        <w:autoSpaceDN/>
        <w:bidi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（一）培训及售后服务 </w:t>
      </w:r>
    </w:p>
    <w:p w14:paraId="0FDFF74F">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1.培训 </w:t>
      </w:r>
    </w:p>
    <w:p w14:paraId="6B3796FB">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为确保</w:t>
      </w:r>
      <w:r>
        <w:rPr>
          <w:rFonts w:hint="eastAsia" w:ascii="宋体" w:hAnsi="宋体" w:eastAsia="宋体" w:cs="宋体"/>
          <w:color w:val="auto"/>
          <w:kern w:val="2"/>
          <w:sz w:val="24"/>
          <w:szCs w:val="24"/>
          <w:highlight w:val="none"/>
          <w:lang w:val="en-US" w:eastAsia="zh-CN"/>
        </w:rPr>
        <w:t>对</w:t>
      </w:r>
      <w:r>
        <w:rPr>
          <w:rFonts w:hint="eastAsia" w:ascii="宋体" w:hAnsi="宋体" w:eastAsia="宋体" w:cs="宋体"/>
          <w:color w:val="auto"/>
          <w:kern w:val="2"/>
          <w:sz w:val="24"/>
          <w:szCs w:val="24"/>
          <w:highlight w:val="none"/>
        </w:rPr>
        <w:t>系统操作与维护</w:t>
      </w:r>
      <w:r>
        <w:rPr>
          <w:rFonts w:hint="eastAsia" w:ascii="宋体" w:hAnsi="宋体" w:eastAsia="宋体" w:cs="宋体"/>
          <w:color w:val="auto"/>
          <w:kern w:val="2"/>
          <w:sz w:val="24"/>
          <w:szCs w:val="24"/>
          <w:highlight w:val="none"/>
          <w:lang w:val="en-US" w:eastAsia="zh-CN"/>
        </w:rPr>
        <w:t>的充分掌握</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投标人须</w:t>
      </w:r>
      <w:r>
        <w:rPr>
          <w:rFonts w:hint="eastAsia" w:ascii="宋体" w:hAnsi="宋体" w:eastAsia="宋体" w:cs="宋体"/>
          <w:color w:val="auto"/>
          <w:kern w:val="2"/>
          <w:sz w:val="24"/>
          <w:szCs w:val="24"/>
          <w:highlight w:val="none"/>
        </w:rPr>
        <w:t>提供全面的培训服务。</w:t>
      </w:r>
    </w:p>
    <w:p w14:paraId="449BCBFB">
      <w:pPr>
        <w:pStyle w:val="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培训内容</w:t>
      </w:r>
      <w:r>
        <w:rPr>
          <w:rFonts w:hint="eastAsia" w:ascii="宋体" w:hAnsi="宋体" w:eastAsia="宋体" w:cs="宋体"/>
          <w:color w:val="auto"/>
          <w:kern w:val="2"/>
          <w:sz w:val="24"/>
          <w:szCs w:val="24"/>
          <w:highlight w:val="none"/>
          <w:lang w:val="en-US" w:eastAsia="zh-CN"/>
        </w:rPr>
        <w:t>需</w:t>
      </w:r>
      <w:r>
        <w:rPr>
          <w:rFonts w:hint="eastAsia" w:ascii="宋体" w:hAnsi="宋体" w:eastAsia="宋体" w:cs="宋体"/>
          <w:color w:val="auto"/>
          <w:kern w:val="2"/>
          <w:sz w:val="24"/>
          <w:szCs w:val="24"/>
          <w:highlight w:val="none"/>
        </w:rPr>
        <w:t>涵盖系统日常操作、故障排查及基本维护等方面。培训对象包括</w:t>
      </w:r>
      <w:r>
        <w:rPr>
          <w:rFonts w:hint="eastAsia" w:ascii="宋体" w:hAnsi="宋体" w:eastAsia="宋体" w:cs="宋体"/>
          <w:color w:val="auto"/>
          <w:kern w:val="2"/>
          <w:sz w:val="24"/>
          <w:szCs w:val="24"/>
          <w:highlight w:val="none"/>
          <w:lang w:val="en-US" w:eastAsia="zh-CN"/>
        </w:rPr>
        <w:t>各部门</w:t>
      </w:r>
      <w:r>
        <w:rPr>
          <w:rFonts w:hint="eastAsia" w:ascii="宋体" w:hAnsi="宋体" w:eastAsia="宋体" w:cs="宋体"/>
          <w:color w:val="auto"/>
          <w:kern w:val="2"/>
          <w:sz w:val="24"/>
          <w:szCs w:val="24"/>
          <w:highlight w:val="none"/>
        </w:rPr>
        <w:t>系统管理员、操作人员及相关</w:t>
      </w:r>
      <w:r>
        <w:rPr>
          <w:rFonts w:hint="eastAsia" w:ascii="宋体" w:hAnsi="宋体" w:eastAsia="宋体" w:cs="宋体"/>
          <w:color w:val="auto"/>
          <w:kern w:val="2"/>
          <w:sz w:val="24"/>
          <w:szCs w:val="24"/>
          <w:highlight w:val="none"/>
          <w:lang w:val="en-US" w:eastAsia="zh-CN"/>
        </w:rPr>
        <w:t>使用</w:t>
      </w:r>
      <w:r>
        <w:rPr>
          <w:rFonts w:hint="eastAsia" w:ascii="宋体" w:hAnsi="宋体" w:eastAsia="宋体" w:cs="宋体"/>
          <w:color w:val="auto"/>
          <w:kern w:val="2"/>
          <w:sz w:val="24"/>
          <w:szCs w:val="24"/>
          <w:highlight w:val="none"/>
        </w:rPr>
        <w:t>人</w:t>
      </w:r>
      <w:bookmarkStart w:id="0" w:name="_GoBack"/>
      <w:bookmarkEnd w:id="0"/>
      <w:r>
        <w:rPr>
          <w:rFonts w:hint="eastAsia" w:ascii="宋体" w:hAnsi="宋体" w:eastAsia="宋体" w:cs="宋体"/>
          <w:color w:val="auto"/>
          <w:kern w:val="2"/>
          <w:sz w:val="24"/>
          <w:szCs w:val="24"/>
          <w:highlight w:val="none"/>
        </w:rPr>
        <w:t>员。培训方式</w:t>
      </w:r>
      <w:r>
        <w:rPr>
          <w:rFonts w:hint="eastAsia" w:ascii="宋体" w:hAnsi="宋体" w:eastAsia="宋体" w:cs="宋体"/>
          <w:color w:val="auto"/>
          <w:kern w:val="2"/>
          <w:sz w:val="24"/>
          <w:szCs w:val="24"/>
          <w:highlight w:val="none"/>
          <w:lang w:val="en-US" w:eastAsia="zh-CN"/>
        </w:rPr>
        <w:t>需结合用户实际需求，</w:t>
      </w:r>
      <w:r>
        <w:rPr>
          <w:rFonts w:hint="eastAsia" w:ascii="宋体" w:hAnsi="宋体" w:eastAsia="宋体" w:cs="宋体"/>
          <w:color w:val="auto"/>
          <w:kern w:val="2"/>
          <w:sz w:val="24"/>
          <w:szCs w:val="24"/>
          <w:highlight w:val="none"/>
        </w:rPr>
        <w:t>采用线上与线下</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集中式与现场培训</w:t>
      </w:r>
      <w:r>
        <w:rPr>
          <w:rFonts w:hint="eastAsia" w:ascii="宋体" w:hAnsi="宋体" w:eastAsia="宋体" w:cs="宋体"/>
          <w:color w:val="auto"/>
          <w:kern w:val="2"/>
          <w:sz w:val="24"/>
          <w:szCs w:val="24"/>
          <w:highlight w:val="none"/>
        </w:rPr>
        <w:t>相结合的形式。</w:t>
      </w:r>
    </w:p>
    <w:p w14:paraId="27751696">
      <w:pPr>
        <w:pStyle w:val="6"/>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供应商须</w:t>
      </w:r>
      <w:r>
        <w:rPr>
          <w:rFonts w:hint="eastAsia" w:ascii="宋体" w:hAnsi="宋体" w:eastAsia="宋体" w:cs="宋体"/>
          <w:color w:val="auto"/>
          <w:kern w:val="2"/>
          <w:sz w:val="24"/>
          <w:szCs w:val="24"/>
          <w:highlight w:val="none"/>
        </w:rPr>
        <w:t>提供详细的培训计划</w:t>
      </w:r>
      <w:r>
        <w:rPr>
          <w:rFonts w:hint="eastAsia" w:ascii="宋体" w:hAnsi="宋体" w:eastAsia="宋体" w:cs="宋体"/>
          <w:color w:val="auto"/>
          <w:kern w:val="2"/>
          <w:sz w:val="24"/>
          <w:szCs w:val="24"/>
          <w:highlight w:val="none"/>
          <w:lang w:val="en-US" w:eastAsia="zh-CN"/>
        </w:rPr>
        <w:t>及培训资料</w:t>
      </w:r>
      <w:r>
        <w:rPr>
          <w:rFonts w:hint="eastAsia" w:ascii="宋体" w:hAnsi="宋体" w:eastAsia="宋体" w:cs="宋体"/>
          <w:color w:val="auto"/>
          <w:kern w:val="2"/>
          <w:sz w:val="24"/>
          <w:szCs w:val="24"/>
          <w:highlight w:val="none"/>
        </w:rPr>
        <w:t>，并在系统交付使用前完成至少两轮培训，确保用户能够熟练操作系统。</w:t>
      </w:r>
    </w:p>
    <w:p w14:paraId="201F6A43">
      <w:pPr>
        <w:pStyle w:val="6"/>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2.售后服务 </w:t>
      </w:r>
    </w:p>
    <w:p w14:paraId="39743999">
      <w:pPr>
        <w:pStyle w:val="6"/>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须提供本地化技术服务。</w:t>
      </w:r>
      <w:r>
        <w:rPr>
          <w:rFonts w:hint="eastAsia" w:ascii="宋体" w:hAnsi="宋体" w:eastAsia="宋体" w:cs="宋体"/>
          <w:color w:val="auto"/>
          <w:kern w:val="2"/>
          <w:sz w:val="24"/>
          <w:szCs w:val="24"/>
          <w:highlight w:val="none"/>
          <w:lang w:val="en-US" w:eastAsia="zh-CN"/>
        </w:rPr>
        <w:t>运维期内供应商</w:t>
      </w:r>
      <w:r>
        <w:rPr>
          <w:rFonts w:hint="eastAsia" w:ascii="宋体" w:hAnsi="宋体" w:eastAsia="宋体" w:cs="宋体"/>
          <w:color w:val="auto"/>
          <w:kern w:val="2"/>
          <w:sz w:val="24"/>
          <w:szCs w:val="24"/>
          <w:highlight w:val="none"/>
        </w:rPr>
        <w:t>须保持与用户的联系，随时交流系统的应用情况，</w:t>
      </w:r>
      <w:r>
        <w:rPr>
          <w:rFonts w:hint="eastAsia" w:ascii="宋体" w:hAnsi="宋体" w:eastAsia="宋体" w:cs="宋体"/>
          <w:color w:val="auto"/>
          <w:kern w:val="2"/>
          <w:sz w:val="24"/>
          <w:szCs w:val="24"/>
          <w:highlight w:val="none"/>
          <w:lang w:val="en-US" w:eastAsia="zh-CN"/>
        </w:rPr>
        <w:t>并建立专门的售后服务团队，</w:t>
      </w:r>
      <w:r>
        <w:rPr>
          <w:rFonts w:hint="eastAsia" w:ascii="宋体" w:hAnsi="宋体" w:eastAsia="宋体" w:cs="宋体"/>
          <w:color w:val="auto"/>
          <w:kern w:val="2"/>
          <w:sz w:val="24"/>
          <w:szCs w:val="24"/>
          <w:highlight w:val="none"/>
        </w:rPr>
        <w:t>提供完善的售后服务方案</w:t>
      </w:r>
      <w:r>
        <w:rPr>
          <w:rFonts w:hint="eastAsia" w:ascii="宋体" w:hAnsi="宋体" w:eastAsia="宋体" w:cs="宋体"/>
          <w:color w:val="auto"/>
          <w:kern w:val="2"/>
          <w:sz w:val="24"/>
          <w:szCs w:val="24"/>
          <w:highlight w:val="none"/>
          <w:lang w:val="en-US" w:eastAsia="zh-CN"/>
        </w:rPr>
        <w:t>及售后服务</w:t>
      </w:r>
      <w:r>
        <w:rPr>
          <w:rFonts w:hint="eastAsia" w:ascii="宋体" w:hAnsi="宋体" w:eastAsia="宋体" w:cs="宋体"/>
          <w:color w:val="auto"/>
          <w:kern w:val="2"/>
          <w:sz w:val="24"/>
          <w:szCs w:val="24"/>
          <w:highlight w:val="none"/>
        </w:rPr>
        <w:t>。除售后服务外，</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还</w:t>
      </w:r>
      <w:r>
        <w:rPr>
          <w:rFonts w:hint="eastAsia" w:ascii="宋体" w:hAnsi="宋体" w:eastAsia="宋体" w:cs="宋体"/>
          <w:color w:val="auto"/>
          <w:kern w:val="2"/>
          <w:sz w:val="24"/>
          <w:szCs w:val="24"/>
          <w:highlight w:val="none"/>
          <w:lang w:val="en-US" w:eastAsia="zh-CN"/>
        </w:rPr>
        <w:t>需</w:t>
      </w:r>
      <w:r>
        <w:rPr>
          <w:rFonts w:hint="eastAsia" w:ascii="宋体" w:hAnsi="宋体" w:eastAsia="宋体" w:cs="宋体"/>
          <w:color w:val="auto"/>
          <w:kern w:val="2"/>
          <w:sz w:val="24"/>
          <w:szCs w:val="24"/>
          <w:highlight w:val="none"/>
        </w:rPr>
        <w:t>提供持续的技术支持与咨询服务。用户在使用系统过程中遇到的任何问题，无论是技术难题还是操作疑问，</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都</w:t>
      </w:r>
      <w:r>
        <w:rPr>
          <w:rFonts w:hint="eastAsia" w:ascii="宋体" w:hAnsi="宋体" w:eastAsia="宋体" w:cs="宋体"/>
          <w:color w:val="auto"/>
          <w:kern w:val="2"/>
          <w:sz w:val="24"/>
          <w:szCs w:val="24"/>
          <w:highlight w:val="none"/>
          <w:lang w:val="en-US" w:eastAsia="zh-CN"/>
        </w:rPr>
        <w:t>应</w:t>
      </w:r>
      <w:r>
        <w:rPr>
          <w:rFonts w:hint="eastAsia" w:ascii="宋体" w:hAnsi="宋体" w:eastAsia="宋体" w:cs="宋体"/>
          <w:color w:val="auto"/>
          <w:kern w:val="2"/>
          <w:sz w:val="24"/>
          <w:szCs w:val="24"/>
          <w:highlight w:val="none"/>
        </w:rPr>
        <w:t>提供详尽的解答和指导。</w:t>
      </w:r>
      <w:r>
        <w:rPr>
          <w:rFonts w:hint="eastAsia" w:ascii="宋体" w:hAnsi="宋体" w:eastAsia="宋体" w:cs="宋体"/>
          <w:color w:val="auto"/>
          <w:kern w:val="2"/>
          <w:sz w:val="24"/>
          <w:szCs w:val="24"/>
          <w:highlight w:val="none"/>
          <w:lang w:val="en-US" w:eastAsia="zh-CN"/>
        </w:rPr>
        <w:t>供应商须</w:t>
      </w:r>
      <w:r>
        <w:rPr>
          <w:rFonts w:hint="eastAsia" w:ascii="宋体" w:hAnsi="宋体" w:eastAsia="宋体" w:cs="宋体"/>
          <w:color w:val="auto"/>
          <w:kern w:val="2"/>
          <w:sz w:val="24"/>
          <w:szCs w:val="24"/>
          <w:highlight w:val="none"/>
        </w:rPr>
        <w:t>定期对系统进行维护检查，确保系统稳定运行</w:t>
      </w:r>
      <w:r>
        <w:rPr>
          <w:rFonts w:hint="eastAsia" w:ascii="宋体" w:hAnsi="宋体" w:eastAsia="宋体" w:cs="宋体"/>
          <w:color w:val="auto"/>
          <w:kern w:val="2"/>
          <w:sz w:val="24"/>
          <w:szCs w:val="24"/>
          <w:highlight w:val="none"/>
          <w:lang w:eastAsia="zh-CN"/>
        </w:rPr>
        <w:t>。</w:t>
      </w:r>
    </w:p>
    <w:p w14:paraId="164BA39E">
      <w:pPr>
        <w:pStyle w:val="6"/>
        <w:pageBreakBefore w:val="0"/>
        <w:widowControl w:val="0"/>
        <w:kinsoku/>
        <w:wordWrap/>
        <w:overflowPunct/>
        <w:topLinePunct w:val="0"/>
        <w:autoSpaceDE/>
        <w:autoSpaceDN/>
        <w:bidi w:val="0"/>
        <w:adjustRightInd w:val="0"/>
        <w:spacing w:line="360" w:lineRule="auto"/>
        <w:ind w:left="0" w:leftChars="0" w:firstLine="482" w:firstLineChars="200"/>
        <w:textAlignment w:val="baseline"/>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（二）文档资料及版权</w:t>
      </w:r>
    </w:p>
    <w:p w14:paraId="3F0733AD">
      <w:pPr>
        <w:pStyle w:val="6"/>
        <w:pageBreakBefore w:val="0"/>
        <w:widowControl w:val="0"/>
        <w:kinsoku/>
        <w:wordWrap/>
        <w:overflowPunct/>
        <w:topLinePunct w:val="0"/>
        <w:autoSpaceDE/>
        <w:autoSpaceDN/>
        <w:bidi w:val="0"/>
        <w:adjustRightInd w:val="0"/>
        <w:spacing w:line="360" w:lineRule="auto"/>
        <w:ind w:left="0" w:leftChars="0" w:firstLine="480" w:firstLineChars="200"/>
        <w:textAlignment w:val="baseline"/>
        <w:rPr>
          <w:rFonts w:hint="eastAsia" w:ascii="宋体" w:hAnsi="宋体" w:eastAsia="宋体" w:cs="宋体"/>
          <w:bCs w:val="0"/>
          <w:snapToGrid/>
          <w:color w:val="auto"/>
          <w:kern w:val="2"/>
          <w:sz w:val="24"/>
          <w:szCs w:val="24"/>
          <w:highlight w:val="none"/>
          <w:lang w:val="en-US" w:eastAsia="zh-CN" w:bidi="ar-SA"/>
        </w:rPr>
      </w:pPr>
      <w:r>
        <w:rPr>
          <w:rFonts w:hint="eastAsia" w:ascii="宋体" w:hAnsi="宋体" w:eastAsia="宋体" w:cs="宋体"/>
          <w:bCs w:val="0"/>
          <w:snapToGrid/>
          <w:color w:val="auto"/>
          <w:kern w:val="2"/>
          <w:sz w:val="24"/>
          <w:szCs w:val="24"/>
          <w:highlight w:val="none"/>
          <w:lang w:val="en-US" w:eastAsia="zh-CN" w:bidi="ar-SA"/>
        </w:rPr>
        <w:t>本项目软件的版权归属于采购人。成交人必须按照国家相关标准规范，提供完整规范的需求规格说明书、概要设计说明书、详细设计说明书、接口说明书、数据库设计说明书（含数据字典）、源代码及说明文档、用户操作维护手册、系统部署方案、功能/性能测试报告、培训记录、标准规范等文档资料。同时，确保所提交文档资料的可读性。</w:t>
      </w:r>
    </w:p>
    <w:p w14:paraId="09BC8895">
      <w:pPr>
        <w:keepNext w:val="0"/>
        <w:keepLines w:val="0"/>
        <w:pageBreakBefore w:val="0"/>
        <w:widowControl w:val="0"/>
        <w:kinsoku/>
        <w:wordWrap w:val="0"/>
        <w:overflowPunct/>
        <w:topLinePunct/>
        <w:autoSpaceDE/>
        <w:autoSpaceDN/>
        <w:bidi w:val="0"/>
        <w:adjustRightInd/>
        <w:snapToGrid/>
        <w:spacing w:line="360" w:lineRule="auto"/>
        <w:ind w:left="0" w:leftChars="0"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w:t>
      </w:r>
    </w:p>
    <w:p w14:paraId="4E905EEC">
      <w:pPr>
        <w:keepNext w:val="0"/>
        <w:keepLines w:val="0"/>
        <w:pageBreakBefore w:val="0"/>
        <w:widowControl w:val="0"/>
        <w:kinsoku/>
        <w:wordWrap w:val="0"/>
        <w:overflowPunct/>
        <w:topLinePunct/>
        <w:autoSpaceDE/>
        <w:autoSpaceDN/>
        <w:bidi w:val="0"/>
        <w:adjustRightInd/>
        <w:snapToGrid/>
        <w:spacing w:line="360" w:lineRule="auto"/>
        <w:ind w:left="0" w:lef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系统正式上线运行后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由采购人及郑东新区经济发展局</w:t>
      </w:r>
      <w:r>
        <w:rPr>
          <w:rFonts w:hint="eastAsia" w:ascii="宋体" w:hAnsi="宋体" w:eastAsia="宋体" w:cs="宋体"/>
          <w:color w:val="auto"/>
          <w:sz w:val="24"/>
          <w:szCs w:val="24"/>
          <w:highlight w:val="none"/>
          <w:lang w:eastAsia="zh-CN"/>
        </w:rPr>
        <w:t>组织对乙方履约的验收，即：按照合同约定的标准，组织对乙方履约情况的验收，并出具验收书。</w:t>
      </w:r>
    </w:p>
    <w:p w14:paraId="4DE174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A8EA7">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DB8CA4">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BDB8CA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16DF7">
    <w:pPr>
      <w:pStyle w:val="2"/>
      <w:pBdr>
        <w:top w:val="single" w:color="auto" w:sz="4" w:space="1"/>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F4272">
                          <w:pPr>
                            <w:pStyle w:val="2"/>
                            <w:pBdr>
                              <w:top w:val="single" w:color="auto" w:sz="4" w:space="1"/>
                            </w:pBdr>
                          </w:pPr>
                          <w:r>
                            <w:rPr>
                              <w:rFonts w:hint="eastAsia"/>
                            </w:rPr>
                            <w:t xml:space="preserve">河南省至诚招标采购服务有限公司                    </w:t>
                          </w: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42F4272">
                    <w:pPr>
                      <w:pStyle w:val="2"/>
                      <w:pBdr>
                        <w:top w:val="single" w:color="auto" w:sz="4" w:space="1"/>
                      </w:pBdr>
                    </w:pPr>
                    <w:r>
                      <w:rPr>
                        <w:rFonts w:hint="eastAsia"/>
                      </w:rPr>
                      <w:t xml:space="preserve">河南省至诚招标采购服务有限公司                    </w:t>
                    </w: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txbxContent>
              </v:textbox>
            </v:shape>
          </w:pict>
        </mc:Fallback>
      </mc:AlternateContent>
    </w:r>
  </w:p>
  <w:p w14:paraId="521A1B8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EC0B">
    <w:pPr>
      <w:pStyle w:val="3"/>
      <w:jc w:val="distribute"/>
    </w:pPr>
    <w:r>
      <w:rPr>
        <w:rFonts w:hint="eastAsia" w:ascii="宋体" w:hAnsi="宋体"/>
        <w:bCs/>
        <w:szCs w:val="21"/>
        <w:lang w:eastAsia="zh-CN"/>
      </w:rPr>
      <w:t>郑东新区新型智慧城市运行中心郑东新区营商环境网格化智慧系统项目</w:t>
    </w:r>
    <w:r>
      <w:rPr>
        <w:rFonts w:hint="eastAsia" w:ascii="宋体" w:hAnsi="宋体"/>
        <w:bCs/>
        <w:szCs w:val="21"/>
      </w:rPr>
      <w:t xml:space="preserve">采购项目     </w:t>
    </w:r>
    <w:r>
      <w:rPr>
        <w:rFonts w:hint="eastAsia" w:ascii="宋体" w:hAnsi="宋体"/>
        <w:bCs/>
        <w:szCs w:val="21"/>
        <w:lang w:val="en-US" w:eastAsia="zh-CN"/>
      </w:rPr>
      <w:t>竞争性</w:t>
    </w:r>
    <w:r>
      <w:rPr>
        <w:rFonts w:hint="eastAsia" w:ascii="宋体" w:hAnsi="宋体"/>
        <w:bCs/>
        <w:szCs w:val="21"/>
        <w:lang w:eastAsia="zh-CN"/>
      </w:rPr>
      <w:t>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32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猫大喵</cp:lastModifiedBy>
  <dcterms:modified xsi:type="dcterms:W3CDTF">2024-12-16T09:35:13Z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FA38FAAAEF894D9F8A3BD9CB328CE9E9_12</vt:lpwstr>
  </property>
</Properties>
</file>