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adjustRightInd w:val="0"/>
        <w:snapToGrid w:val="0"/>
        <w:spacing w:line="440" w:lineRule="exact"/>
        <w:ind w:leftChars="0"/>
        <w:jc w:val="center"/>
        <w:rPr>
          <w:rFonts w:hint="eastAsia" w:ascii="宋体" w:hAnsi="宋体" w:eastAsia="宋体" w:cs="宋体"/>
          <w:b/>
          <w:color w:val="auto"/>
          <w:sz w:val="28"/>
          <w:szCs w:val="28"/>
          <w:highlight w:val="none"/>
          <w:lang w:eastAsia="zh-CN"/>
        </w:rPr>
      </w:pPr>
      <w:bookmarkStart w:id="0" w:name="_Toc24253"/>
      <w:r>
        <w:rPr>
          <w:rFonts w:hint="eastAsia" w:ascii="宋体" w:hAnsi="宋体" w:eastAsia="宋体" w:cs="宋体"/>
          <w:b/>
          <w:color w:val="auto"/>
          <w:sz w:val="28"/>
          <w:szCs w:val="28"/>
          <w:highlight w:val="none"/>
          <w:lang w:eastAsia="zh-CN"/>
        </w:rPr>
        <w:t>郑州旅游职业学院报告厅、多功能厅装修工程项目磋商公告</w:t>
      </w:r>
      <w:bookmarkEnd w:id="0"/>
    </w:p>
    <w:p>
      <w:pPr>
        <w:adjustRightInd w:val="0"/>
        <w:snapToGrid w:val="0"/>
        <w:spacing w:line="436" w:lineRule="exact"/>
        <w:rPr>
          <w:rFonts w:hint="eastAsia" w:ascii="宋体" w:hAnsi="宋体" w:eastAsia="宋体" w:cs="宋体"/>
          <w:b w:val="0"/>
          <w:bCs w:val="0"/>
          <w:color w:val="auto"/>
          <w:sz w:val="21"/>
          <w:szCs w:val="21"/>
          <w:highlight w:val="none"/>
          <w:lang w:eastAsia="zh-CN"/>
        </w:rPr>
      </w:pPr>
      <w:bookmarkStart w:id="1" w:name="_Toc496621882"/>
      <w:bookmarkEnd w:id="1"/>
    </w:p>
    <w:p>
      <w:pPr>
        <w:adjustRightInd w:val="0"/>
        <w:snapToGrid w:val="0"/>
        <w:spacing w:line="436"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项目概况</w:t>
      </w:r>
    </w:p>
    <w:p>
      <w:pPr>
        <w:adjustRightInd w:val="0"/>
        <w:snapToGrid w:val="0"/>
        <w:spacing w:line="436" w:lineRule="exact"/>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郑州旅游职业学院报告厅、多功能厅装修工程项目</w:t>
      </w:r>
      <w:r>
        <w:rPr>
          <w:rFonts w:hint="eastAsia" w:ascii="宋体" w:hAnsi="宋体" w:eastAsia="宋体" w:cs="宋体"/>
          <w:b w:val="0"/>
          <w:bCs w:val="0"/>
          <w:color w:val="auto"/>
          <w:sz w:val="21"/>
          <w:szCs w:val="21"/>
          <w:highlight w:val="none"/>
          <w:lang w:eastAsia="zh-CN"/>
        </w:rPr>
        <w:t>的潜在投标人应在郑州市公共资源交易中心网（http://zzggzy.zhengzhou.gov.cn/）获取招标文件，并于</w:t>
      </w:r>
      <w:r>
        <w:rPr>
          <w:rFonts w:hint="eastAsia" w:ascii="宋体" w:hAnsi="宋体" w:cs="宋体"/>
          <w:b w:val="0"/>
          <w:bCs w:val="0"/>
          <w:color w:val="auto"/>
          <w:sz w:val="21"/>
          <w:szCs w:val="21"/>
          <w:highlight w:val="none"/>
          <w:lang w:val="en-US" w:eastAsia="zh-CN"/>
        </w:rPr>
        <w:t>2022</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eastAsia="zh-CN"/>
        </w:rPr>
        <w:t>日10时00分（北京时间）前递交响应文件。</w:t>
      </w:r>
    </w:p>
    <w:p>
      <w:pPr>
        <w:adjustRightInd w:val="0"/>
        <w:snapToGrid w:val="0"/>
        <w:spacing w:line="436"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一、项目基本情况</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1、项目编号：郑财磋商采购-2022-1</w:t>
      </w:r>
      <w:r>
        <w:rPr>
          <w:rFonts w:hint="eastAsia" w:ascii="宋体" w:hAnsi="宋体" w:eastAsia="宋体" w:cs="宋体"/>
          <w:color w:val="auto"/>
          <w:sz w:val="21"/>
          <w:szCs w:val="21"/>
          <w:highlight w:val="none"/>
          <w:lang w:val="en-US" w:eastAsia="zh-CN"/>
        </w:rPr>
        <w:t>33</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2、项目名称：郑州旅游职业学院报告厅、多功能厅装修工程项目</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3、项目位于：郑州旅游职业学院象湖校区</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4、采购方式：竞争性磋商</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5、预算金额：</w:t>
      </w:r>
      <w:r>
        <w:rPr>
          <w:rFonts w:hint="eastAsia" w:ascii="宋体" w:hAnsi="宋体" w:eastAsia="宋体" w:cs="宋体"/>
          <w:color w:val="auto"/>
          <w:sz w:val="21"/>
          <w:szCs w:val="21"/>
          <w:highlight w:val="none"/>
          <w:lang w:val="en-US" w:eastAsia="zh-CN"/>
        </w:rPr>
        <w:t>12303606.10</w:t>
      </w:r>
      <w:r>
        <w:rPr>
          <w:rFonts w:hint="eastAsia" w:ascii="宋体" w:hAnsi="宋体" w:eastAsia="宋体" w:cs="宋体"/>
          <w:color w:val="auto"/>
          <w:sz w:val="21"/>
          <w:szCs w:val="21"/>
          <w:highlight w:val="none"/>
          <w:lang w:eastAsia="zh-CN"/>
        </w:rPr>
        <w:t>元</w:t>
      </w:r>
      <w:r>
        <w:rPr>
          <w:rFonts w:hint="eastAsia" w:ascii="宋体" w:hAnsi="宋体" w:cs="宋体"/>
          <w:color w:val="auto"/>
          <w:sz w:val="21"/>
          <w:szCs w:val="21"/>
          <w:highlight w:val="none"/>
          <w:lang w:eastAsia="zh-CN"/>
        </w:rPr>
        <w:t>，最高限价：</w:t>
      </w:r>
      <w:r>
        <w:rPr>
          <w:rFonts w:hint="eastAsia" w:ascii="宋体" w:hAnsi="宋体" w:cs="宋体"/>
          <w:color w:val="auto"/>
          <w:sz w:val="21"/>
          <w:szCs w:val="21"/>
          <w:highlight w:val="none"/>
          <w:lang w:val="en-US" w:eastAsia="zh-CN"/>
        </w:rPr>
        <w:t>12301317.82元。</w:t>
      </w:r>
    </w:p>
    <w:tbl>
      <w:tblPr>
        <w:tblStyle w:val="11"/>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45"/>
        <w:gridCol w:w="2645"/>
        <w:gridCol w:w="1616"/>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2"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2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包号</w:t>
            </w:r>
          </w:p>
        </w:tc>
        <w:tc>
          <w:tcPr>
            <w:tcW w:w="26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包名称</w:t>
            </w:r>
          </w:p>
        </w:tc>
        <w:tc>
          <w:tcPr>
            <w:tcW w:w="1616" w:type="dxa"/>
            <w:noWrap w:val="0"/>
            <w:vAlign w:val="center"/>
          </w:tcPr>
          <w:p>
            <w:pPr>
              <w:ind w:left="-4" w:leftChars="-28" w:hanging="58" w:hanging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包预算</w:t>
            </w:r>
          </w:p>
          <w:p>
            <w:pPr>
              <w:ind w:left="-4" w:leftChars="-28" w:hanging="58" w:hanging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（元）</w:t>
            </w:r>
          </w:p>
        </w:tc>
        <w:tc>
          <w:tcPr>
            <w:tcW w:w="1718" w:type="dxa"/>
            <w:noWrap w:val="0"/>
            <w:vAlign w:val="center"/>
          </w:tcPr>
          <w:p>
            <w:pPr>
              <w:ind w:left="-4" w:leftChars="-28" w:hanging="58" w:hanging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包最高限价</w:t>
            </w:r>
          </w:p>
          <w:p>
            <w:pPr>
              <w:ind w:left="-4" w:leftChars="-28" w:hanging="58" w:hanging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2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w:t>
            </w:r>
          </w:p>
        </w:tc>
        <w:tc>
          <w:tcPr>
            <w:tcW w:w="26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郑州旅游职业学院1号楼报告厅装修工程</w:t>
            </w:r>
          </w:p>
        </w:tc>
        <w:tc>
          <w:tcPr>
            <w:tcW w:w="1616"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1735762.01</w:t>
            </w:r>
          </w:p>
        </w:tc>
        <w:tc>
          <w:tcPr>
            <w:tcW w:w="1718"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1734815.28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45"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p>
        </w:tc>
        <w:tc>
          <w:tcPr>
            <w:tcW w:w="26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郑州旅游职业学院2号楼A座报告厅装修工程</w:t>
            </w:r>
          </w:p>
        </w:tc>
        <w:tc>
          <w:tcPr>
            <w:tcW w:w="1616"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2108147.1</w:t>
            </w:r>
            <w:r>
              <w:rPr>
                <w:rFonts w:hint="eastAsia" w:ascii="宋体" w:hAnsi="宋体" w:eastAsia="宋体" w:cs="宋体"/>
                <w:color w:val="auto"/>
                <w:sz w:val="21"/>
                <w:szCs w:val="21"/>
                <w:highlight w:val="none"/>
                <w:lang w:val="en-US" w:eastAsia="zh-CN"/>
              </w:rPr>
              <w:t>5</w:t>
            </w:r>
          </w:p>
        </w:tc>
        <w:tc>
          <w:tcPr>
            <w:tcW w:w="1718"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2107614.42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45"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w:t>
            </w:r>
          </w:p>
        </w:tc>
        <w:tc>
          <w:tcPr>
            <w:tcW w:w="26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郑州旅游职业学院2号楼B座报告厅装修工程</w:t>
            </w:r>
          </w:p>
        </w:tc>
        <w:tc>
          <w:tcPr>
            <w:tcW w:w="1616"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2154770.17</w:t>
            </w:r>
          </w:p>
        </w:tc>
        <w:tc>
          <w:tcPr>
            <w:tcW w:w="1718"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2154288.35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45"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w:t>
            </w:r>
          </w:p>
        </w:tc>
        <w:tc>
          <w:tcPr>
            <w:tcW w:w="264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郑州旅游职业学院多功能厅装修工程</w:t>
            </w:r>
          </w:p>
        </w:tc>
        <w:tc>
          <w:tcPr>
            <w:tcW w:w="1616"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6304926.77</w:t>
            </w:r>
          </w:p>
        </w:tc>
        <w:tc>
          <w:tcPr>
            <w:tcW w:w="1718"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6304599.77</w:t>
            </w:r>
          </w:p>
        </w:tc>
      </w:tr>
    </w:tbl>
    <w:p>
      <w:pPr>
        <w:adjustRightInd w:val="0"/>
        <w:snapToGrid w:val="0"/>
        <w:spacing w:line="436" w:lineRule="exact"/>
        <w:ind w:firstLine="426"/>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备注：同一投标人仅可参与一个标包投标。</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6、采购需求（包括但不限于标的的名称、数量、简要技术需求或服务要求等）</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w:t>
      </w:r>
      <w:bookmarkStart w:id="2" w:name="_Hlk102938570"/>
      <w:r>
        <w:rPr>
          <w:rFonts w:hint="eastAsia" w:ascii="宋体" w:hAnsi="宋体" w:eastAsia="宋体" w:cs="宋体"/>
          <w:color w:val="auto"/>
          <w:sz w:val="21"/>
          <w:szCs w:val="21"/>
          <w:highlight w:val="none"/>
          <w:lang w:eastAsia="zh-CN"/>
        </w:rPr>
        <w:t>项目概况：郑州旅游职业学院报告厅、多功能厅装修工程项目，主要包含三个报告厅及一个多功能厅装修、设备的采购、安装、调试、验收、运行维护、质保期服务、与货物有关的运输及其他伴随服务。</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6.2招标范围：本项目竞争性磋商文件及工程量清单包含的所有内容。</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6.3工期：3个月。</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6.4质量要求：符合国家现行规程、规范和技术标准要求，工程质量达到合格标准。</w:t>
      </w:r>
    </w:p>
    <w:bookmarkEnd w:id="2"/>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标段划分：本项目共划分四个标段。</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A包：</w:t>
      </w:r>
      <w:r>
        <w:rPr>
          <w:rFonts w:hint="eastAsia" w:ascii="宋体" w:hAnsi="宋体" w:eastAsia="宋体" w:cs="宋体"/>
          <w:color w:val="auto"/>
          <w:sz w:val="21"/>
          <w:szCs w:val="21"/>
          <w:highlight w:val="none"/>
          <w:lang w:eastAsia="zh-CN"/>
        </w:rPr>
        <w:t xml:space="preserve"> 1号楼报告厅：大厅装修、消防系统、照明系统和音频系统等一些设备的采购和安装破除等工程。</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B包：</w:t>
      </w:r>
      <w:r>
        <w:rPr>
          <w:rFonts w:hint="eastAsia" w:ascii="宋体" w:hAnsi="宋体" w:eastAsia="宋体" w:cs="宋体"/>
          <w:color w:val="auto"/>
          <w:sz w:val="21"/>
          <w:szCs w:val="21"/>
          <w:highlight w:val="none"/>
          <w:lang w:eastAsia="zh-CN"/>
        </w:rPr>
        <w:t>2号楼A座二楼报告厅：大厅、设备控制室装修、消防系统、照明系统和音频系统等一些设备的采购和安装破除等工程。</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C包：</w:t>
      </w:r>
      <w:r>
        <w:rPr>
          <w:rFonts w:hint="eastAsia" w:ascii="宋体" w:hAnsi="宋体" w:eastAsia="宋体" w:cs="宋体"/>
          <w:color w:val="auto"/>
          <w:sz w:val="21"/>
          <w:szCs w:val="21"/>
          <w:highlight w:val="none"/>
          <w:lang w:eastAsia="zh-CN"/>
        </w:rPr>
        <w:t>2号楼B座一楼报告厅：大厅、设备控制室、放映室装修、消防系统、照明系统和音频系统等一些设备的采购和安装破除等工程。</w:t>
      </w:r>
    </w:p>
    <w:p>
      <w:pPr>
        <w:adjustRightInd w:val="0"/>
        <w:snapToGrid w:val="0"/>
        <w:spacing w:line="436" w:lineRule="exact"/>
        <w:ind w:firstLine="615" w:firstLineChars="2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D包：</w:t>
      </w:r>
      <w:r>
        <w:rPr>
          <w:rFonts w:hint="eastAsia" w:ascii="宋体" w:hAnsi="宋体" w:eastAsia="宋体" w:cs="宋体"/>
          <w:color w:val="auto"/>
          <w:sz w:val="21"/>
          <w:szCs w:val="21"/>
          <w:highlight w:val="none"/>
          <w:lang w:eastAsia="zh-CN"/>
        </w:rPr>
        <w:t>活动中心二楼多功能厅：大厅、设备控制室、贵宾室、卫生间、走廊、U型走廊装修、消防系统、照明系统和音频系统等一些设备的采购和安装破除等工程。</w:t>
      </w:r>
    </w:p>
    <w:p>
      <w:pPr>
        <w:adjustRightInd w:val="0"/>
        <w:snapToGrid w:val="0"/>
        <w:spacing w:line="436" w:lineRule="exact"/>
        <w:ind w:firstLine="426"/>
        <w:rPr>
          <w:rFonts w:hint="eastAsia" w:ascii="宋体" w:hAnsi="宋体" w:eastAsia="宋体" w:cs="宋体"/>
          <w:color w:val="auto"/>
          <w:sz w:val="21"/>
          <w:szCs w:val="21"/>
          <w:highlight w:val="none"/>
          <w:lang w:eastAsia="zh-CN"/>
        </w:rPr>
      </w:pPr>
      <w:bookmarkStart w:id="3" w:name="_Toc442271779"/>
      <w:bookmarkEnd w:id="3"/>
      <w:bookmarkStart w:id="4" w:name="_Toc496627133"/>
      <w:bookmarkEnd w:id="4"/>
      <w:bookmarkStart w:id="5" w:name="_Toc496621884"/>
      <w:bookmarkEnd w:id="5"/>
      <w:bookmarkStart w:id="6" w:name="_Toc496606436"/>
      <w:bookmarkEnd w:id="6"/>
      <w:bookmarkStart w:id="7" w:name="_Toc451504807"/>
      <w:bookmarkEnd w:id="7"/>
      <w:bookmarkStart w:id="8" w:name="_Toc496605304"/>
      <w:bookmarkEnd w:id="8"/>
      <w:bookmarkStart w:id="9" w:name="_Toc25957"/>
      <w:bookmarkEnd w:id="9"/>
      <w:bookmarkStart w:id="10" w:name="_Toc496607899"/>
      <w:bookmarkEnd w:id="10"/>
      <w:bookmarkStart w:id="11" w:name="_Toc496604844"/>
      <w:bookmarkEnd w:id="11"/>
      <w:bookmarkStart w:id="12" w:name="_Toc451505036"/>
      <w:bookmarkEnd w:id="12"/>
      <w:bookmarkStart w:id="13" w:name="_Toc459302201"/>
      <w:bookmarkEnd w:id="13"/>
      <w:bookmarkStart w:id="14" w:name="_Toc444614647"/>
      <w:bookmarkEnd w:id="14"/>
      <w:bookmarkStart w:id="15" w:name="_Toc459296260"/>
      <w:bookmarkEnd w:id="15"/>
      <w:bookmarkStart w:id="16" w:name="_Toc496626969"/>
      <w:bookmarkEnd w:id="16"/>
      <w:bookmarkStart w:id="17" w:name="_Toc496604947"/>
      <w:bookmarkEnd w:id="17"/>
      <w:bookmarkStart w:id="18" w:name="_Toc496607662"/>
      <w:r>
        <w:rPr>
          <w:rFonts w:hint="eastAsia" w:ascii="宋体" w:hAnsi="宋体" w:eastAsia="宋体" w:cs="宋体"/>
          <w:color w:val="auto"/>
          <w:sz w:val="21"/>
          <w:szCs w:val="21"/>
          <w:highlight w:val="none"/>
          <w:lang w:eastAsia="zh-CN"/>
        </w:rPr>
        <w:t>7、缺陷责任期：12个月。</w:t>
      </w:r>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8、质保期：自工程竣工验收合格之日起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p>
    <w:p>
      <w:pPr>
        <w:adjustRightInd w:val="0"/>
        <w:snapToGrid w:val="0"/>
        <w:spacing w:line="436" w:lineRule="exact"/>
        <w:ind w:firstLine="426"/>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9、本项目是否接受联合体投标：否。</w:t>
      </w:r>
      <w:bookmarkEnd w:id="18"/>
    </w:p>
    <w:p>
      <w:pPr>
        <w:adjustRightInd w:val="0"/>
        <w:snapToGrid w:val="0"/>
        <w:spacing w:line="436" w:lineRule="exact"/>
        <w:ind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是否为只面向中小企业采购：</w:t>
      </w:r>
      <w:r>
        <w:rPr>
          <w:rFonts w:hint="eastAsia" w:ascii="宋体" w:hAnsi="宋体" w:cs="宋体"/>
          <w:color w:val="auto"/>
          <w:sz w:val="21"/>
          <w:szCs w:val="21"/>
          <w:highlight w:val="none"/>
          <w:lang w:eastAsia="zh-CN"/>
        </w:rPr>
        <w:t>是</w:t>
      </w:r>
      <w:r>
        <w:rPr>
          <w:rFonts w:hint="eastAsia" w:ascii="宋体" w:hAnsi="宋体" w:eastAsia="宋体" w:cs="宋体"/>
          <w:color w:val="auto"/>
          <w:sz w:val="21"/>
          <w:szCs w:val="21"/>
          <w:highlight w:val="none"/>
          <w:lang w:eastAsia="zh-CN"/>
        </w:rPr>
        <w:t>。</w:t>
      </w:r>
    </w:p>
    <w:p>
      <w:pPr>
        <w:adjustRightInd w:val="0"/>
        <w:snapToGrid w:val="0"/>
        <w:spacing w:line="436"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二、申请人资格要求：</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bookmarkStart w:id="19" w:name="_Hlk102939153"/>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1、满足《中华人民共和国政府采购法》第二十二条规定；（以下（一）</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（六）规定，均由供应商承诺即可，格式自拟）</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（一）具有独立承担民事责任的能力；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（二）具有良好的商业信誉和健全的财务会计制度；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（三）具有履行合同所必需的设备和专业技术能力；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（四）有依法缴纳税收和社会保障资金的良好记录；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（五）参加政府采购活动前三年内，在经营活动中没有重大违法记录；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（六）法律、行政法规规定的其他条件。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2、落实政府采购政策满足的资格要求</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本项目执行促进中小型企业发展政策（监狱企业、残疾人福利性企业视同小微企业），只面向中小企业采购</w:t>
      </w:r>
      <w:r>
        <w:rPr>
          <w:rFonts w:hint="eastAsia" w:ascii="宋体" w:hAnsi="宋体" w:eastAsia="宋体" w:cs="宋体"/>
          <w:bCs/>
          <w:color w:val="auto"/>
          <w:sz w:val="21"/>
          <w:szCs w:val="21"/>
          <w:highlight w:val="none"/>
          <w:lang w:eastAsia="zh-CN"/>
        </w:rPr>
        <w:t xml:space="preserve">。 </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3、本项目的特定资格要求</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3.1供应商须具备建设行政主管部门颁发的建筑装饰装修工程施工专业承包贰级（含贰级）或建筑工程施工总承包叁级（含叁级）及以上资质，同时具有有效的安全生产许可证，并在人员、设备、资金等方面具备相应的施工能力（提供书面承诺即可，</w:t>
      </w:r>
      <w:r>
        <w:rPr>
          <w:rFonts w:hint="eastAsia" w:ascii="宋体" w:hAnsi="宋体" w:eastAsia="宋体" w:cs="宋体"/>
          <w:bCs/>
          <w:color w:val="auto"/>
          <w:sz w:val="21"/>
          <w:szCs w:val="21"/>
          <w:highlight w:val="none"/>
          <w:lang w:val="en-US" w:eastAsia="zh-CN"/>
        </w:rPr>
        <w:t>格式自拟</w:t>
      </w:r>
      <w:r>
        <w:rPr>
          <w:rFonts w:hint="eastAsia" w:ascii="宋体" w:hAnsi="宋体" w:eastAsia="宋体" w:cs="宋体"/>
          <w:bCs/>
          <w:color w:val="auto"/>
          <w:sz w:val="21"/>
          <w:szCs w:val="21"/>
          <w:highlight w:val="none"/>
          <w:lang w:eastAsia="zh-CN"/>
        </w:rPr>
        <w:t>）；</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3.2投标人拟派项目经理须具备有效的建筑工程专业贰级(含)及以上建造师注册资格证书（不含临时证书），且具有安全生产考核合格证书（B证），并无在建和正在承接的项目（企业出具无在建工程承诺书）；与投标人具有劳动合同关系，并在投标企业缴纳社会保险证明（提供书面承诺即可）；</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3.3根据财政部《关于在政府采购活动中查询及使用信用记录有关问题的通知》（财库〔2016〕125号）要求，被列入“信用中国”网站（www.creditchina.gov.cn）“失信被执行人”-（此项查询以信用中国网站自动链接至中国执行信息公开网的查询结果为准）、“</w:t>
      </w:r>
      <w:r>
        <w:rPr>
          <w:rFonts w:hint="eastAsia" w:ascii="宋体" w:hAnsi="宋体" w:eastAsia="宋体" w:cs="宋体"/>
          <w:color w:val="auto"/>
          <w:sz w:val="21"/>
          <w:szCs w:val="21"/>
          <w:highlight w:val="none"/>
          <w:lang w:eastAsia="zh-CN"/>
        </w:rPr>
        <w:t>税收违法失信主体</w:t>
      </w:r>
      <w:r>
        <w:rPr>
          <w:rFonts w:hint="eastAsia" w:ascii="宋体" w:hAnsi="宋体" w:eastAsia="宋体" w:cs="宋体"/>
          <w:bCs/>
          <w:color w:val="auto"/>
          <w:sz w:val="21"/>
          <w:szCs w:val="21"/>
          <w:highlight w:val="none"/>
          <w:lang w:eastAsia="zh-CN"/>
        </w:rPr>
        <w:t>”和中国政府采购网（www.ccgp.gov.cn）“政府采购严重违法失信行为记录名单”栏目中有失信等负面信息的潜在供应商，将拒绝其参加本项目； 注：(采购人、代理机构在开标后对所有投标供应商信用记录进行查询，并将查询结果网页打印存档，投标供应商不良信用记录以代理机构开标后查询结果为准)。</w:t>
      </w:r>
    </w:p>
    <w:p>
      <w:pPr>
        <w:adjustRightInd w:val="0"/>
        <w:snapToGrid w:val="0"/>
        <w:spacing w:line="436"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3.4单位负责人为同一人或者存在控股、管理关系的不同单位，不得参加同一标段投标或者未划分标段的同一招标项目投标（提供在“国家企业信用信息公示系统”中查询的公司信息、股东（或投资人）信息并加盖单位公章，非企业性质的投标人无法在该公示系统查询的，则针对此项做出书面承诺，格式自拟并加盖单位公章）；</w:t>
      </w:r>
    </w:p>
    <w:p>
      <w:pPr>
        <w:adjustRightInd w:val="0"/>
        <w:snapToGrid w:val="0"/>
        <w:spacing w:line="436"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eastAsia="zh-CN"/>
        </w:rPr>
        <w:t>3.5本次招标不接受联合体投标（</w:t>
      </w:r>
      <w:r>
        <w:rPr>
          <w:rFonts w:hint="eastAsia" w:ascii="宋体" w:hAnsi="宋体" w:eastAsia="宋体" w:cs="宋体"/>
          <w:bCs/>
          <w:color w:val="auto"/>
          <w:sz w:val="21"/>
          <w:szCs w:val="21"/>
          <w:highlight w:val="none"/>
          <w:lang w:val="en-US" w:eastAsia="zh-CN"/>
        </w:rPr>
        <w:t>提供书面承诺即可，格式自拟</w:t>
      </w:r>
      <w:r>
        <w:rPr>
          <w:rFonts w:hint="eastAsia" w:ascii="宋体" w:hAnsi="宋体" w:eastAsia="宋体" w:cs="宋体"/>
          <w:bCs/>
          <w:color w:val="auto"/>
          <w:sz w:val="21"/>
          <w:szCs w:val="21"/>
          <w:highlight w:val="none"/>
          <w:lang w:eastAsia="zh-CN"/>
        </w:rPr>
        <w:t>）。</w:t>
      </w:r>
    </w:p>
    <w:bookmarkEnd w:id="19"/>
    <w:p>
      <w:pPr>
        <w:widowControl/>
        <w:adjustRightInd w:val="0"/>
        <w:snapToGrid w:val="0"/>
        <w:spacing w:line="400" w:lineRule="exact"/>
        <w:rPr>
          <w:rFonts w:hint="eastAsia" w:ascii="宋体" w:hAnsi="宋体" w:eastAsia="宋体" w:cs="宋体"/>
          <w:b/>
          <w:bCs/>
          <w:color w:val="auto"/>
          <w:sz w:val="21"/>
          <w:szCs w:val="21"/>
          <w:highlight w:val="none"/>
          <w:lang w:eastAsia="zh-CN"/>
        </w:rPr>
      </w:pPr>
      <w:bookmarkStart w:id="20" w:name="_Toc496607901"/>
      <w:bookmarkEnd w:id="20"/>
      <w:bookmarkStart w:id="21" w:name="_Toc496604846"/>
      <w:bookmarkEnd w:id="21"/>
      <w:bookmarkStart w:id="22" w:name="_Toc496605306"/>
      <w:bookmarkEnd w:id="22"/>
      <w:bookmarkStart w:id="23" w:name="_Toc496626971"/>
      <w:bookmarkEnd w:id="23"/>
      <w:bookmarkStart w:id="24" w:name="_Toc496627135"/>
      <w:bookmarkEnd w:id="24"/>
      <w:bookmarkStart w:id="25" w:name="_Toc496606438"/>
      <w:bookmarkEnd w:id="25"/>
      <w:bookmarkStart w:id="26" w:name="_Toc496604949"/>
      <w:bookmarkEnd w:id="26"/>
      <w:bookmarkStart w:id="27" w:name="_Toc496621886"/>
      <w:bookmarkEnd w:id="27"/>
      <w:bookmarkStart w:id="28" w:name="_Toc496607664"/>
      <w:r>
        <w:rPr>
          <w:rFonts w:hint="eastAsia" w:ascii="宋体" w:hAnsi="宋体" w:eastAsia="宋体" w:cs="宋体"/>
          <w:b/>
          <w:bCs/>
          <w:color w:val="auto"/>
          <w:sz w:val="21"/>
          <w:szCs w:val="21"/>
          <w:highlight w:val="none"/>
          <w:lang w:eastAsia="zh-CN"/>
        </w:rPr>
        <w:t>三、获取采购文件</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w:t>
      </w:r>
      <w:r>
        <w:rPr>
          <w:rFonts w:hint="eastAsia" w:ascii="宋体" w:hAnsi="宋体" w:eastAsia="宋体" w:cs="宋体"/>
          <w:b/>
          <w:bCs/>
          <w:color w:val="auto"/>
          <w:sz w:val="21"/>
          <w:szCs w:val="21"/>
          <w:highlight w:val="none"/>
          <w:lang w:eastAsia="zh-CN"/>
        </w:rPr>
        <w:t>2022 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日至 2022 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日</w:t>
      </w:r>
      <w:r>
        <w:rPr>
          <w:rFonts w:hint="eastAsia" w:ascii="宋体" w:hAnsi="宋体" w:eastAsia="宋体" w:cs="宋体"/>
          <w:color w:val="auto"/>
          <w:sz w:val="21"/>
          <w:szCs w:val="21"/>
          <w:highlight w:val="none"/>
          <w:lang w:eastAsia="zh-CN"/>
        </w:rPr>
        <w:t>，每天上午 00:00 至 12:00，下午 12:00 至 23:59（北京时间，法定节假日除外。）</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地点：郑州市公共资源交易中心网站</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方式：网上获取</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各潜在供应商请在规定时间内凭 CA 密钥登录郑州市公共资源交易中心网站， 点击“交易主体登陆”进入电子招投标交易平台下载磋商文件及资料。供应商未按规定在网上下载磋商文件的，其响应文件将被拒绝。</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尚未办理企业 CA 锁的，可通过以下链接：</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（http://xaca.hnxaca.com:8081/online/ggzyApply/index.shtml）在线办理。客服电话 0371-96596，技术咨询电话：0371-67188807,4009980000。</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售价：0 元</w:t>
      </w:r>
    </w:p>
    <w:p>
      <w:pPr>
        <w:widowControl/>
        <w:adjustRightInd w:val="0"/>
        <w:snapToGrid w:val="0"/>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四、响应文件提交</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1.时间：2022 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分（北京时间）</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2.地点：郑州市公共资源交易中心网站</w:t>
      </w:r>
    </w:p>
    <w:p>
      <w:pPr>
        <w:widowControl/>
        <w:adjustRightInd w:val="0"/>
        <w:snapToGrid w:val="0"/>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五、响应文件开启</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1.时间：2022 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分（北京时间）</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2.地点：郑州市公共资源交易中心不见面开标大厅</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"http://zzggzy.zhengzhou.gov.cn/BidOpening"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（http://zzggzy.zhengzhou.gov.cn/BidOpening</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w:t>
      </w:r>
    </w:p>
    <w:p>
      <w:pPr>
        <w:widowControl/>
        <w:adjustRightInd w:val="0"/>
        <w:snapToGrid w:val="0"/>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六、发布公告的媒介及招标公告期限</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本次招标公告在《河南省政府采购网》、《郑州市政府采购网》、《郑州市公共资源交易中心网》上发布，招标公告期限为三个工作日。</w:t>
      </w:r>
    </w:p>
    <w:p>
      <w:pPr>
        <w:widowControl/>
        <w:adjustRightInd w:val="0"/>
        <w:snapToGrid w:val="0"/>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七、其他补充事宜</w:t>
      </w:r>
    </w:p>
    <w:p>
      <w:pPr>
        <w:pStyle w:val="4"/>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1.本项目需要落实的政府采购政策：</w:t>
      </w:r>
    </w:p>
    <w:p>
      <w:pPr>
        <w:pStyle w:val="4"/>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1）关于印发节能产品政府采购品目清单的通知（财库〔2019〕19号）；</w:t>
      </w:r>
    </w:p>
    <w:p>
      <w:pPr>
        <w:pStyle w:val="4"/>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2）关于印发环境标志产品政府采购品目清单的通知（财库〔2019〕18号）；</w:t>
      </w:r>
    </w:p>
    <w:p>
      <w:pPr>
        <w:pStyle w:val="4"/>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3）政府采购促进中小企业发展管理办法 (财库〔2020〕46号）；</w:t>
      </w:r>
    </w:p>
    <w:p>
      <w:pPr>
        <w:pStyle w:val="4"/>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4）《关于进一步加大政府采购支持中小企业力度的通知》（财库﹝2022﹞19号）；</w:t>
      </w:r>
    </w:p>
    <w:p>
      <w:pPr>
        <w:pStyle w:val="4"/>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5）《郑州市优化政府采购领域营商环境 100 条》 的通知；</w:t>
      </w:r>
    </w:p>
    <w:p>
      <w:pPr>
        <w:pStyle w:val="4"/>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）《财政部、司法部关于政府采购支持监狱企业发展有关问题的通知》（财库[2014]68号）；</w:t>
      </w:r>
    </w:p>
    <w:p>
      <w:pPr>
        <w:pStyle w:val="4"/>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）《三部门联合发布关于促进残疾人就业政府采购政策的通知》（财库[2017]141号）。</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本项目采用不见面开标方式开标，供应商无需到交易中心现场参加开标会议。各供应商在响应文件递交截止时间前登陆郑州市公共资源交易中心门户网站远程开标大厅</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"http://zzggzy.zhengzhou.gov.cn/BidOpening"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 http://zzggzy.zhengzhou.gov.cn/BidOpening</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）。所有供应商应提前30 分钟登录“郑州市公共资源交易中心门户网站远程开标大厅”，先进行签到， 其后应一直保持在线状态，保证能准时参加开标大会、响应文件的解密、现场答疑澄清、二轮报价等活动。</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各供应商可查看“关于实施在线磋商谈判的通知”中的不见面开标大厅操作手册-供应商（磋商谈判）、供应商多轮报价操作手册、在线磋商（谈判、澄清）操作手册</w:t>
      </w:r>
    </w:p>
    <w:p>
      <w:pPr>
        <w:widowControl/>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"http://zzggzy.zhengzhou.gov.cn/tzgg/20220323/df8813b9-2939-4c3a-9e5"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（http://zzggzy.zhengzhou.gov.cn/tzgg/20220323/df8813b9-2939-4c3a-9e5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b-1204b7c55441.html）。</w:t>
      </w:r>
    </w:p>
    <w:bookmarkEnd w:id="28"/>
    <w:p>
      <w:pPr>
        <w:pStyle w:val="2"/>
        <w:adjustRightInd w:val="0"/>
        <w:snapToGrid w:val="0"/>
        <w:spacing w:after="0" w:line="436"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八、凡对本次招标提出询问，请按照以下方式联系</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 采购人信息</w:t>
      </w:r>
    </w:p>
    <w:p>
      <w:pPr>
        <w:pStyle w:val="2"/>
        <w:adjustRightInd w:val="0"/>
        <w:snapToGrid w:val="0"/>
        <w:spacing w:after="0" w:line="420"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名称：郑州旅游职业学院</w:t>
      </w:r>
    </w:p>
    <w:p>
      <w:pPr>
        <w:pStyle w:val="2"/>
        <w:adjustRightInd w:val="0"/>
        <w:snapToGrid w:val="0"/>
        <w:spacing w:after="0" w:line="420"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地址：河南省郑州市郑东新区金龙路188号</w:t>
      </w:r>
    </w:p>
    <w:p>
      <w:pPr>
        <w:pStyle w:val="2"/>
        <w:adjustRightInd w:val="0"/>
        <w:snapToGrid w:val="0"/>
        <w:spacing w:after="0" w:line="420"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联系人：姬晖</w:t>
      </w:r>
    </w:p>
    <w:p>
      <w:pPr>
        <w:pStyle w:val="2"/>
        <w:adjustRightInd w:val="0"/>
        <w:snapToGrid w:val="0"/>
        <w:spacing w:after="0" w:line="420" w:lineRule="exact"/>
        <w:ind w:firstLine="426"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color w:val="auto"/>
          <w:szCs w:val="21"/>
          <w:highlight w:val="none"/>
          <w:lang w:val="en-US" w:eastAsia="zh-CN"/>
        </w:rPr>
        <w:t>0371-61130116</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2.采购代理机构信息（如有）</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名称：河南大明建设工程管理有限公司</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地址：郑州市花园路27号河南省科技信息大厦12层</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联系人：张领涛 李丽娜</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bCs/>
          <w:color w:val="auto"/>
          <w:szCs w:val="21"/>
          <w:highlight w:val="none"/>
          <w:lang w:eastAsia="zh-CN" w:bidi="ar"/>
        </w:rPr>
        <w:t>0371-55679799</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3.项目联系方式</w:t>
      </w:r>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项目联系人：张领涛 李丽娜</w:t>
      </w:r>
      <w:bookmarkStart w:id="32" w:name="_GoBack"/>
      <w:bookmarkEnd w:id="32"/>
    </w:p>
    <w:p>
      <w:pPr>
        <w:pStyle w:val="2"/>
        <w:adjustRightInd w:val="0"/>
        <w:snapToGrid w:val="0"/>
        <w:spacing w:after="0" w:line="436" w:lineRule="exact"/>
        <w:ind w:firstLine="426"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联系方式：0371-55679799</w:t>
      </w:r>
    </w:p>
    <w:p>
      <w:pPr>
        <w:rPr>
          <w:rFonts w:hint="eastAsia"/>
          <w:lang w:eastAsia="zh-CN"/>
        </w:rPr>
      </w:pPr>
    </w:p>
    <w:p>
      <w:pPr>
        <w:jc w:val="right"/>
        <w:rPr>
          <w:highlight w:val="none"/>
        </w:rPr>
      </w:pPr>
      <w:bookmarkStart w:id="29" w:name="_Toc3776"/>
      <w:bookmarkStart w:id="30" w:name="_Toc32470"/>
      <w:bookmarkStart w:id="31" w:name="_Toc17708"/>
      <w:r>
        <w:rPr>
          <w:rFonts w:hint="eastAsia" w:ascii="宋体" w:hAnsi="宋体" w:eastAsia="宋体" w:cs="宋体"/>
          <w:color w:val="auto"/>
          <w:kern w:val="2"/>
          <w:sz w:val="21"/>
          <w:szCs w:val="21"/>
          <w:highlight w:val="none"/>
          <w:lang w:eastAsia="zh-CN"/>
        </w:rPr>
        <w:t>2022年</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月</w:t>
      </w: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eastAsia="zh-CN"/>
        </w:rPr>
        <w:t>日</w:t>
      </w:r>
      <w:bookmarkEnd w:id="29"/>
      <w:bookmarkEnd w:id="30"/>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YTdmM2MzM2U1YjVkOTg0NjljZWQ3OTk4N2ZlZGQifQ=="/>
  </w:docVars>
  <w:rsids>
    <w:rsidRoot w:val="62476493"/>
    <w:rsid w:val="02FE5C34"/>
    <w:rsid w:val="18D60F94"/>
    <w:rsid w:val="62476493"/>
    <w:rsid w:val="65655C8C"/>
    <w:rsid w:val="7379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黑体"/>
      <w:sz w:val="22"/>
      <w:szCs w:val="22"/>
      <w:lang w:val="en-US" w:eastAsia="en-US" w:bidi="ar-SA"/>
    </w:rPr>
  </w:style>
  <w:style w:type="paragraph" w:styleId="8">
    <w:name w:val="heading 1"/>
    <w:basedOn w:val="1"/>
    <w:next w:val="9"/>
    <w:qFormat/>
    <w:uiPriority w:val="0"/>
    <w:pPr>
      <w:ind w:left="2237"/>
      <w:outlineLvl w:val="0"/>
    </w:pPr>
    <w:rPr>
      <w:rFonts w:ascii="黑体" w:hAnsi="黑体" w:eastAsia="黑体" w:cs="Times New Roman"/>
      <w:sz w:val="72"/>
      <w:szCs w:val="7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left="0" w:firstLine="420" w:firstLineChars="100"/>
      <w:jc w:val="both"/>
    </w:pPr>
    <w:rPr>
      <w:kern w:val="2"/>
      <w:sz w:val="21"/>
    </w:rPr>
  </w:style>
  <w:style w:type="paragraph" w:styleId="3">
    <w:name w:val="Body Text"/>
    <w:basedOn w:val="1"/>
    <w:next w:val="4"/>
    <w:qFormat/>
    <w:uiPriority w:val="0"/>
    <w:pPr>
      <w:ind w:left="730"/>
    </w:pPr>
    <w:rPr>
      <w:rFonts w:ascii="宋体" w:hAnsi="宋体" w:cs="Times New Roman"/>
      <w:sz w:val="23"/>
      <w:szCs w:val="23"/>
    </w:rPr>
  </w:style>
  <w:style w:type="paragraph" w:styleId="4">
    <w:name w:val="Body Text 2"/>
    <w:basedOn w:val="1"/>
    <w:next w:val="3"/>
    <w:uiPriority w:val="0"/>
    <w:pPr>
      <w:spacing w:after="120" w:line="480" w:lineRule="auto"/>
      <w:jc w:val="both"/>
    </w:pPr>
    <w:rPr>
      <w:rFonts w:ascii="Times New Roman" w:hAnsi="Times New Roman" w:cs="Times New Roman"/>
      <w:kern w:val="2"/>
      <w:sz w:val="21"/>
      <w:szCs w:val="20"/>
      <w:lang w:eastAsia="zh-CN"/>
    </w:rPr>
  </w:style>
  <w:style w:type="paragraph" w:styleId="5">
    <w:name w:val="Body Text First Indent 2"/>
    <w:basedOn w:val="6"/>
    <w:next w:val="1"/>
    <w:unhideWhenUsed/>
    <w:qFormat/>
    <w:uiPriority w:val="0"/>
    <w:pPr>
      <w:spacing w:after="120" w:line="240" w:lineRule="auto"/>
      <w:ind w:left="420" w:leftChars="200" w:firstLine="420" w:firstLineChars="200"/>
    </w:pPr>
    <w:rPr>
      <w:rFonts w:ascii="Times New Roman" w:hAnsi="Times New Roman"/>
      <w:kern w:val="2"/>
      <w:sz w:val="21"/>
    </w:rPr>
  </w:style>
  <w:style w:type="paragraph" w:styleId="6">
    <w:name w:val="Body Text Indent"/>
    <w:basedOn w:val="1"/>
    <w:next w:val="7"/>
    <w:unhideWhenUsed/>
    <w:qFormat/>
    <w:uiPriority w:val="0"/>
    <w:pPr>
      <w:spacing w:line="360" w:lineRule="auto"/>
      <w:ind w:firstLine="353" w:firstLineChars="147"/>
    </w:pPr>
    <w:rPr>
      <w:rFonts w:ascii="宋体" w:hAnsi="宋体"/>
      <w:kern w:val="0"/>
      <w:sz w:val="24"/>
    </w:rPr>
  </w:style>
  <w:style w:type="paragraph" w:styleId="7">
    <w:name w:val="envelope return"/>
    <w:basedOn w:val="1"/>
    <w:qFormat/>
    <w:uiPriority w:val="0"/>
    <w:pPr>
      <w:snapToGrid w:val="0"/>
    </w:pPr>
    <w:rPr>
      <w:rFonts w:ascii="Arial" w:hAnsi="Arial"/>
    </w:rPr>
  </w:style>
  <w:style w:type="paragraph" w:customStyle="1" w:styleId="9">
    <w:name w:val="文档正文"/>
    <w:basedOn w:val="1"/>
    <w:uiPriority w:val="0"/>
    <w:pPr>
      <w:adjustRightInd w:val="0"/>
      <w:spacing w:line="480" w:lineRule="atLeast"/>
      <w:ind w:firstLine="567"/>
      <w:jc w:val="both"/>
      <w:textAlignment w:val="baseline"/>
    </w:pPr>
    <w:rPr>
      <w:rFonts w:ascii="仿宋_GB2312" w:hAnsi="宋体" w:eastAsia="仿宋_GB2312" w:cs="宋体"/>
      <w:sz w:val="28"/>
      <w:szCs w:val="28"/>
      <w:lang w:eastAsia="zh-CN"/>
    </w:rPr>
  </w:style>
  <w:style w:type="paragraph" w:styleId="10">
    <w:name w:val="footer"/>
    <w:basedOn w:val="1"/>
    <w:unhideWhenUsed/>
    <w:uiPriority w:val="99"/>
    <w:pPr>
      <w:tabs>
        <w:tab w:val="center" w:pos="4153"/>
        <w:tab w:val="right" w:pos="8306"/>
      </w:tabs>
      <w:snapToGrid w:val="0"/>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2850</Words>
  <Characters>3456</Characters>
  <Lines>0</Lines>
  <Paragraphs>0</Paragraphs>
  <TotalTime>47</TotalTime>
  <ScaleCrop>false</ScaleCrop>
  <LinksUpToDate>false</LinksUpToDate>
  <CharactersWithSpaces>3506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2022-07-29T00:35:00Z</dcterms:created>
  <dc:creator>河南大明建设工程管理有限公司:张桂丽</dc:creator>
  <cp:lastModifiedBy>河南大明建设工程管理有限公司:张桂丽</cp:lastModifiedBy>
  <dcterms:modified xsi:type="dcterms:W3CDTF">2022-07-29T02:54:24Z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20FA7EE7FBA8448BA81A172647C7C575</vt:lpwstr>
  </property>
</Properties>
</file>