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eastAsiaTheme="minorEastAsia"/>
          <w:highlight w:val="none"/>
          <w:lang w:val="en-US" w:eastAsia="zh-CN"/>
        </w:rPr>
      </w:pPr>
      <w:bookmarkStart w:id="73" w:name="_GoBack"/>
      <w:bookmarkEnd w:id="73"/>
      <w:r>
        <w:rPr>
          <w:rFonts w:hint="eastAsia"/>
          <w:highlight w:val="none"/>
          <w:lang w:val="en-US" w:eastAsia="zh-CN"/>
        </w:rPr>
        <w:t xml:space="preserve"> </w:t>
      </w:r>
    </w:p>
    <w:p>
      <w:pPr>
        <w:widowControl/>
        <w:jc w:val="center"/>
        <w:rPr>
          <w:b/>
          <w:sz w:val="32"/>
          <w:szCs w:val="32"/>
          <w:highlight w:val="none"/>
        </w:rPr>
      </w:pPr>
    </w:p>
    <w:p>
      <w:pPr>
        <w:widowControl/>
        <w:jc w:val="center"/>
        <w:rPr>
          <w:rFonts w:hint="eastAsia" w:eastAsiaTheme="minorEastAsia"/>
          <w:b/>
          <w:sz w:val="32"/>
          <w:szCs w:val="32"/>
          <w:highlight w:val="none"/>
          <w:lang w:eastAsia="zh-CN"/>
        </w:rPr>
      </w:pPr>
      <w:r>
        <w:rPr>
          <w:rFonts w:hint="eastAsia"/>
          <w:b/>
          <w:sz w:val="32"/>
          <w:szCs w:val="32"/>
          <w:highlight w:val="none"/>
          <w:lang w:eastAsia="zh-CN"/>
        </w:rPr>
        <w:t>郑州市文化广电和旅游局2023年中国图书馆年会项目</w:t>
      </w:r>
    </w:p>
    <w:p>
      <w:pPr>
        <w:widowControl/>
        <w:jc w:val="center"/>
        <w:rPr>
          <w:b/>
          <w:sz w:val="44"/>
          <w:szCs w:val="44"/>
          <w:highlight w:val="none"/>
        </w:rPr>
      </w:pPr>
    </w:p>
    <w:p>
      <w:pPr>
        <w:widowControl/>
        <w:jc w:val="center"/>
        <w:rPr>
          <w:b/>
          <w:bCs/>
          <w:sz w:val="96"/>
          <w:szCs w:val="96"/>
          <w:highlight w:val="none"/>
        </w:rPr>
      </w:pPr>
      <w:r>
        <w:rPr>
          <w:rFonts w:hint="eastAsia" w:ascii="宋体" w:hAnsi="宋体" w:eastAsia="宋体" w:cs="宋体"/>
          <w:b/>
          <w:bCs/>
          <w:sz w:val="36"/>
          <w:szCs w:val="36"/>
          <w:highlight w:val="none"/>
          <w:lang w:val="en-US" w:eastAsia="zh-CN"/>
        </w:rPr>
        <w:t>B包：图书馆人之夜</w:t>
      </w:r>
    </w:p>
    <w:p>
      <w:pPr>
        <w:widowControl/>
        <w:jc w:val="center"/>
        <w:rPr>
          <w:b/>
          <w:sz w:val="44"/>
          <w:szCs w:val="44"/>
          <w:highlight w:val="none"/>
        </w:rPr>
      </w:pPr>
    </w:p>
    <w:p>
      <w:pPr>
        <w:widowControl/>
        <w:jc w:val="center"/>
        <w:rPr>
          <w:b/>
          <w:sz w:val="96"/>
          <w:szCs w:val="44"/>
          <w:highlight w:val="none"/>
        </w:rPr>
      </w:pPr>
      <w:r>
        <w:rPr>
          <w:rFonts w:hint="eastAsia"/>
          <w:b/>
          <w:sz w:val="96"/>
          <w:szCs w:val="44"/>
          <w:highlight w:val="none"/>
        </w:rPr>
        <w:t>招标文件</w:t>
      </w:r>
    </w:p>
    <w:p>
      <w:pPr>
        <w:widowControl/>
        <w:ind w:firstLine="1393" w:firstLineChars="347"/>
        <w:rPr>
          <w:b/>
          <w:sz w:val="40"/>
          <w:szCs w:val="40"/>
          <w:highlight w:val="none"/>
        </w:rPr>
      </w:pPr>
    </w:p>
    <w:p>
      <w:pPr>
        <w:widowControl/>
        <w:ind w:firstLine="1393" w:firstLineChars="347"/>
        <w:rPr>
          <w:rFonts w:hint="eastAsia" w:eastAsiaTheme="minorEastAsia"/>
          <w:b/>
          <w:sz w:val="40"/>
          <w:szCs w:val="40"/>
          <w:highlight w:val="none"/>
          <w:lang w:eastAsia="zh-CN"/>
        </w:rPr>
      </w:pPr>
      <w:r>
        <w:rPr>
          <w:rFonts w:hint="eastAsia"/>
          <w:b/>
          <w:sz w:val="40"/>
          <w:szCs w:val="40"/>
          <w:highlight w:val="none"/>
        </w:rPr>
        <w:t>招标编号：</w:t>
      </w:r>
      <w:r>
        <w:rPr>
          <w:rFonts w:hint="eastAsia"/>
          <w:b/>
          <w:bCs/>
          <w:sz w:val="40"/>
          <w:szCs w:val="40"/>
          <w:highlight w:val="none"/>
          <w:lang w:eastAsia="zh-CN"/>
        </w:rPr>
        <w:t>郑财招标采购-2023-215</w:t>
      </w:r>
    </w:p>
    <w:p>
      <w:pPr>
        <w:widowControl/>
        <w:jc w:val="center"/>
        <w:rPr>
          <w:b/>
          <w:sz w:val="44"/>
          <w:szCs w:val="44"/>
          <w:highlight w:val="none"/>
        </w:rPr>
      </w:pPr>
    </w:p>
    <w:p>
      <w:pPr>
        <w:widowControl/>
        <w:jc w:val="center"/>
        <w:rPr>
          <w:b/>
          <w:sz w:val="44"/>
          <w:szCs w:val="44"/>
          <w:highlight w:val="none"/>
        </w:rPr>
      </w:pPr>
      <w:r>
        <w:rPr>
          <w:rFonts w:ascii="宋体" w:hAnsi="宋体"/>
          <w:sz w:val="44"/>
          <w:szCs w:val="44"/>
          <w:highlight w:val="none"/>
        </w:rPr>
        <w:drawing>
          <wp:inline distT="0" distB="0" distL="0" distR="0">
            <wp:extent cx="1790700" cy="1771650"/>
            <wp:effectExtent l="0" t="0" r="0" b="0"/>
            <wp:docPr id="3" name="图片 3" descr="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徽标"/>
                    <pic:cNvPicPr>
                      <a:picLocks noChangeAspect="1" noChangeArrowheads="1"/>
                    </pic:cNvPicPr>
                  </pic:nvPicPr>
                  <pic:blipFill>
                    <a:blip r:embed="rId8" cstate="print">
                      <a:lum contrast="12000"/>
                      <a:extLst>
                        <a:ext uri="{28A0092B-C50C-407E-A947-70E740481C1C}">
                          <a14:useLocalDpi xmlns:a14="http://schemas.microsoft.com/office/drawing/2010/main" val="0"/>
                        </a:ext>
                      </a:extLst>
                    </a:blip>
                    <a:srcRect/>
                    <a:stretch>
                      <a:fillRect/>
                    </a:stretch>
                  </pic:blipFill>
                  <pic:spPr>
                    <a:xfrm>
                      <a:off x="0" y="0"/>
                      <a:ext cx="1790700" cy="1771650"/>
                    </a:xfrm>
                    <a:prstGeom prst="rect">
                      <a:avLst/>
                    </a:prstGeom>
                    <a:noFill/>
                    <a:ln>
                      <a:noFill/>
                    </a:ln>
                  </pic:spPr>
                </pic:pic>
              </a:graphicData>
            </a:graphic>
          </wp:inline>
        </w:drawing>
      </w:r>
    </w:p>
    <w:p>
      <w:pPr>
        <w:widowControl/>
        <w:jc w:val="center"/>
        <w:rPr>
          <w:b/>
          <w:sz w:val="44"/>
          <w:szCs w:val="44"/>
          <w:highlight w:val="none"/>
        </w:rPr>
      </w:pPr>
    </w:p>
    <w:p>
      <w:pPr>
        <w:widowControl/>
        <w:jc w:val="center"/>
        <w:rPr>
          <w:b/>
          <w:sz w:val="44"/>
          <w:szCs w:val="44"/>
          <w:highlight w:val="none"/>
        </w:rPr>
      </w:pPr>
    </w:p>
    <w:p>
      <w:pPr>
        <w:widowControl/>
        <w:jc w:val="center"/>
        <w:rPr>
          <w:b/>
          <w:sz w:val="44"/>
          <w:szCs w:val="44"/>
          <w:highlight w:val="none"/>
        </w:rPr>
      </w:pPr>
    </w:p>
    <w:p>
      <w:pPr>
        <w:widowControl/>
        <w:jc w:val="center"/>
        <w:rPr>
          <w:rFonts w:hint="eastAsia" w:eastAsiaTheme="minorEastAsia"/>
          <w:b/>
          <w:sz w:val="36"/>
          <w:szCs w:val="44"/>
          <w:highlight w:val="none"/>
          <w:lang w:eastAsia="zh-CN"/>
        </w:rPr>
      </w:pPr>
      <w:r>
        <w:rPr>
          <w:rFonts w:hint="eastAsia"/>
          <w:b/>
          <w:sz w:val="36"/>
          <w:szCs w:val="44"/>
          <w:highlight w:val="none"/>
        </w:rPr>
        <w:t>采购人：</w:t>
      </w:r>
      <w:r>
        <w:rPr>
          <w:rFonts w:hint="eastAsia"/>
          <w:b/>
          <w:sz w:val="36"/>
          <w:szCs w:val="44"/>
          <w:highlight w:val="none"/>
          <w:lang w:eastAsia="zh-CN"/>
        </w:rPr>
        <w:t>郑州市文化广电和旅游局</w:t>
      </w:r>
    </w:p>
    <w:p>
      <w:pPr>
        <w:widowControl/>
        <w:jc w:val="center"/>
        <w:rPr>
          <w:b/>
          <w:sz w:val="36"/>
          <w:szCs w:val="44"/>
          <w:highlight w:val="none"/>
        </w:rPr>
      </w:pPr>
      <w:r>
        <w:rPr>
          <w:rFonts w:hint="eastAsia"/>
          <w:b/>
          <w:sz w:val="36"/>
          <w:szCs w:val="44"/>
          <w:highlight w:val="none"/>
        </w:rPr>
        <w:t>采购代理机构：河南省伟信招标管理咨询有限公司</w:t>
      </w:r>
    </w:p>
    <w:p>
      <w:pPr>
        <w:widowControl/>
        <w:jc w:val="center"/>
        <w:rPr>
          <w:b/>
          <w:sz w:val="36"/>
          <w:szCs w:val="44"/>
          <w:highlight w:val="none"/>
        </w:rPr>
      </w:pPr>
      <w:r>
        <w:rPr>
          <w:rFonts w:hint="eastAsia"/>
          <w:b/>
          <w:sz w:val="36"/>
          <w:szCs w:val="44"/>
          <w:highlight w:val="none"/>
        </w:rPr>
        <w:t>日期：二</w:t>
      </w:r>
      <w:r>
        <w:rPr>
          <w:rFonts w:hint="eastAsia" w:asciiTheme="minorEastAsia" w:hAnsiTheme="minorEastAsia"/>
          <w:b/>
          <w:sz w:val="36"/>
          <w:szCs w:val="44"/>
          <w:highlight w:val="none"/>
        </w:rPr>
        <w:t>○</w:t>
      </w:r>
      <w:r>
        <w:rPr>
          <w:rFonts w:hint="eastAsia"/>
          <w:b/>
          <w:sz w:val="36"/>
          <w:szCs w:val="44"/>
          <w:highlight w:val="none"/>
        </w:rPr>
        <w:t>二三年</w:t>
      </w:r>
      <w:r>
        <w:rPr>
          <w:rFonts w:hint="eastAsia"/>
          <w:b/>
          <w:sz w:val="36"/>
          <w:szCs w:val="44"/>
          <w:highlight w:val="none"/>
          <w:lang w:val="en-US" w:eastAsia="zh-CN"/>
        </w:rPr>
        <w:t>八</w:t>
      </w:r>
      <w:r>
        <w:rPr>
          <w:rFonts w:hint="eastAsia"/>
          <w:b/>
          <w:sz w:val="36"/>
          <w:szCs w:val="44"/>
          <w:highlight w:val="none"/>
        </w:rPr>
        <w:t>月</w:t>
      </w:r>
    </w:p>
    <w:p>
      <w:pPr>
        <w:widowControl/>
        <w:jc w:val="left"/>
        <w:rPr>
          <w:highlight w:val="none"/>
        </w:rPr>
      </w:pPr>
      <w:r>
        <w:rPr>
          <w:highlight w:val="none"/>
        </w:rPr>
        <w:br w:type="page"/>
      </w:r>
    </w:p>
    <w:p>
      <w:pPr>
        <w:pStyle w:val="23"/>
        <w:tabs>
          <w:tab w:val="right" w:leader="dot" w:pos="8296"/>
        </w:tabs>
        <w:jc w:val="center"/>
        <w:rPr>
          <w:b/>
          <w:bCs/>
          <w:sz w:val="24"/>
          <w:szCs w:val="24"/>
          <w:highlight w:val="none"/>
        </w:rPr>
      </w:pPr>
      <w:r>
        <w:rPr>
          <w:rFonts w:hint="eastAsia"/>
          <w:b/>
          <w:bCs/>
          <w:sz w:val="24"/>
          <w:szCs w:val="24"/>
          <w:highlight w:val="none"/>
        </w:rPr>
        <w:t>目录</w:t>
      </w:r>
    </w:p>
    <w:p>
      <w:pPr>
        <w:pStyle w:val="23"/>
        <w:tabs>
          <w:tab w:val="right" w:leader="dot" w:pos="8306"/>
        </w:tabs>
        <w:rPr>
          <w:highlight w:val="none"/>
        </w:rPr>
      </w:pPr>
      <w:r>
        <w:rPr>
          <w:highlight w:val="none"/>
        </w:rPr>
        <w:fldChar w:fldCharType="begin"/>
      </w:r>
      <w:r>
        <w:rPr>
          <w:highlight w:val="none"/>
        </w:rPr>
        <w:instrText xml:space="preserve"> TOC \o "1-3" \h \z \u </w:instrText>
      </w:r>
      <w:r>
        <w:rPr>
          <w:highlight w:val="none"/>
        </w:rPr>
        <w:fldChar w:fldCharType="separate"/>
      </w:r>
      <w:r>
        <w:rPr>
          <w:highlight w:val="none"/>
        </w:rPr>
        <w:fldChar w:fldCharType="begin"/>
      </w:r>
      <w:r>
        <w:rPr>
          <w:highlight w:val="none"/>
        </w:rPr>
        <w:instrText xml:space="preserve"> HYPERLINK \l _Toc6471 </w:instrText>
      </w:r>
      <w:r>
        <w:rPr>
          <w:highlight w:val="none"/>
        </w:rPr>
        <w:fldChar w:fldCharType="separate"/>
      </w:r>
      <w:r>
        <w:rPr>
          <w:rFonts w:hint="default" w:asciiTheme="minorEastAsia" w:hAnsiTheme="minorEastAsia"/>
          <w:highlight w:val="none"/>
        </w:rPr>
        <w:t xml:space="preserve">第一章 </w:t>
      </w:r>
      <w:r>
        <w:rPr>
          <w:rFonts w:hint="eastAsia" w:asciiTheme="minorEastAsia" w:hAnsiTheme="minorEastAsia"/>
          <w:highlight w:val="none"/>
        </w:rPr>
        <w:t>招标公告</w:t>
      </w:r>
      <w:r>
        <w:rPr>
          <w:highlight w:val="none"/>
        </w:rPr>
        <w:tab/>
      </w:r>
      <w:r>
        <w:rPr>
          <w:highlight w:val="none"/>
        </w:rPr>
        <w:fldChar w:fldCharType="begin"/>
      </w:r>
      <w:r>
        <w:rPr>
          <w:highlight w:val="none"/>
        </w:rPr>
        <w:instrText xml:space="preserve"> PAGEREF _Toc6471 \h </w:instrText>
      </w:r>
      <w:r>
        <w:rPr>
          <w:highlight w:val="none"/>
        </w:rPr>
        <w:fldChar w:fldCharType="separate"/>
      </w:r>
      <w:r>
        <w:rPr>
          <w:highlight w:val="none"/>
        </w:rPr>
        <w:t>4</w:t>
      </w:r>
      <w:r>
        <w:rPr>
          <w:highlight w:val="none"/>
        </w:rPr>
        <w:fldChar w:fldCharType="end"/>
      </w:r>
      <w:r>
        <w:rPr>
          <w:highlight w:val="none"/>
        </w:rPr>
        <w:fldChar w:fldCharType="end"/>
      </w:r>
    </w:p>
    <w:p>
      <w:pPr>
        <w:pStyle w:val="23"/>
        <w:tabs>
          <w:tab w:val="right" w:leader="dot" w:pos="8306"/>
        </w:tabs>
        <w:rPr>
          <w:highlight w:val="none"/>
        </w:rPr>
      </w:pPr>
      <w:r>
        <w:rPr>
          <w:highlight w:val="none"/>
        </w:rPr>
        <w:fldChar w:fldCharType="begin"/>
      </w:r>
      <w:r>
        <w:rPr>
          <w:highlight w:val="none"/>
        </w:rPr>
        <w:instrText xml:space="preserve"> HYPERLINK \l _Toc18823 </w:instrText>
      </w:r>
      <w:r>
        <w:rPr>
          <w:highlight w:val="none"/>
        </w:rPr>
        <w:fldChar w:fldCharType="separate"/>
      </w:r>
      <w:r>
        <w:rPr>
          <w:rFonts w:hint="default" w:asciiTheme="minorEastAsia" w:hAnsiTheme="minorEastAsia"/>
          <w:highlight w:val="none"/>
        </w:rPr>
        <w:t xml:space="preserve">第二章 </w:t>
      </w:r>
      <w:r>
        <w:rPr>
          <w:rFonts w:hint="eastAsia" w:asciiTheme="minorEastAsia" w:hAnsiTheme="minorEastAsia"/>
          <w:highlight w:val="none"/>
        </w:rPr>
        <w:t>投标人须知</w:t>
      </w:r>
      <w:r>
        <w:rPr>
          <w:highlight w:val="none"/>
        </w:rPr>
        <w:tab/>
      </w:r>
      <w:r>
        <w:rPr>
          <w:highlight w:val="none"/>
        </w:rPr>
        <w:fldChar w:fldCharType="begin"/>
      </w:r>
      <w:r>
        <w:rPr>
          <w:highlight w:val="none"/>
        </w:rPr>
        <w:instrText xml:space="preserve"> PAGEREF _Toc18823 \h </w:instrText>
      </w:r>
      <w:r>
        <w:rPr>
          <w:highlight w:val="none"/>
        </w:rPr>
        <w:fldChar w:fldCharType="separate"/>
      </w:r>
      <w:r>
        <w:rPr>
          <w:highlight w:val="none"/>
        </w:rPr>
        <w:t>7</w:t>
      </w:r>
      <w:r>
        <w:rPr>
          <w:highlight w:val="none"/>
        </w:rPr>
        <w:fldChar w:fldCharType="end"/>
      </w:r>
      <w:r>
        <w:rPr>
          <w:highlight w:val="none"/>
        </w:rPr>
        <w:fldChar w:fldCharType="end"/>
      </w:r>
    </w:p>
    <w:p>
      <w:pPr>
        <w:pStyle w:val="25"/>
        <w:tabs>
          <w:tab w:val="right" w:leader="dot" w:pos="8306"/>
        </w:tabs>
        <w:rPr>
          <w:highlight w:val="none"/>
        </w:rPr>
      </w:pPr>
      <w:r>
        <w:rPr>
          <w:highlight w:val="none"/>
        </w:rPr>
        <w:fldChar w:fldCharType="begin"/>
      </w:r>
      <w:r>
        <w:rPr>
          <w:highlight w:val="none"/>
        </w:rPr>
        <w:instrText xml:space="preserve"> HYPERLINK \l _Toc27825 </w:instrText>
      </w:r>
      <w:r>
        <w:rPr>
          <w:highlight w:val="none"/>
        </w:rPr>
        <w:fldChar w:fldCharType="separate"/>
      </w:r>
      <w:r>
        <w:rPr>
          <w:rFonts w:hint="eastAsia" w:asciiTheme="minorEastAsia" w:hAnsiTheme="minorEastAsia" w:eastAsiaTheme="minorEastAsia"/>
          <w:szCs w:val="28"/>
          <w:highlight w:val="none"/>
        </w:rPr>
        <w:t>投标人须知前附表</w:t>
      </w:r>
      <w:r>
        <w:rPr>
          <w:highlight w:val="none"/>
        </w:rPr>
        <w:tab/>
      </w:r>
      <w:r>
        <w:rPr>
          <w:highlight w:val="none"/>
        </w:rPr>
        <w:fldChar w:fldCharType="begin"/>
      </w:r>
      <w:r>
        <w:rPr>
          <w:highlight w:val="none"/>
        </w:rPr>
        <w:instrText xml:space="preserve"> PAGEREF _Toc27825 \h </w:instrText>
      </w:r>
      <w:r>
        <w:rPr>
          <w:highlight w:val="none"/>
        </w:rPr>
        <w:fldChar w:fldCharType="separate"/>
      </w:r>
      <w:r>
        <w:rPr>
          <w:highlight w:val="none"/>
        </w:rPr>
        <w:t>7</w:t>
      </w:r>
      <w:r>
        <w:rPr>
          <w:highlight w:val="none"/>
        </w:rPr>
        <w:fldChar w:fldCharType="end"/>
      </w:r>
      <w:r>
        <w:rPr>
          <w:highlight w:val="none"/>
        </w:rPr>
        <w:fldChar w:fldCharType="end"/>
      </w:r>
    </w:p>
    <w:p>
      <w:pPr>
        <w:pStyle w:val="25"/>
        <w:tabs>
          <w:tab w:val="right" w:leader="dot" w:pos="8306"/>
        </w:tabs>
        <w:rPr>
          <w:highlight w:val="none"/>
        </w:rPr>
      </w:pPr>
      <w:r>
        <w:rPr>
          <w:highlight w:val="none"/>
        </w:rPr>
        <w:fldChar w:fldCharType="begin"/>
      </w:r>
      <w:r>
        <w:rPr>
          <w:highlight w:val="none"/>
        </w:rPr>
        <w:instrText xml:space="preserve"> HYPERLINK \l _Toc26722 </w:instrText>
      </w:r>
      <w:r>
        <w:rPr>
          <w:highlight w:val="none"/>
        </w:rPr>
        <w:fldChar w:fldCharType="separate"/>
      </w:r>
      <w:r>
        <w:rPr>
          <w:rFonts w:hint="eastAsia" w:asciiTheme="minorEastAsia" w:hAnsiTheme="minorEastAsia" w:eastAsiaTheme="minorEastAsia"/>
          <w:highlight w:val="none"/>
        </w:rPr>
        <w:t>投标人须知</w:t>
      </w:r>
      <w:r>
        <w:rPr>
          <w:highlight w:val="none"/>
        </w:rPr>
        <w:tab/>
      </w:r>
      <w:r>
        <w:rPr>
          <w:highlight w:val="none"/>
        </w:rPr>
        <w:fldChar w:fldCharType="begin"/>
      </w:r>
      <w:r>
        <w:rPr>
          <w:highlight w:val="none"/>
        </w:rPr>
        <w:instrText xml:space="preserve"> PAGEREF _Toc26722 \h </w:instrText>
      </w:r>
      <w:r>
        <w:rPr>
          <w:highlight w:val="none"/>
        </w:rPr>
        <w:fldChar w:fldCharType="separate"/>
      </w:r>
      <w:r>
        <w:rPr>
          <w:highlight w:val="none"/>
        </w:rPr>
        <w:t>12</w:t>
      </w:r>
      <w:r>
        <w:rPr>
          <w:highlight w:val="none"/>
        </w:rPr>
        <w:fldChar w:fldCharType="end"/>
      </w:r>
      <w:r>
        <w:rPr>
          <w:highlight w:val="none"/>
        </w:rPr>
        <w:fldChar w:fldCharType="end"/>
      </w:r>
    </w:p>
    <w:p>
      <w:pPr>
        <w:pStyle w:val="17"/>
        <w:tabs>
          <w:tab w:val="right" w:leader="dot" w:pos="8306"/>
        </w:tabs>
        <w:rPr>
          <w:highlight w:val="none"/>
        </w:rPr>
      </w:pPr>
      <w:r>
        <w:rPr>
          <w:highlight w:val="none"/>
        </w:rPr>
        <w:fldChar w:fldCharType="begin"/>
      </w:r>
      <w:r>
        <w:rPr>
          <w:highlight w:val="none"/>
        </w:rPr>
        <w:instrText xml:space="preserve"> HYPERLINK \l _Toc758 </w:instrText>
      </w:r>
      <w:r>
        <w:rPr>
          <w:highlight w:val="none"/>
        </w:rPr>
        <w:fldChar w:fldCharType="separate"/>
      </w:r>
      <w:r>
        <w:rPr>
          <w:rFonts w:hint="eastAsia"/>
          <w:highlight w:val="none"/>
        </w:rPr>
        <w:t>1. 总则</w:t>
      </w:r>
      <w:r>
        <w:rPr>
          <w:highlight w:val="none"/>
        </w:rPr>
        <w:tab/>
      </w:r>
      <w:r>
        <w:rPr>
          <w:highlight w:val="none"/>
        </w:rPr>
        <w:fldChar w:fldCharType="begin"/>
      </w:r>
      <w:r>
        <w:rPr>
          <w:highlight w:val="none"/>
        </w:rPr>
        <w:instrText xml:space="preserve"> PAGEREF _Toc758 \h </w:instrText>
      </w:r>
      <w:r>
        <w:rPr>
          <w:highlight w:val="none"/>
        </w:rPr>
        <w:fldChar w:fldCharType="separate"/>
      </w:r>
      <w:r>
        <w:rPr>
          <w:highlight w:val="none"/>
        </w:rPr>
        <w:t>12</w:t>
      </w:r>
      <w:r>
        <w:rPr>
          <w:highlight w:val="none"/>
        </w:rPr>
        <w:fldChar w:fldCharType="end"/>
      </w:r>
      <w:r>
        <w:rPr>
          <w:highlight w:val="none"/>
        </w:rPr>
        <w:fldChar w:fldCharType="end"/>
      </w:r>
    </w:p>
    <w:p>
      <w:pPr>
        <w:pStyle w:val="17"/>
        <w:tabs>
          <w:tab w:val="right" w:leader="dot" w:pos="8306"/>
        </w:tabs>
        <w:rPr>
          <w:highlight w:val="none"/>
        </w:rPr>
      </w:pPr>
      <w:r>
        <w:rPr>
          <w:highlight w:val="none"/>
        </w:rPr>
        <w:fldChar w:fldCharType="begin"/>
      </w:r>
      <w:r>
        <w:rPr>
          <w:highlight w:val="none"/>
        </w:rPr>
        <w:instrText xml:space="preserve"> HYPERLINK \l _Toc4788 </w:instrText>
      </w:r>
      <w:r>
        <w:rPr>
          <w:highlight w:val="none"/>
        </w:rPr>
        <w:fldChar w:fldCharType="separate"/>
      </w:r>
      <w:r>
        <w:rPr>
          <w:rFonts w:hint="eastAsia"/>
          <w:highlight w:val="none"/>
        </w:rPr>
        <w:t>2. 招标文件</w:t>
      </w:r>
      <w:r>
        <w:rPr>
          <w:highlight w:val="none"/>
        </w:rPr>
        <w:tab/>
      </w:r>
      <w:r>
        <w:rPr>
          <w:highlight w:val="none"/>
        </w:rPr>
        <w:fldChar w:fldCharType="begin"/>
      </w:r>
      <w:r>
        <w:rPr>
          <w:highlight w:val="none"/>
        </w:rPr>
        <w:instrText xml:space="preserve"> PAGEREF _Toc4788 \h </w:instrText>
      </w:r>
      <w:r>
        <w:rPr>
          <w:highlight w:val="none"/>
        </w:rPr>
        <w:fldChar w:fldCharType="separate"/>
      </w:r>
      <w:r>
        <w:rPr>
          <w:highlight w:val="none"/>
        </w:rPr>
        <w:t>13</w:t>
      </w:r>
      <w:r>
        <w:rPr>
          <w:highlight w:val="none"/>
        </w:rPr>
        <w:fldChar w:fldCharType="end"/>
      </w:r>
      <w:r>
        <w:rPr>
          <w:highlight w:val="none"/>
        </w:rPr>
        <w:fldChar w:fldCharType="end"/>
      </w:r>
    </w:p>
    <w:p>
      <w:pPr>
        <w:pStyle w:val="17"/>
        <w:tabs>
          <w:tab w:val="right" w:leader="dot" w:pos="8306"/>
        </w:tabs>
        <w:rPr>
          <w:highlight w:val="none"/>
        </w:rPr>
      </w:pPr>
      <w:r>
        <w:rPr>
          <w:highlight w:val="none"/>
        </w:rPr>
        <w:fldChar w:fldCharType="begin"/>
      </w:r>
      <w:r>
        <w:rPr>
          <w:highlight w:val="none"/>
        </w:rPr>
        <w:instrText xml:space="preserve"> HYPERLINK \l _Toc27579 </w:instrText>
      </w:r>
      <w:r>
        <w:rPr>
          <w:highlight w:val="none"/>
        </w:rPr>
        <w:fldChar w:fldCharType="separate"/>
      </w:r>
      <w:r>
        <w:rPr>
          <w:rFonts w:hint="eastAsia"/>
          <w:highlight w:val="none"/>
        </w:rPr>
        <w:t>3. 投标文件</w:t>
      </w:r>
      <w:r>
        <w:rPr>
          <w:highlight w:val="none"/>
        </w:rPr>
        <w:tab/>
      </w:r>
      <w:r>
        <w:rPr>
          <w:highlight w:val="none"/>
        </w:rPr>
        <w:fldChar w:fldCharType="begin"/>
      </w:r>
      <w:r>
        <w:rPr>
          <w:highlight w:val="none"/>
        </w:rPr>
        <w:instrText xml:space="preserve"> PAGEREF _Toc27579 \h </w:instrText>
      </w:r>
      <w:r>
        <w:rPr>
          <w:highlight w:val="none"/>
        </w:rPr>
        <w:fldChar w:fldCharType="separate"/>
      </w:r>
      <w:r>
        <w:rPr>
          <w:highlight w:val="none"/>
        </w:rPr>
        <w:t>14</w:t>
      </w:r>
      <w:r>
        <w:rPr>
          <w:highlight w:val="none"/>
        </w:rPr>
        <w:fldChar w:fldCharType="end"/>
      </w:r>
      <w:r>
        <w:rPr>
          <w:highlight w:val="none"/>
        </w:rPr>
        <w:fldChar w:fldCharType="end"/>
      </w:r>
    </w:p>
    <w:p>
      <w:pPr>
        <w:pStyle w:val="17"/>
        <w:tabs>
          <w:tab w:val="right" w:leader="dot" w:pos="8306"/>
        </w:tabs>
        <w:rPr>
          <w:highlight w:val="none"/>
        </w:rPr>
      </w:pPr>
      <w:r>
        <w:rPr>
          <w:highlight w:val="none"/>
        </w:rPr>
        <w:fldChar w:fldCharType="begin"/>
      </w:r>
      <w:r>
        <w:rPr>
          <w:highlight w:val="none"/>
        </w:rPr>
        <w:instrText xml:space="preserve"> HYPERLINK \l _Toc5071 </w:instrText>
      </w:r>
      <w:r>
        <w:rPr>
          <w:highlight w:val="none"/>
        </w:rPr>
        <w:fldChar w:fldCharType="separate"/>
      </w:r>
      <w:r>
        <w:rPr>
          <w:rFonts w:hint="eastAsia"/>
          <w:highlight w:val="none"/>
        </w:rPr>
        <w:t>4. 投标</w:t>
      </w:r>
      <w:r>
        <w:rPr>
          <w:highlight w:val="none"/>
        </w:rPr>
        <w:tab/>
      </w:r>
      <w:r>
        <w:rPr>
          <w:highlight w:val="none"/>
        </w:rPr>
        <w:fldChar w:fldCharType="begin"/>
      </w:r>
      <w:r>
        <w:rPr>
          <w:highlight w:val="none"/>
        </w:rPr>
        <w:instrText xml:space="preserve"> PAGEREF _Toc5071 \h </w:instrText>
      </w:r>
      <w:r>
        <w:rPr>
          <w:highlight w:val="none"/>
        </w:rPr>
        <w:fldChar w:fldCharType="separate"/>
      </w:r>
      <w:r>
        <w:rPr>
          <w:highlight w:val="none"/>
        </w:rPr>
        <w:t>15</w:t>
      </w:r>
      <w:r>
        <w:rPr>
          <w:highlight w:val="none"/>
        </w:rPr>
        <w:fldChar w:fldCharType="end"/>
      </w:r>
      <w:r>
        <w:rPr>
          <w:highlight w:val="none"/>
        </w:rPr>
        <w:fldChar w:fldCharType="end"/>
      </w:r>
    </w:p>
    <w:p>
      <w:pPr>
        <w:pStyle w:val="17"/>
        <w:tabs>
          <w:tab w:val="right" w:leader="dot" w:pos="8306"/>
        </w:tabs>
        <w:rPr>
          <w:highlight w:val="none"/>
        </w:rPr>
      </w:pPr>
      <w:r>
        <w:rPr>
          <w:highlight w:val="none"/>
        </w:rPr>
        <w:fldChar w:fldCharType="begin"/>
      </w:r>
      <w:r>
        <w:rPr>
          <w:highlight w:val="none"/>
        </w:rPr>
        <w:instrText xml:space="preserve"> HYPERLINK \l _Toc24136 </w:instrText>
      </w:r>
      <w:r>
        <w:rPr>
          <w:highlight w:val="none"/>
        </w:rPr>
        <w:fldChar w:fldCharType="separate"/>
      </w:r>
      <w:r>
        <w:rPr>
          <w:rFonts w:hint="eastAsia"/>
          <w:highlight w:val="none"/>
        </w:rPr>
        <w:t>5. 开标</w:t>
      </w:r>
      <w:r>
        <w:rPr>
          <w:highlight w:val="none"/>
        </w:rPr>
        <w:tab/>
      </w:r>
      <w:r>
        <w:rPr>
          <w:highlight w:val="none"/>
        </w:rPr>
        <w:fldChar w:fldCharType="begin"/>
      </w:r>
      <w:r>
        <w:rPr>
          <w:highlight w:val="none"/>
        </w:rPr>
        <w:instrText xml:space="preserve"> PAGEREF _Toc24136 \h </w:instrText>
      </w:r>
      <w:r>
        <w:rPr>
          <w:highlight w:val="none"/>
        </w:rPr>
        <w:fldChar w:fldCharType="separate"/>
      </w:r>
      <w:r>
        <w:rPr>
          <w:highlight w:val="none"/>
        </w:rPr>
        <w:t>16</w:t>
      </w:r>
      <w:r>
        <w:rPr>
          <w:highlight w:val="none"/>
        </w:rPr>
        <w:fldChar w:fldCharType="end"/>
      </w:r>
      <w:r>
        <w:rPr>
          <w:highlight w:val="none"/>
        </w:rPr>
        <w:fldChar w:fldCharType="end"/>
      </w:r>
    </w:p>
    <w:p>
      <w:pPr>
        <w:pStyle w:val="17"/>
        <w:tabs>
          <w:tab w:val="right" w:leader="dot" w:pos="8306"/>
        </w:tabs>
        <w:rPr>
          <w:highlight w:val="none"/>
        </w:rPr>
      </w:pPr>
      <w:r>
        <w:rPr>
          <w:highlight w:val="none"/>
        </w:rPr>
        <w:fldChar w:fldCharType="begin"/>
      </w:r>
      <w:r>
        <w:rPr>
          <w:highlight w:val="none"/>
        </w:rPr>
        <w:instrText xml:space="preserve"> HYPERLINK \l _Toc25135 </w:instrText>
      </w:r>
      <w:r>
        <w:rPr>
          <w:highlight w:val="none"/>
        </w:rPr>
        <w:fldChar w:fldCharType="separate"/>
      </w:r>
      <w:r>
        <w:rPr>
          <w:rFonts w:hint="eastAsia"/>
          <w:highlight w:val="none"/>
        </w:rPr>
        <w:t>6. 评标</w:t>
      </w:r>
      <w:r>
        <w:rPr>
          <w:highlight w:val="none"/>
        </w:rPr>
        <w:tab/>
      </w:r>
      <w:r>
        <w:rPr>
          <w:highlight w:val="none"/>
        </w:rPr>
        <w:fldChar w:fldCharType="begin"/>
      </w:r>
      <w:r>
        <w:rPr>
          <w:highlight w:val="none"/>
        </w:rPr>
        <w:instrText xml:space="preserve"> PAGEREF _Toc25135 \h </w:instrText>
      </w:r>
      <w:r>
        <w:rPr>
          <w:highlight w:val="none"/>
        </w:rPr>
        <w:fldChar w:fldCharType="separate"/>
      </w:r>
      <w:r>
        <w:rPr>
          <w:highlight w:val="none"/>
        </w:rPr>
        <w:t>17</w:t>
      </w:r>
      <w:r>
        <w:rPr>
          <w:highlight w:val="none"/>
        </w:rPr>
        <w:fldChar w:fldCharType="end"/>
      </w:r>
      <w:r>
        <w:rPr>
          <w:highlight w:val="none"/>
        </w:rPr>
        <w:fldChar w:fldCharType="end"/>
      </w:r>
    </w:p>
    <w:p>
      <w:pPr>
        <w:pStyle w:val="17"/>
        <w:tabs>
          <w:tab w:val="right" w:leader="dot" w:pos="8306"/>
        </w:tabs>
        <w:rPr>
          <w:highlight w:val="none"/>
        </w:rPr>
      </w:pPr>
      <w:r>
        <w:rPr>
          <w:highlight w:val="none"/>
        </w:rPr>
        <w:fldChar w:fldCharType="begin"/>
      </w:r>
      <w:r>
        <w:rPr>
          <w:highlight w:val="none"/>
        </w:rPr>
        <w:instrText xml:space="preserve"> HYPERLINK \l _Toc27183 </w:instrText>
      </w:r>
      <w:r>
        <w:rPr>
          <w:highlight w:val="none"/>
        </w:rPr>
        <w:fldChar w:fldCharType="separate"/>
      </w:r>
      <w:r>
        <w:rPr>
          <w:rFonts w:hint="eastAsia"/>
          <w:highlight w:val="none"/>
          <w:lang w:val="en-US" w:eastAsia="zh-CN"/>
        </w:rPr>
        <w:t>7. 合同授予</w:t>
      </w:r>
      <w:r>
        <w:rPr>
          <w:highlight w:val="none"/>
        </w:rPr>
        <w:tab/>
      </w:r>
      <w:r>
        <w:rPr>
          <w:highlight w:val="none"/>
        </w:rPr>
        <w:fldChar w:fldCharType="begin"/>
      </w:r>
      <w:r>
        <w:rPr>
          <w:highlight w:val="none"/>
        </w:rPr>
        <w:instrText xml:space="preserve"> PAGEREF _Toc27183 \h </w:instrText>
      </w:r>
      <w:r>
        <w:rPr>
          <w:highlight w:val="none"/>
        </w:rPr>
        <w:fldChar w:fldCharType="separate"/>
      </w:r>
      <w:r>
        <w:rPr>
          <w:highlight w:val="none"/>
        </w:rPr>
        <w:t>18</w:t>
      </w:r>
      <w:r>
        <w:rPr>
          <w:highlight w:val="none"/>
        </w:rPr>
        <w:fldChar w:fldCharType="end"/>
      </w:r>
      <w:r>
        <w:rPr>
          <w:highlight w:val="none"/>
        </w:rPr>
        <w:fldChar w:fldCharType="end"/>
      </w:r>
    </w:p>
    <w:p>
      <w:pPr>
        <w:pStyle w:val="17"/>
        <w:tabs>
          <w:tab w:val="right" w:leader="dot" w:pos="8306"/>
        </w:tabs>
        <w:rPr>
          <w:highlight w:val="none"/>
        </w:rPr>
      </w:pPr>
      <w:r>
        <w:rPr>
          <w:highlight w:val="none"/>
        </w:rPr>
        <w:fldChar w:fldCharType="begin"/>
      </w:r>
      <w:r>
        <w:rPr>
          <w:highlight w:val="none"/>
        </w:rPr>
        <w:instrText xml:space="preserve"> HYPERLINK \l _Toc7681 </w:instrText>
      </w:r>
      <w:r>
        <w:rPr>
          <w:highlight w:val="none"/>
        </w:rPr>
        <w:fldChar w:fldCharType="separate"/>
      </w:r>
      <w:r>
        <w:rPr>
          <w:rFonts w:hint="eastAsia"/>
          <w:highlight w:val="none"/>
        </w:rPr>
        <w:t>8. 纪律和监督</w:t>
      </w:r>
      <w:r>
        <w:rPr>
          <w:highlight w:val="none"/>
        </w:rPr>
        <w:tab/>
      </w:r>
      <w:r>
        <w:rPr>
          <w:highlight w:val="none"/>
        </w:rPr>
        <w:fldChar w:fldCharType="begin"/>
      </w:r>
      <w:r>
        <w:rPr>
          <w:highlight w:val="none"/>
        </w:rPr>
        <w:instrText xml:space="preserve"> PAGEREF _Toc7681 \h </w:instrText>
      </w:r>
      <w:r>
        <w:rPr>
          <w:highlight w:val="none"/>
        </w:rPr>
        <w:fldChar w:fldCharType="separate"/>
      </w:r>
      <w:r>
        <w:rPr>
          <w:highlight w:val="none"/>
        </w:rPr>
        <w:t>20</w:t>
      </w:r>
      <w:r>
        <w:rPr>
          <w:highlight w:val="none"/>
        </w:rPr>
        <w:fldChar w:fldCharType="end"/>
      </w:r>
      <w:r>
        <w:rPr>
          <w:highlight w:val="none"/>
        </w:rPr>
        <w:fldChar w:fldCharType="end"/>
      </w:r>
    </w:p>
    <w:p>
      <w:pPr>
        <w:pStyle w:val="17"/>
        <w:tabs>
          <w:tab w:val="right" w:leader="dot" w:pos="8306"/>
        </w:tabs>
        <w:rPr>
          <w:highlight w:val="none"/>
        </w:rPr>
      </w:pPr>
      <w:r>
        <w:rPr>
          <w:highlight w:val="none"/>
        </w:rPr>
        <w:fldChar w:fldCharType="begin"/>
      </w:r>
      <w:r>
        <w:rPr>
          <w:highlight w:val="none"/>
        </w:rPr>
        <w:instrText xml:space="preserve"> HYPERLINK \l _Toc19017 </w:instrText>
      </w:r>
      <w:r>
        <w:rPr>
          <w:highlight w:val="none"/>
        </w:rPr>
        <w:fldChar w:fldCharType="separate"/>
      </w:r>
      <w:r>
        <w:rPr>
          <w:rFonts w:hint="eastAsia"/>
          <w:highlight w:val="none"/>
        </w:rPr>
        <w:t>9. 需要补充的其他内容</w:t>
      </w:r>
      <w:r>
        <w:rPr>
          <w:highlight w:val="none"/>
        </w:rPr>
        <w:tab/>
      </w:r>
      <w:r>
        <w:rPr>
          <w:highlight w:val="none"/>
        </w:rPr>
        <w:fldChar w:fldCharType="begin"/>
      </w:r>
      <w:r>
        <w:rPr>
          <w:highlight w:val="none"/>
        </w:rPr>
        <w:instrText xml:space="preserve"> PAGEREF _Toc19017 \h </w:instrText>
      </w:r>
      <w:r>
        <w:rPr>
          <w:highlight w:val="none"/>
        </w:rPr>
        <w:fldChar w:fldCharType="separate"/>
      </w:r>
      <w:r>
        <w:rPr>
          <w:highlight w:val="none"/>
        </w:rPr>
        <w:t>20</w:t>
      </w:r>
      <w:r>
        <w:rPr>
          <w:highlight w:val="none"/>
        </w:rPr>
        <w:fldChar w:fldCharType="end"/>
      </w:r>
      <w:r>
        <w:rPr>
          <w:highlight w:val="none"/>
        </w:rPr>
        <w:fldChar w:fldCharType="end"/>
      </w:r>
    </w:p>
    <w:p>
      <w:pPr>
        <w:pStyle w:val="17"/>
        <w:tabs>
          <w:tab w:val="right" w:leader="dot" w:pos="8306"/>
        </w:tabs>
        <w:rPr>
          <w:highlight w:val="none"/>
        </w:rPr>
      </w:pPr>
      <w:r>
        <w:rPr>
          <w:highlight w:val="none"/>
        </w:rPr>
        <w:fldChar w:fldCharType="begin"/>
      </w:r>
      <w:r>
        <w:rPr>
          <w:highlight w:val="none"/>
        </w:rPr>
        <w:instrText xml:space="preserve"> HYPERLINK \l _Toc11435 </w:instrText>
      </w:r>
      <w:r>
        <w:rPr>
          <w:highlight w:val="none"/>
        </w:rPr>
        <w:fldChar w:fldCharType="separate"/>
      </w:r>
      <w:r>
        <w:rPr>
          <w:rFonts w:hint="eastAsia"/>
          <w:highlight w:val="none"/>
        </w:rPr>
        <w:t>附件：质疑函格式（统一格式，需提供原件）</w:t>
      </w:r>
      <w:r>
        <w:rPr>
          <w:highlight w:val="none"/>
        </w:rPr>
        <w:tab/>
      </w:r>
      <w:r>
        <w:rPr>
          <w:highlight w:val="none"/>
        </w:rPr>
        <w:fldChar w:fldCharType="begin"/>
      </w:r>
      <w:r>
        <w:rPr>
          <w:highlight w:val="none"/>
        </w:rPr>
        <w:instrText xml:space="preserve"> PAGEREF _Toc11435 \h </w:instrText>
      </w:r>
      <w:r>
        <w:rPr>
          <w:highlight w:val="none"/>
        </w:rPr>
        <w:fldChar w:fldCharType="separate"/>
      </w:r>
      <w:r>
        <w:rPr>
          <w:highlight w:val="none"/>
        </w:rPr>
        <w:t>21</w:t>
      </w:r>
      <w:r>
        <w:rPr>
          <w:highlight w:val="none"/>
        </w:rPr>
        <w:fldChar w:fldCharType="end"/>
      </w:r>
      <w:r>
        <w:rPr>
          <w:highlight w:val="none"/>
        </w:rPr>
        <w:fldChar w:fldCharType="end"/>
      </w:r>
    </w:p>
    <w:p>
      <w:pPr>
        <w:pStyle w:val="23"/>
        <w:tabs>
          <w:tab w:val="right" w:leader="dot" w:pos="8306"/>
        </w:tabs>
        <w:rPr>
          <w:highlight w:val="none"/>
        </w:rPr>
      </w:pPr>
      <w:r>
        <w:rPr>
          <w:highlight w:val="none"/>
        </w:rPr>
        <w:fldChar w:fldCharType="begin"/>
      </w:r>
      <w:r>
        <w:rPr>
          <w:highlight w:val="none"/>
        </w:rPr>
        <w:instrText xml:space="preserve"> HYPERLINK \l _Toc21640 </w:instrText>
      </w:r>
      <w:r>
        <w:rPr>
          <w:highlight w:val="none"/>
        </w:rPr>
        <w:fldChar w:fldCharType="separate"/>
      </w:r>
      <w:r>
        <w:rPr>
          <w:rFonts w:hint="default" w:asciiTheme="minorEastAsia" w:hAnsiTheme="minorEastAsia"/>
          <w:highlight w:val="none"/>
        </w:rPr>
        <w:t xml:space="preserve">第三章 </w:t>
      </w:r>
      <w:r>
        <w:rPr>
          <w:rFonts w:hint="eastAsia" w:asciiTheme="minorEastAsia" w:hAnsiTheme="minorEastAsia"/>
          <w:highlight w:val="none"/>
          <w:lang w:eastAsia="zh-CN"/>
        </w:rPr>
        <w:t>评标方法和标准</w:t>
      </w:r>
      <w:r>
        <w:rPr>
          <w:highlight w:val="none"/>
        </w:rPr>
        <w:tab/>
      </w:r>
      <w:r>
        <w:rPr>
          <w:highlight w:val="none"/>
        </w:rPr>
        <w:fldChar w:fldCharType="begin"/>
      </w:r>
      <w:r>
        <w:rPr>
          <w:highlight w:val="none"/>
        </w:rPr>
        <w:instrText xml:space="preserve"> PAGEREF _Toc21640 \h </w:instrText>
      </w:r>
      <w:r>
        <w:rPr>
          <w:highlight w:val="none"/>
        </w:rPr>
        <w:fldChar w:fldCharType="separate"/>
      </w:r>
      <w:r>
        <w:rPr>
          <w:highlight w:val="none"/>
        </w:rPr>
        <w:t>23</w:t>
      </w:r>
      <w:r>
        <w:rPr>
          <w:highlight w:val="none"/>
        </w:rPr>
        <w:fldChar w:fldCharType="end"/>
      </w:r>
      <w:r>
        <w:rPr>
          <w:highlight w:val="none"/>
        </w:rPr>
        <w:fldChar w:fldCharType="end"/>
      </w:r>
    </w:p>
    <w:p>
      <w:pPr>
        <w:pStyle w:val="17"/>
        <w:tabs>
          <w:tab w:val="right" w:leader="dot" w:pos="8306"/>
        </w:tabs>
        <w:rPr>
          <w:highlight w:val="none"/>
        </w:rPr>
      </w:pPr>
      <w:r>
        <w:rPr>
          <w:highlight w:val="none"/>
        </w:rPr>
        <w:fldChar w:fldCharType="begin"/>
      </w:r>
      <w:r>
        <w:rPr>
          <w:highlight w:val="none"/>
        </w:rPr>
        <w:instrText xml:space="preserve"> HYPERLINK \l _Toc8661 </w:instrText>
      </w:r>
      <w:r>
        <w:rPr>
          <w:highlight w:val="none"/>
        </w:rPr>
        <w:fldChar w:fldCharType="separate"/>
      </w:r>
      <w:r>
        <w:rPr>
          <w:rFonts w:hint="eastAsia" w:asciiTheme="minorEastAsia" w:hAnsiTheme="minorEastAsia"/>
          <w:highlight w:val="none"/>
        </w:rPr>
        <w:t>1.</w:t>
      </w:r>
      <w:r>
        <w:rPr>
          <w:rFonts w:asciiTheme="minorEastAsia" w:hAnsiTheme="minorEastAsia"/>
          <w:highlight w:val="none"/>
        </w:rPr>
        <w:t>评标依据</w:t>
      </w:r>
      <w:r>
        <w:rPr>
          <w:highlight w:val="none"/>
        </w:rPr>
        <w:tab/>
      </w:r>
      <w:r>
        <w:rPr>
          <w:highlight w:val="none"/>
        </w:rPr>
        <w:fldChar w:fldCharType="begin"/>
      </w:r>
      <w:r>
        <w:rPr>
          <w:highlight w:val="none"/>
        </w:rPr>
        <w:instrText xml:space="preserve"> PAGEREF _Toc8661 \h </w:instrText>
      </w:r>
      <w:r>
        <w:rPr>
          <w:highlight w:val="none"/>
        </w:rPr>
        <w:fldChar w:fldCharType="separate"/>
      </w:r>
      <w:r>
        <w:rPr>
          <w:highlight w:val="none"/>
        </w:rPr>
        <w:t>27</w:t>
      </w:r>
      <w:r>
        <w:rPr>
          <w:highlight w:val="none"/>
        </w:rPr>
        <w:fldChar w:fldCharType="end"/>
      </w:r>
      <w:r>
        <w:rPr>
          <w:highlight w:val="none"/>
        </w:rPr>
        <w:fldChar w:fldCharType="end"/>
      </w:r>
    </w:p>
    <w:p>
      <w:pPr>
        <w:pStyle w:val="17"/>
        <w:tabs>
          <w:tab w:val="right" w:leader="dot" w:pos="8306"/>
        </w:tabs>
        <w:rPr>
          <w:highlight w:val="none"/>
        </w:rPr>
      </w:pPr>
      <w:r>
        <w:rPr>
          <w:highlight w:val="none"/>
        </w:rPr>
        <w:fldChar w:fldCharType="begin"/>
      </w:r>
      <w:r>
        <w:rPr>
          <w:highlight w:val="none"/>
        </w:rPr>
        <w:instrText xml:space="preserve"> HYPERLINK \l _Toc5489 </w:instrText>
      </w:r>
      <w:r>
        <w:rPr>
          <w:highlight w:val="none"/>
        </w:rPr>
        <w:fldChar w:fldCharType="separate"/>
      </w:r>
      <w:r>
        <w:rPr>
          <w:rFonts w:asciiTheme="minorEastAsia" w:hAnsiTheme="minorEastAsia"/>
          <w:highlight w:val="none"/>
        </w:rPr>
        <w:t>2.评标委员会</w:t>
      </w:r>
      <w:r>
        <w:rPr>
          <w:highlight w:val="none"/>
        </w:rPr>
        <w:tab/>
      </w:r>
      <w:r>
        <w:rPr>
          <w:highlight w:val="none"/>
        </w:rPr>
        <w:fldChar w:fldCharType="begin"/>
      </w:r>
      <w:r>
        <w:rPr>
          <w:highlight w:val="none"/>
        </w:rPr>
        <w:instrText xml:space="preserve"> PAGEREF _Toc5489 \h </w:instrText>
      </w:r>
      <w:r>
        <w:rPr>
          <w:highlight w:val="none"/>
        </w:rPr>
        <w:fldChar w:fldCharType="separate"/>
      </w:r>
      <w:r>
        <w:rPr>
          <w:highlight w:val="none"/>
        </w:rPr>
        <w:t>27</w:t>
      </w:r>
      <w:r>
        <w:rPr>
          <w:highlight w:val="none"/>
        </w:rPr>
        <w:fldChar w:fldCharType="end"/>
      </w:r>
      <w:r>
        <w:rPr>
          <w:highlight w:val="none"/>
        </w:rPr>
        <w:fldChar w:fldCharType="end"/>
      </w:r>
    </w:p>
    <w:p>
      <w:pPr>
        <w:pStyle w:val="17"/>
        <w:tabs>
          <w:tab w:val="right" w:leader="dot" w:pos="8306"/>
        </w:tabs>
        <w:rPr>
          <w:highlight w:val="none"/>
        </w:rPr>
      </w:pPr>
      <w:r>
        <w:rPr>
          <w:highlight w:val="none"/>
        </w:rPr>
        <w:fldChar w:fldCharType="begin"/>
      </w:r>
      <w:r>
        <w:rPr>
          <w:highlight w:val="none"/>
        </w:rPr>
        <w:instrText xml:space="preserve"> HYPERLINK \l _Toc27015 </w:instrText>
      </w:r>
      <w:r>
        <w:rPr>
          <w:highlight w:val="none"/>
        </w:rPr>
        <w:fldChar w:fldCharType="separate"/>
      </w:r>
      <w:r>
        <w:rPr>
          <w:rFonts w:hint="eastAsia" w:asciiTheme="minorEastAsia" w:hAnsiTheme="minorEastAsia"/>
          <w:highlight w:val="none"/>
        </w:rPr>
        <w:t>3</w:t>
      </w:r>
      <w:r>
        <w:rPr>
          <w:rFonts w:asciiTheme="minorEastAsia" w:hAnsiTheme="minorEastAsia"/>
          <w:highlight w:val="none"/>
        </w:rPr>
        <w:t>.</w:t>
      </w:r>
      <w:r>
        <w:rPr>
          <w:rFonts w:hint="eastAsia" w:asciiTheme="minorEastAsia" w:hAnsiTheme="minorEastAsia"/>
          <w:highlight w:val="none"/>
        </w:rPr>
        <w:t>评标方法与标准</w:t>
      </w:r>
      <w:r>
        <w:rPr>
          <w:highlight w:val="none"/>
        </w:rPr>
        <w:tab/>
      </w:r>
      <w:r>
        <w:rPr>
          <w:highlight w:val="none"/>
        </w:rPr>
        <w:fldChar w:fldCharType="begin"/>
      </w:r>
      <w:r>
        <w:rPr>
          <w:highlight w:val="none"/>
        </w:rPr>
        <w:instrText xml:space="preserve"> PAGEREF _Toc27015 \h </w:instrText>
      </w:r>
      <w:r>
        <w:rPr>
          <w:highlight w:val="none"/>
        </w:rPr>
        <w:fldChar w:fldCharType="separate"/>
      </w:r>
      <w:r>
        <w:rPr>
          <w:highlight w:val="none"/>
        </w:rPr>
        <w:t>28</w:t>
      </w:r>
      <w:r>
        <w:rPr>
          <w:highlight w:val="none"/>
        </w:rPr>
        <w:fldChar w:fldCharType="end"/>
      </w:r>
      <w:r>
        <w:rPr>
          <w:highlight w:val="none"/>
        </w:rPr>
        <w:fldChar w:fldCharType="end"/>
      </w:r>
    </w:p>
    <w:p>
      <w:pPr>
        <w:pStyle w:val="23"/>
        <w:tabs>
          <w:tab w:val="right" w:leader="dot" w:pos="8306"/>
        </w:tabs>
        <w:rPr>
          <w:highlight w:val="none"/>
        </w:rPr>
      </w:pPr>
      <w:r>
        <w:rPr>
          <w:highlight w:val="none"/>
        </w:rPr>
        <w:fldChar w:fldCharType="begin"/>
      </w:r>
      <w:r>
        <w:rPr>
          <w:highlight w:val="none"/>
        </w:rPr>
        <w:instrText xml:space="preserve"> HYPERLINK \l _Toc23605 </w:instrText>
      </w:r>
      <w:r>
        <w:rPr>
          <w:highlight w:val="none"/>
        </w:rPr>
        <w:fldChar w:fldCharType="separate"/>
      </w:r>
      <w:r>
        <w:rPr>
          <w:rFonts w:hint="default" w:asciiTheme="minorEastAsia" w:hAnsiTheme="minorEastAsia"/>
          <w:highlight w:val="none"/>
          <w:lang w:eastAsia="zh-CN"/>
        </w:rPr>
        <w:t xml:space="preserve">第四章 </w:t>
      </w:r>
      <w:r>
        <w:rPr>
          <w:rFonts w:hint="eastAsia" w:asciiTheme="minorEastAsia" w:hAnsiTheme="minorEastAsia"/>
          <w:highlight w:val="none"/>
          <w:lang w:eastAsia="zh-CN"/>
        </w:rPr>
        <w:t>合同格式</w:t>
      </w:r>
      <w:r>
        <w:rPr>
          <w:highlight w:val="none"/>
        </w:rPr>
        <w:tab/>
      </w:r>
      <w:r>
        <w:rPr>
          <w:highlight w:val="none"/>
        </w:rPr>
        <w:fldChar w:fldCharType="begin"/>
      </w:r>
      <w:r>
        <w:rPr>
          <w:highlight w:val="none"/>
        </w:rPr>
        <w:instrText xml:space="preserve"> PAGEREF _Toc23605 \h </w:instrText>
      </w:r>
      <w:r>
        <w:rPr>
          <w:highlight w:val="none"/>
        </w:rPr>
        <w:fldChar w:fldCharType="separate"/>
      </w:r>
      <w:r>
        <w:rPr>
          <w:highlight w:val="none"/>
        </w:rPr>
        <w:t>30</w:t>
      </w:r>
      <w:r>
        <w:rPr>
          <w:highlight w:val="none"/>
        </w:rPr>
        <w:fldChar w:fldCharType="end"/>
      </w:r>
      <w:r>
        <w:rPr>
          <w:highlight w:val="none"/>
        </w:rPr>
        <w:fldChar w:fldCharType="end"/>
      </w:r>
    </w:p>
    <w:p>
      <w:pPr>
        <w:pStyle w:val="23"/>
        <w:tabs>
          <w:tab w:val="right" w:leader="dot" w:pos="8306"/>
        </w:tabs>
        <w:rPr>
          <w:highlight w:val="none"/>
        </w:rPr>
      </w:pPr>
      <w:r>
        <w:rPr>
          <w:highlight w:val="none"/>
        </w:rPr>
        <w:fldChar w:fldCharType="begin"/>
      </w:r>
      <w:r>
        <w:rPr>
          <w:highlight w:val="none"/>
        </w:rPr>
        <w:instrText xml:space="preserve"> HYPERLINK \l _Toc1104 </w:instrText>
      </w:r>
      <w:r>
        <w:rPr>
          <w:highlight w:val="none"/>
        </w:rPr>
        <w:fldChar w:fldCharType="separate"/>
      </w:r>
      <w:r>
        <w:rPr>
          <w:rFonts w:hint="default" w:asciiTheme="minorEastAsia" w:hAnsiTheme="minorEastAsia"/>
          <w:highlight w:val="none"/>
          <w:lang w:eastAsia="zh-CN"/>
        </w:rPr>
        <w:t xml:space="preserve">第五章 </w:t>
      </w:r>
      <w:r>
        <w:rPr>
          <w:rFonts w:hint="eastAsia" w:asciiTheme="minorEastAsia" w:hAnsiTheme="minorEastAsia"/>
          <w:highlight w:val="none"/>
          <w:lang w:eastAsia="zh-CN"/>
        </w:rPr>
        <w:t>投标文件格式</w:t>
      </w:r>
      <w:r>
        <w:rPr>
          <w:highlight w:val="none"/>
        </w:rPr>
        <w:tab/>
      </w:r>
      <w:r>
        <w:rPr>
          <w:highlight w:val="none"/>
        </w:rPr>
        <w:fldChar w:fldCharType="begin"/>
      </w:r>
      <w:r>
        <w:rPr>
          <w:highlight w:val="none"/>
        </w:rPr>
        <w:instrText xml:space="preserve"> PAGEREF _Toc1104 \h </w:instrText>
      </w:r>
      <w:r>
        <w:rPr>
          <w:highlight w:val="none"/>
        </w:rPr>
        <w:fldChar w:fldCharType="separate"/>
      </w:r>
      <w:r>
        <w:rPr>
          <w:highlight w:val="none"/>
        </w:rPr>
        <w:t>37</w:t>
      </w:r>
      <w:r>
        <w:rPr>
          <w:highlight w:val="none"/>
        </w:rPr>
        <w:fldChar w:fldCharType="end"/>
      </w:r>
      <w:r>
        <w:rPr>
          <w:highlight w:val="none"/>
        </w:rPr>
        <w:fldChar w:fldCharType="end"/>
      </w:r>
    </w:p>
    <w:p>
      <w:pPr>
        <w:pStyle w:val="25"/>
        <w:tabs>
          <w:tab w:val="right" w:leader="dot" w:pos="8306"/>
        </w:tabs>
        <w:rPr>
          <w:highlight w:val="none"/>
        </w:rPr>
      </w:pPr>
      <w:r>
        <w:rPr>
          <w:highlight w:val="none"/>
        </w:rPr>
        <w:fldChar w:fldCharType="begin"/>
      </w:r>
      <w:r>
        <w:rPr>
          <w:highlight w:val="none"/>
        </w:rPr>
        <w:instrText xml:space="preserve"> HYPERLINK \l _Toc25792 </w:instrText>
      </w:r>
      <w:r>
        <w:rPr>
          <w:highlight w:val="none"/>
        </w:rPr>
        <w:fldChar w:fldCharType="separate"/>
      </w:r>
      <w:r>
        <w:rPr>
          <w:rFonts w:hint="eastAsia"/>
          <w:highlight w:val="none"/>
        </w:rPr>
        <w:t>第一部分资格证明文件</w:t>
      </w:r>
      <w:r>
        <w:rPr>
          <w:highlight w:val="none"/>
        </w:rPr>
        <w:tab/>
      </w:r>
      <w:r>
        <w:rPr>
          <w:highlight w:val="none"/>
        </w:rPr>
        <w:fldChar w:fldCharType="begin"/>
      </w:r>
      <w:r>
        <w:rPr>
          <w:highlight w:val="none"/>
        </w:rPr>
        <w:instrText xml:space="preserve"> PAGEREF _Toc25792 \h </w:instrText>
      </w:r>
      <w:r>
        <w:rPr>
          <w:highlight w:val="none"/>
        </w:rPr>
        <w:fldChar w:fldCharType="separate"/>
      </w:r>
      <w:r>
        <w:rPr>
          <w:highlight w:val="none"/>
        </w:rPr>
        <w:t>38</w:t>
      </w:r>
      <w:r>
        <w:rPr>
          <w:highlight w:val="none"/>
        </w:rPr>
        <w:fldChar w:fldCharType="end"/>
      </w:r>
      <w:r>
        <w:rPr>
          <w:highlight w:val="none"/>
        </w:rPr>
        <w:fldChar w:fldCharType="end"/>
      </w:r>
    </w:p>
    <w:p>
      <w:pPr>
        <w:pStyle w:val="17"/>
        <w:tabs>
          <w:tab w:val="right" w:leader="dot" w:pos="8306"/>
        </w:tabs>
        <w:rPr>
          <w:highlight w:val="none"/>
        </w:rPr>
      </w:pPr>
      <w:r>
        <w:rPr>
          <w:highlight w:val="none"/>
        </w:rPr>
        <w:fldChar w:fldCharType="begin"/>
      </w:r>
      <w:r>
        <w:rPr>
          <w:highlight w:val="none"/>
        </w:rPr>
        <w:instrText xml:space="preserve"> HYPERLINK \l _Toc28055 </w:instrText>
      </w:r>
      <w:r>
        <w:rPr>
          <w:highlight w:val="none"/>
        </w:rPr>
        <w:fldChar w:fldCharType="separate"/>
      </w:r>
      <w:r>
        <w:rPr>
          <w:rFonts w:hint="eastAsia"/>
          <w:highlight w:val="none"/>
        </w:rPr>
        <w:t>一、法定代表人授权委托书</w:t>
      </w:r>
      <w:r>
        <w:rPr>
          <w:highlight w:val="none"/>
        </w:rPr>
        <w:tab/>
      </w:r>
      <w:r>
        <w:rPr>
          <w:highlight w:val="none"/>
        </w:rPr>
        <w:fldChar w:fldCharType="begin"/>
      </w:r>
      <w:r>
        <w:rPr>
          <w:highlight w:val="none"/>
        </w:rPr>
        <w:instrText xml:space="preserve"> PAGEREF _Toc28055 \h </w:instrText>
      </w:r>
      <w:r>
        <w:rPr>
          <w:highlight w:val="none"/>
        </w:rPr>
        <w:fldChar w:fldCharType="separate"/>
      </w:r>
      <w:r>
        <w:rPr>
          <w:highlight w:val="none"/>
        </w:rPr>
        <w:t>39</w:t>
      </w:r>
      <w:r>
        <w:rPr>
          <w:highlight w:val="none"/>
        </w:rPr>
        <w:fldChar w:fldCharType="end"/>
      </w:r>
      <w:r>
        <w:rPr>
          <w:highlight w:val="none"/>
        </w:rPr>
        <w:fldChar w:fldCharType="end"/>
      </w:r>
    </w:p>
    <w:p>
      <w:pPr>
        <w:pStyle w:val="17"/>
        <w:tabs>
          <w:tab w:val="right" w:leader="dot" w:pos="8306"/>
        </w:tabs>
        <w:rPr>
          <w:highlight w:val="none"/>
        </w:rPr>
      </w:pPr>
      <w:r>
        <w:rPr>
          <w:highlight w:val="none"/>
        </w:rPr>
        <w:fldChar w:fldCharType="begin"/>
      </w:r>
      <w:r>
        <w:rPr>
          <w:highlight w:val="none"/>
        </w:rPr>
        <w:instrText xml:space="preserve"> HYPERLINK \l _Toc30536 </w:instrText>
      </w:r>
      <w:r>
        <w:rPr>
          <w:highlight w:val="none"/>
        </w:rPr>
        <w:fldChar w:fldCharType="separate"/>
      </w:r>
      <w:r>
        <w:rPr>
          <w:rFonts w:hint="eastAsia"/>
          <w:highlight w:val="none"/>
        </w:rPr>
        <w:t>二、资格承诺声明函</w:t>
      </w:r>
      <w:r>
        <w:rPr>
          <w:highlight w:val="none"/>
        </w:rPr>
        <w:tab/>
      </w:r>
      <w:r>
        <w:rPr>
          <w:highlight w:val="none"/>
        </w:rPr>
        <w:fldChar w:fldCharType="begin"/>
      </w:r>
      <w:r>
        <w:rPr>
          <w:highlight w:val="none"/>
        </w:rPr>
        <w:instrText xml:space="preserve"> PAGEREF _Toc30536 \h </w:instrText>
      </w:r>
      <w:r>
        <w:rPr>
          <w:highlight w:val="none"/>
        </w:rPr>
        <w:fldChar w:fldCharType="separate"/>
      </w:r>
      <w:r>
        <w:rPr>
          <w:highlight w:val="none"/>
        </w:rPr>
        <w:t>40</w:t>
      </w:r>
      <w:r>
        <w:rPr>
          <w:highlight w:val="none"/>
        </w:rPr>
        <w:fldChar w:fldCharType="end"/>
      </w:r>
      <w:r>
        <w:rPr>
          <w:highlight w:val="none"/>
        </w:rPr>
        <w:fldChar w:fldCharType="end"/>
      </w:r>
    </w:p>
    <w:p>
      <w:pPr>
        <w:pStyle w:val="17"/>
        <w:tabs>
          <w:tab w:val="right" w:leader="dot" w:pos="8306"/>
        </w:tabs>
        <w:rPr>
          <w:highlight w:val="none"/>
        </w:rPr>
      </w:pPr>
      <w:r>
        <w:rPr>
          <w:highlight w:val="none"/>
        </w:rPr>
        <w:fldChar w:fldCharType="begin"/>
      </w:r>
      <w:r>
        <w:rPr>
          <w:highlight w:val="none"/>
        </w:rPr>
        <w:instrText xml:space="preserve"> HYPERLINK \l _Toc17797 </w:instrText>
      </w:r>
      <w:r>
        <w:rPr>
          <w:highlight w:val="none"/>
        </w:rPr>
        <w:fldChar w:fldCharType="separate"/>
      </w:r>
      <w:r>
        <w:rPr>
          <w:rFonts w:hint="eastAsia"/>
          <w:highlight w:val="none"/>
          <w:lang w:val="en-US" w:eastAsia="zh-CN"/>
        </w:rPr>
        <w:t>三、</w:t>
      </w:r>
      <w:r>
        <w:rPr>
          <w:rFonts w:hint="eastAsia"/>
          <w:highlight w:val="none"/>
        </w:rPr>
        <w:t>信用记录查询</w:t>
      </w:r>
      <w:r>
        <w:rPr>
          <w:highlight w:val="none"/>
        </w:rPr>
        <w:tab/>
      </w:r>
      <w:r>
        <w:rPr>
          <w:highlight w:val="none"/>
        </w:rPr>
        <w:fldChar w:fldCharType="begin"/>
      </w:r>
      <w:r>
        <w:rPr>
          <w:highlight w:val="none"/>
        </w:rPr>
        <w:instrText xml:space="preserve"> PAGEREF _Toc17797 \h </w:instrText>
      </w:r>
      <w:r>
        <w:rPr>
          <w:highlight w:val="none"/>
        </w:rPr>
        <w:fldChar w:fldCharType="separate"/>
      </w:r>
      <w:r>
        <w:rPr>
          <w:highlight w:val="none"/>
        </w:rPr>
        <w:t>41</w:t>
      </w:r>
      <w:r>
        <w:rPr>
          <w:highlight w:val="none"/>
        </w:rPr>
        <w:fldChar w:fldCharType="end"/>
      </w:r>
      <w:r>
        <w:rPr>
          <w:highlight w:val="none"/>
        </w:rPr>
        <w:fldChar w:fldCharType="end"/>
      </w:r>
    </w:p>
    <w:p>
      <w:pPr>
        <w:pStyle w:val="17"/>
        <w:tabs>
          <w:tab w:val="right" w:leader="dot" w:pos="8306"/>
        </w:tabs>
        <w:rPr>
          <w:highlight w:val="none"/>
        </w:rPr>
      </w:pPr>
      <w:r>
        <w:rPr>
          <w:highlight w:val="none"/>
        </w:rPr>
        <w:fldChar w:fldCharType="begin"/>
      </w:r>
      <w:r>
        <w:rPr>
          <w:highlight w:val="none"/>
        </w:rPr>
        <w:instrText xml:space="preserve"> HYPERLINK \l _Toc20750 </w:instrText>
      </w:r>
      <w:r>
        <w:rPr>
          <w:highlight w:val="none"/>
        </w:rPr>
        <w:fldChar w:fldCharType="separate"/>
      </w:r>
      <w:r>
        <w:rPr>
          <w:rFonts w:hint="eastAsia"/>
          <w:highlight w:val="none"/>
          <w:lang w:val="en-US" w:eastAsia="zh-CN"/>
        </w:rPr>
        <w:t>四</w:t>
      </w:r>
      <w:r>
        <w:rPr>
          <w:rFonts w:hint="eastAsia"/>
          <w:highlight w:val="none"/>
        </w:rPr>
        <w:t>、单位负责人为同一人或者存在直接控股、管理关系的不同投标人，不得参加同一合同项下的政府采购活动声明函</w:t>
      </w:r>
      <w:r>
        <w:rPr>
          <w:highlight w:val="none"/>
        </w:rPr>
        <w:tab/>
      </w:r>
      <w:r>
        <w:rPr>
          <w:highlight w:val="none"/>
        </w:rPr>
        <w:fldChar w:fldCharType="begin"/>
      </w:r>
      <w:r>
        <w:rPr>
          <w:highlight w:val="none"/>
        </w:rPr>
        <w:instrText xml:space="preserve"> PAGEREF _Toc20750 \h </w:instrText>
      </w:r>
      <w:r>
        <w:rPr>
          <w:highlight w:val="none"/>
        </w:rPr>
        <w:fldChar w:fldCharType="separate"/>
      </w:r>
      <w:r>
        <w:rPr>
          <w:highlight w:val="none"/>
        </w:rPr>
        <w:t>42</w:t>
      </w:r>
      <w:r>
        <w:rPr>
          <w:highlight w:val="none"/>
        </w:rPr>
        <w:fldChar w:fldCharType="end"/>
      </w:r>
      <w:r>
        <w:rPr>
          <w:highlight w:val="none"/>
        </w:rPr>
        <w:fldChar w:fldCharType="end"/>
      </w:r>
    </w:p>
    <w:p>
      <w:pPr>
        <w:pStyle w:val="17"/>
        <w:tabs>
          <w:tab w:val="right" w:leader="dot" w:pos="8306"/>
        </w:tabs>
        <w:rPr>
          <w:highlight w:val="none"/>
        </w:rPr>
      </w:pPr>
      <w:r>
        <w:rPr>
          <w:highlight w:val="none"/>
        </w:rPr>
        <w:fldChar w:fldCharType="begin"/>
      </w:r>
      <w:r>
        <w:rPr>
          <w:highlight w:val="none"/>
        </w:rPr>
        <w:instrText xml:space="preserve"> HYPERLINK \l _Toc25383 </w:instrText>
      </w:r>
      <w:r>
        <w:rPr>
          <w:highlight w:val="none"/>
        </w:rPr>
        <w:fldChar w:fldCharType="separate"/>
      </w:r>
      <w:r>
        <w:rPr>
          <w:rFonts w:hint="eastAsia"/>
          <w:highlight w:val="none"/>
          <w:lang w:val="en-US" w:eastAsia="zh-CN"/>
        </w:rPr>
        <w:t>五、反商业贿赂承诺书</w:t>
      </w:r>
      <w:r>
        <w:rPr>
          <w:highlight w:val="none"/>
        </w:rPr>
        <w:tab/>
      </w:r>
      <w:r>
        <w:rPr>
          <w:highlight w:val="none"/>
        </w:rPr>
        <w:fldChar w:fldCharType="begin"/>
      </w:r>
      <w:r>
        <w:rPr>
          <w:highlight w:val="none"/>
        </w:rPr>
        <w:instrText xml:space="preserve"> PAGEREF _Toc25383 \h </w:instrText>
      </w:r>
      <w:r>
        <w:rPr>
          <w:highlight w:val="none"/>
        </w:rPr>
        <w:fldChar w:fldCharType="separate"/>
      </w:r>
      <w:r>
        <w:rPr>
          <w:highlight w:val="none"/>
        </w:rPr>
        <w:t>43</w:t>
      </w:r>
      <w:r>
        <w:rPr>
          <w:highlight w:val="none"/>
        </w:rPr>
        <w:fldChar w:fldCharType="end"/>
      </w:r>
      <w:r>
        <w:rPr>
          <w:highlight w:val="none"/>
        </w:rPr>
        <w:fldChar w:fldCharType="end"/>
      </w:r>
    </w:p>
    <w:p>
      <w:pPr>
        <w:pStyle w:val="25"/>
        <w:tabs>
          <w:tab w:val="right" w:leader="dot" w:pos="8306"/>
        </w:tabs>
        <w:rPr>
          <w:highlight w:val="none"/>
        </w:rPr>
      </w:pPr>
      <w:r>
        <w:rPr>
          <w:highlight w:val="none"/>
        </w:rPr>
        <w:fldChar w:fldCharType="begin"/>
      </w:r>
      <w:r>
        <w:rPr>
          <w:highlight w:val="none"/>
        </w:rPr>
        <w:instrText xml:space="preserve"> HYPERLINK \l _Toc2162 </w:instrText>
      </w:r>
      <w:r>
        <w:rPr>
          <w:highlight w:val="none"/>
        </w:rPr>
        <w:fldChar w:fldCharType="separate"/>
      </w:r>
      <w:r>
        <w:rPr>
          <w:rFonts w:hint="eastAsia"/>
          <w:highlight w:val="none"/>
        </w:rPr>
        <w:t>第二部分商务、技术文件</w:t>
      </w:r>
      <w:r>
        <w:rPr>
          <w:highlight w:val="none"/>
        </w:rPr>
        <w:tab/>
      </w:r>
      <w:r>
        <w:rPr>
          <w:highlight w:val="none"/>
        </w:rPr>
        <w:fldChar w:fldCharType="begin"/>
      </w:r>
      <w:r>
        <w:rPr>
          <w:highlight w:val="none"/>
        </w:rPr>
        <w:instrText xml:space="preserve"> PAGEREF _Toc2162 \h </w:instrText>
      </w:r>
      <w:r>
        <w:rPr>
          <w:highlight w:val="none"/>
        </w:rPr>
        <w:fldChar w:fldCharType="separate"/>
      </w:r>
      <w:r>
        <w:rPr>
          <w:highlight w:val="none"/>
        </w:rPr>
        <w:t>44</w:t>
      </w:r>
      <w:r>
        <w:rPr>
          <w:highlight w:val="none"/>
        </w:rPr>
        <w:fldChar w:fldCharType="end"/>
      </w:r>
      <w:r>
        <w:rPr>
          <w:highlight w:val="none"/>
        </w:rPr>
        <w:fldChar w:fldCharType="end"/>
      </w:r>
    </w:p>
    <w:p>
      <w:pPr>
        <w:pStyle w:val="17"/>
        <w:tabs>
          <w:tab w:val="right" w:leader="dot" w:pos="8306"/>
        </w:tabs>
        <w:rPr>
          <w:highlight w:val="none"/>
        </w:rPr>
      </w:pPr>
      <w:r>
        <w:rPr>
          <w:highlight w:val="none"/>
        </w:rPr>
        <w:fldChar w:fldCharType="begin"/>
      </w:r>
      <w:r>
        <w:rPr>
          <w:highlight w:val="none"/>
        </w:rPr>
        <w:instrText xml:space="preserve"> HYPERLINK \l _Toc22713 </w:instrText>
      </w:r>
      <w:r>
        <w:rPr>
          <w:highlight w:val="none"/>
        </w:rPr>
        <w:fldChar w:fldCharType="separate"/>
      </w:r>
      <w:r>
        <w:rPr>
          <w:rFonts w:hint="eastAsia"/>
          <w:highlight w:val="none"/>
          <w:lang w:val="en-US" w:eastAsia="zh-CN"/>
        </w:rPr>
        <w:t>一、投标函</w:t>
      </w:r>
      <w:r>
        <w:rPr>
          <w:highlight w:val="none"/>
        </w:rPr>
        <w:tab/>
      </w:r>
      <w:r>
        <w:rPr>
          <w:highlight w:val="none"/>
        </w:rPr>
        <w:fldChar w:fldCharType="begin"/>
      </w:r>
      <w:r>
        <w:rPr>
          <w:highlight w:val="none"/>
        </w:rPr>
        <w:instrText xml:space="preserve"> PAGEREF _Toc22713 \h </w:instrText>
      </w:r>
      <w:r>
        <w:rPr>
          <w:highlight w:val="none"/>
        </w:rPr>
        <w:fldChar w:fldCharType="separate"/>
      </w:r>
      <w:r>
        <w:rPr>
          <w:highlight w:val="none"/>
        </w:rPr>
        <w:t>45</w:t>
      </w:r>
      <w:r>
        <w:rPr>
          <w:highlight w:val="none"/>
        </w:rPr>
        <w:fldChar w:fldCharType="end"/>
      </w:r>
      <w:r>
        <w:rPr>
          <w:highlight w:val="none"/>
        </w:rPr>
        <w:fldChar w:fldCharType="end"/>
      </w:r>
    </w:p>
    <w:p>
      <w:pPr>
        <w:pStyle w:val="17"/>
        <w:tabs>
          <w:tab w:val="right" w:leader="dot" w:pos="8306"/>
        </w:tabs>
        <w:rPr>
          <w:highlight w:val="none"/>
        </w:rPr>
      </w:pPr>
      <w:r>
        <w:rPr>
          <w:highlight w:val="none"/>
        </w:rPr>
        <w:fldChar w:fldCharType="begin"/>
      </w:r>
      <w:r>
        <w:rPr>
          <w:highlight w:val="none"/>
        </w:rPr>
        <w:instrText xml:space="preserve"> HYPERLINK \l _Toc28316 </w:instrText>
      </w:r>
      <w:r>
        <w:rPr>
          <w:highlight w:val="none"/>
        </w:rPr>
        <w:fldChar w:fldCharType="separate"/>
      </w:r>
      <w:r>
        <w:rPr>
          <w:rFonts w:hint="eastAsia"/>
          <w:highlight w:val="none"/>
          <w:lang w:val="en-US" w:eastAsia="zh-CN"/>
        </w:rPr>
        <w:t>二、投标报价表格</w:t>
      </w:r>
      <w:r>
        <w:rPr>
          <w:highlight w:val="none"/>
        </w:rPr>
        <w:tab/>
      </w:r>
      <w:r>
        <w:rPr>
          <w:highlight w:val="none"/>
        </w:rPr>
        <w:fldChar w:fldCharType="begin"/>
      </w:r>
      <w:r>
        <w:rPr>
          <w:highlight w:val="none"/>
        </w:rPr>
        <w:instrText xml:space="preserve"> PAGEREF _Toc28316 \h </w:instrText>
      </w:r>
      <w:r>
        <w:rPr>
          <w:highlight w:val="none"/>
        </w:rPr>
        <w:fldChar w:fldCharType="separate"/>
      </w:r>
      <w:r>
        <w:rPr>
          <w:highlight w:val="none"/>
        </w:rPr>
        <w:t>46</w:t>
      </w:r>
      <w:r>
        <w:rPr>
          <w:highlight w:val="none"/>
        </w:rPr>
        <w:fldChar w:fldCharType="end"/>
      </w:r>
      <w:r>
        <w:rPr>
          <w:highlight w:val="none"/>
        </w:rPr>
        <w:fldChar w:fldCharType="end"/>
      </w:r>
    </w:p>
    <w:p>
      <w:pPr>
        <w:pStyle w:val="17"/>
        <w:tabs>
          <w:tab w:val="right" w:leader="dot" w:pos="8306"/>
        </w:tabs>
        <w:rPr>
          <w:highlight w:val="none"/>
        </w:rPr>
      </w:pPr>
      <w:r>
        <w:rPr>
          <w:highlight w:val="none"/>
        </w:rPr>
        <w:fldChar w:fldCharType="begin"/>
      </w:r>
      <w:r>
        <w:rPr>
          <w:highlight w:val="none"/>
        </w:rPr>
        <w:instrText xml:space="preserve"> HYPERLINK \l _Toc829 </w:instrText>
      </w:r>
      <w:r>
        <w:rPr>
          <w:highlight w:val="none"/>
        </w:rPr>
        <w:fldChar w:fldCharType="separate"/>
      </w:r>
      <w:r>
        <w:rPr>
          <w:rFonts w:hint="eastAsia"/>
          <w:highlight w:val="none"/>
          <w:lang w:val="en-US" w:eastAsia="zh-CN"/>
        </w:rPr>
        <w:t>三、服务要求响应偏差表</w:t>
      </w:r>
      <w:r>
        <w:rPr>
          <w:highlight w:val="none"/>
        </w:rPr>
        <w:tab/>
      </w:r>
      <w:r>
        <w:rPr>
          <w:highlight w:val="none"/>
        </w:rPr>
        <w:fldChar w:fldCharType="begin"/>
      </w:r>
      <w:r>
        <w:rPr>
          <w:highlight w:val="none"/>
        </w:rPr>
        <w:instrText xml:space="preserve"> PAGEREF _Toc829 \h </w:instrText>
      </w:r>
      <w:r>
        <w:rPr>
          <w:highlight w:val="none"/>
        </w:rPr>
        <w:fldChar w:fldCharType="separate"/>
      </w:r>
      <w:r>
        <w:rPr>
          <w:highlight w:val="none"/>
        </w:rPr>
        <w:t>49</w:t>
      </w:r>
      <w:r>
        <w:rPr>
          <w:highlight w:val="none"/>
        </w:rPr>
        <w:fldChar w:fldCharType="end"/>
      </w:r>
      <w:r>
        <w:rPr>
          <w:highlight w:val="none"/>
        </w:rPr>
        <w:fldChar w:fldCharType="end"/>
      </w:r>
    </w:p>
    <w:p>
      <w:pPr>
        <w:pStyle w:val="17"/>
        <w:tabs>
          <w:tab w:val="right" w:leader="dot" w:pos="8306"/>
        </w:tabs>
        <w:rPr>
          <w:highlight w:val="none"/>
        </w:rPr>
      </w:pPr>
      <w:r>
        <w:rPr>
          <w:highlight w:val="none"/>
        </w:rPr>
        <w:fldChar w:fldCharType="begin"/>
      </w:r>
      <w:r>
        <w:rPr>
          <w:highlight w:val="none"/>
        </w:rPr>
        <w:instrText xml:space="preserve"> HYPERLINK \l _Toc17199 </w:instrText>
      </w:r>
      <w:r>
        <w:rPr>
          <w:highlight w:val="none"/>
        </w:rPr>
        <w:fldChar w:fldCharType="separate"/>
      </w:r>
      <w:r>
        <w:rPr>
          <w:rFonts w:hint="eastAsia"/>
          <w:highlight w:val="none"/>
          <w:lang w:val="en-US" w:eastAsia="zh-CN"/>
        </w:rPr>
        <w:t>四、技术部分</w:t>
      </w:r>
      <w:r>
        <w:rPr>
          <w:highlight w:val="none"/>
        </w:rPr>
        <w:tab/>
      </w:r>
      <w:r>
        <w:rPr>
          <w:highlight w:val="none"/>
        </w:rPr>
        <w:fldChar w:fldCharType="begin"/>
      </w:r>
      <w:r>
        <w:rPr>
          <w:highlight w:val="none"/>
        </w:rPr>
        <w:instrText xml:space="preserve"> PAGEREF _Toc17199 \h </w:instrText>
      </w:r>
      <w:r>
        <w:rPr>
          <w:highlight w:val="none"/>
        </w:rPr>
        <w:fldChar w:fldCharType="separate"/>
      </w:r>
      <w:r>
        <w:rPr>
          <w:highlight w:val="none"/>
        </w:rPr>
        <w:t>50</w:t>
      </w:r>
      <w:r>
        <w:rPr>
          <w:highlight w:val="none"/>
        </w:rPr>
        <w:fldChar w:fldCharType="end"/>
      </w:r>
      <w:r>
        <w:rPr>
          <w:highlight w:val="none"/>
        </w:rPr>
        <w:fldChar w:fldCharType="end"/>
      </w:r>
    </w:p>
    <w:p>
      <w:pPr>
        <w:pStyle w:val="17"/>
        <w:tabs>
          <w:tab w:val="right" w:leader="dot" w:pos="8306"/>
        </w:tabs>
        <w:rPr>
          <w:highlight w:val="none"/>
        </w:rPr>
      </w:pPr>
      <w:r>
        <w:rPr>
          <w:highlight w:val="none"/>
        </w:rPr>
        <w:fldChar w:fldCharType="begin"/>
      </w:r>
      <w:r>
        <w:rPr>
          <w:highlight w:val="none"/>
        </w:rPr>
        <w:instrText xml:space="preserve"> HYPERLINK \l _Toc18374 </w:instrText>
      </w:r>
      <w:r>
        <w:rPr>
          <w:highlight w:val="none"/>
        </w:rPr>
        <w:fldChar w:fldCharType="separate"/>
      </w:r>
      <w:r>
        <w:rPr>
          <w:rFonts w:hint="eastAsia"/>
          <w:highlight w:val="none"/>
          <w:lang w:val="en-US" w:eastAsia="zh-CN"/>
        </w:rPr>
        <w:t>五、服务承诺</w:t>
      </w:r>
      <w:r>
        <w:rPr>
          <w:highlight w:val="none"/>
        </w:rPr>
        <w:tab/>
      </w:r>
      <w:r>
        <w:rPr>
          <w:highlight w:val="none"/>
        </w:rPr>
        <w:fldChar w:fldCharType="begin"/>
      </w:r>
      <w:r>
        <w:rPr>
          <w:highlight w:val="none"/>
        </w:rPr>
        <w:instrText xml:space="preserve"> PAGEREF _Toc18374 \h </w:instrText>
      </w:r>
      <w:r>
        <w:rPr>
          <w:highlight w:val="none"/>
        </w:rPr>
        <w:fldChar w:fldCharType="separate"/>
      </w:r>
      <w:r>
        <w:rPr>
          <w:highlight w:val="none"/>
        </w:rPr>
        <w:t>51</w:t>
      </w:r>
      <w:r>
        <w:rPr>
          <w:highlight w:val="none"/>
        </w:rPr>
        <w:fldChar w:fldCharType="end"/>
      </w:r>
      <w:r>
        <w:rPr>
          <w:highlight w:val="none"/>
        </w:rPr>
        <w:fldChar w:fldCharType="end"/>
      </w:r>
    </w:p>
    <w:p>
      <w:pPr>
        <w:pStyle w:val="17"/>
        <w:tabs>
          <w:tab w:val="right" w:leader="dot" w:pos="8306"/>
        </w:tabs>
        <w:rPr>
          <w:highlight w:val="none"/>
        </w:rPr>
      </w:pPr>
      <w:r>
        <w:rPr>
          <w:highlight w:val="none"/>
        </w:rPr>
        <w:fldChar w:fldCharType="begin"/>
      </w:r>
      <w:r>
        <w:rPr>
          <w:highlight w:val="none"/>
        </w:rPr>
        <w:instrText xml:space="preserve"> HYPERLINK \l _Toc29422 </w:instrText>
      </w:r>
      <w:r>
        <w:rPr>
          <w:highlight w:val="none"/>
        </w:rPr>
        <w:fldChar w:fldCharType="separate"/>
      </w:r>
      <w:r>
        <w:rPr>
          <w:rFonts w:hint="eastAsia"/>
          <w:highlight w:val="none"/>
          <w:lang w:val="en-US" w:eastAsia="zh-CN"/>
        </w:rPr>
        <w:t>六、投标人承诺函</w:t>
      </w:r>
      <w:r>
        <w:rPr>
          <w:highlight w:val="none"/>
        </w:rPr>
        <w:tab/>
      </w:r>
      <w:r>
        <w:rPr>
          <w:highlight w:val="none"/>
        </w:rPr>
        <w:fldChar w:fldCharType="begin"/>
      </w:r>
      <w:r>
        <w:rPr>
          <w:highlight w:val="none"/>
        </w:rPr>
        <w:instrText xml:space="preserve"> PAGEREF _Toc29422 \h </w:instrText>
      </w:r>
      <w:r>
        <w:rPr>
          <w:highlight w:val="none"/>
        </w:rPr>
        <w:fldChar w:fldCharType="separate"/>
      </w:r>
      <w:r>
        <w:rPr>
          <w:highlight w:val="none"/>
        </w:rPr>
        <w:t>52</w:t>
      </w:r>
      <w:r>
        <w:rPr>
          <w:highlight w:val="none"/>
        </w:rPr>
        <w:fldChar w:fldCharType="end"/>
      </w:r>
      <w:r>
        <w:rPr>
          <w:highlight w:val="none"/>
        </w:rPr>
        <w:fldChar w:fldCharType="end"/>
      </w:r>
    </w:p>
    <w:p>
      <w:pPr>
        <w:pStyle w:val="17"/>
        <w:tabs>
          <w:tab w:val="right" w:leader="dot" w:pos="8306"/>
        </w:tabs>
        <w:rPr>
          <w:highlight w:val="none"/>
        </w:rPr>
      </w:pPr>
      <w:r>
        <w:rPr>
          <w:highlight w:val="none"/>
        </w:rPr>
        <w:fldChar w:fldCharType="begin"/>
      </w:r>
      <w:r>
        <w:rPr>
          <w:highlight w:val="none"/>
        </w:rPr>
        <w:instrText xml:space="preserve"> HYPERLINK \l _Toc29727 </w:instrText>
      </w:r>
      <w:r>
        <w:rPr>
          <w:highlight w:val="none"/>
        </w:rPr>
        <w:fldChar w:fldCharType="separate"/>
      </w:r>
      <w:r>
        <w:rPr>
          <w:rFonts w:hint="eastAsia"/>
          <w:highlight w:val="none"/>
          <w:lang w:val="en-US" w:eastAsia="zh-CN"/>
        </w:rPr>
        <w:t>七、近三年类似业绩及目前正在执行合同的情况</w:t>
      </w:r>
      <w:r>
        <w:rPr>
          <w:highlight w:val="none"/>
        </w:rPr>
        <w:tab/>
      </w:r>
      <w:r>
        <w:rPr>
          <w:highlight w:val="none"/>
        </w:rPr>
        <w:fldChar w:fldCharType="begin"/>
      </w:r>
      <w:r>
        <w:rPr>
          <w:highlight w:val="none"/>
        </w:rPr>
        <w:instrText xml:space="preserve"> PAGEREF _Toc29727 \h </w:instrText>
      </w:r>
      <w:r>
        <w:rPr>
          <w:highlight w:val="none"/>
        </w:rPr>
        <w:fldChar w:fldCharType="separate"/>
      </w:r>
      <w:r>
        <w:rPr>
          <w:highlight w:val="none"/>
        </w:rPr>
        <w:t>55</w:t>
      </w:r>
      <w:r>
        <w:rPr>
          <w:highlight w:val="none"/>
        </w:rPr>
        <w:fldChar w:fldCharType="end"/>
      </w:r>
      <w:r>
        <w:rPr>
          <w:highlight w:val="none"/>
        </w:rPr>
        <w:fldChar w:fldCharType="end"/>
      </w:r>
    </w:p>
    <w:p>
      <w:pPr>
        <w:pStyle w:val="17"/>
        <w:tabs>
          <w:tab w:val="right" w:leader="dot" w:pos="8306"/>
        </w:tabs>
        <w:rPr>
          <w:highlight w:val="none"/>
        </w:rPr>
      </w:pPr>
      <w:r>
        <w:rPr>
          <w:highlight w:val="none"/>
        </w:rPr>
        <w:fldChar w:fldCharType="begin"/>
      </w:r>
      <w:r>
        <w:rPr>
          <w:highlight w:val="none"/>
        </w:rPr>
        <w:instrText xml:space="preserve"> HYPERLINK \l _Toc8254 </w:instrText>
      </w:r>
      <w:r>
        <w:rPr>
          <w:highlight w:val="none"/>
        </w:rPr>
        <w:fldChar w:fldCharType="separate"/>
      </w:r>
      <w:r>
        <w:rPr>
          <w:rFonts w:hint="eastAsia"/>
          <w:highlight w:val="none"/>
          <w:lang w:val="en-US" w:eastAsia="zh-CN"/>
        </w:rPr>
        <w:t>八、投标人简介</w:t>
      </w:r>
      <w:r>
        <w:rPr>
          <w:highlight w:val="none"/>
        </w:rPr>
        <w:tab/>
      </w:r>
      <w:r>
        <w:rPr>
          <w:highlight w:val="none"/>
        </w:rPr>
        <w:fldChar w:fldCharType="begin"/>
      </w:r>
      <w:r>
        <w:rPr>
          <w:highlight w:val="none"/>
        </w:rPr>
        <w:instrText xml:space="preserve"> PAGEREF _Toc8254 \h </w:instrText>
      </w:r>
      <w:r>
        <w:rPr>
          <w:highlight w:val="none"/>
        </w:rPr>
        <w:fldChar w:fldCharType="separate"/>
      </w:r>
      <w:r>
        <w:rPr>
          <w:highlight w:val="none"/>
        </w:rPr>
        <w:t>56</w:t>
      </w:r>
      <w:r>
        <w:rPr>
          <w:highlight w:val="none"/>
        </w:rPr>
        <w:fldChar w:fldCharType="end"/>
      </w:r>
      <w:r>
        <w:rPr>
          <w:highlight w:val="none"/>
        </w:rPr>
        <w:fldChar w:fldCharType="end"/>
      </w:r>
    </w:p>
    <w:p>
      <w:pPr>
        <w:pStyle w:val="17"/>
        <w:tabs>
          <w:tab w:val="right" w:leader="dot" w:pos="8306"/>
        </w:tabs>
        <w:rPr>
          <w:highlight w:val="none"/>
        </w:rPr>
      </w:pPr>
      <w:r>
        <w:rPr>
          <w:highlight w:val="none"/>
        </w:rPr>
        <w:fldChar w:fldCharType="begin"/>
      </w:r>
      <w:r>
        <w:rPr>
          <w:highlight w:val="none"/>
        </w:rPr>
        <w:instrText xml:space="preserve"> HYPERLINK \l _Toc9661 </w:instrText>
      </w:r>
      <w:r>
        <w:rPr>
          <w:highlight w:val="none"/>
        </w:rPr>
        <w:fldChar w:fldCharType="separate"/>
      </w:r>
      <w:r>
        <w:rPr>
          <w:rFonts w:hint="eastAsia"/>
          <w:highlight w:val="none"/>
          <w:lang w:val="en-US" w:eastAsia="zh-CN"/>
        </w:rPr>
        <w:t>九、中小企业声明函</w:t>
      </w:r>
      <w:r>
        <w:rPr>
          <w:highlight w:val="none"/>
        </w:rPr>
        <w:tab/>
      </w:r>
      <w:r>
        <w:rPr>
          <w:highlight w:val="none"/>
        </w:rPr>
        <w:fldChar w:fldCharType="begin"/>
      </w:r>
      <w:r>
        <w:rPr>
          <w:highlight w:val="none"/>
        </w:rPr>
        <w:instrText xml:space="preserve"> PAGEREF _Toc9661 \h </w:instrText>
      </w:r>
      <w:r>
        <w:rPr>
          <w:highlight w:val="none"/>
        </w:rPr>
        <w:fldChar w:fldCharType="separate"/>
      </w:r>
      <w:r>
        <w:rPr>
          <w:highlight w:val="none"/>
        </w:rPr>
        <w:t>57</w:t>
      </w:r>
      <w:r>
        <w:rPr>
          <w:highlight w:val="none"/>
        </w:rPr>
        <w:fldChar w:fldCharType="end"/>
      </w:r>
      <w:r>
        <w:rPr>
          <w:highlight w:val="none"/>
        </w:rPr>
        <w:fldChar w:fldCharType="end"/>
      </w:r>
    </w:p>
    <w:p>
      <w:pPr>
        <w:pStyle w:val="17"/>
        <w:tabs>
          <w:tab w:val="right" w:leader="dot" w:pos="8306"/>
        </w:tabs>
        <w:rPr>
          <w:highlight w:val="none"/>
        </w:rPr>
      </w:pPr>
      <w:r>
        <w:rPr>
          <w:highlight w:val="none"/>
        </w:rPr>
        <w:fldChar w:fldCharType="begin"/>
      </w:r>
      <w:r>
        <w:rPr>
          <w:highlight w:val="none"/>
        </w:rPr>
        <w:instrText xml:space="preserve"> HYPERLINK \l _Toc27869 </w:instrText>
      </w:r>
      <w:r>
        <w:rPr>
          <w:highlight w:val="none"/>
        </w:rPr>
        <w:fldChar w:fldCharType="separate"/>
      </w:r>
      <w:r>
        <w:rPr>
          <w:rFonts w:hint="eastAsia"/>
          <w:highlight w:val="none"/>
          <w:lang w:val="en-US" w:eastAsia="zh-CN"/>
        </w:rPr>
        <w:t>十、投标人认为需要提供的其他资料</w:t>
      </w:r>
      <w:r>
        <w:rPr>
          <w:highlight w:val="none"/>
        </w:rPr>
        <w:tab/>
      </w:r>
      <w:r>
        <w:rPr>
          <w:highlight w:val="none"/>
        </w:rPr>
        <w:fldChar w:fldCharType="begin"/>
      </w:r>
      <w:r>
        <w:rPr>
          <w:highlight w:val="none"/>
        </w:rPr>
        <w:instrText xml:space="preserve"> PAGEREF _Toc27869 \h </w:instrText>
      </w:r>
      <w:r>
        <w:rPr>
          <w:highlight w:val="none"/>
        </w:rPr>
        <w:fldChar w:fldCharType="separate"/>
      </w:r>
      <w:r>
        <w:rPr>
          <w:highlight w:val="none"/>
        </w:rPr>
        <w:t>59</w:t>
      </w:r>
      <w:r>
        <w:rPr>
          <w:highlight w:val="none"/>
        </w:rPr>
        <w:fldChar w:fldCharType="end"/>
      </w:r>
      <w:r>
        <w:rPr>
          <w:highlight w:val="none"/>
        </w:rPr>
        <w:fldChar w:fldCharType="end"/>
      </w:r>
    </w:p>
    <w:p>
      <w:pPr>
        <w:pStyle w:val="23"/>
        <w:tabs>
          <w:tab w:val="right" w:leader="dot" w:pos="8306"/>
        </w:tabs>
        <w:rPr>
          <w:highlight w:val="none"/>
        </w:rPr>
      </w:pPr>
      <w:r>
        <w:rPr>
          <w:highlight w:val="none"/>
        </w:rPr>
        <w:fldChar w:fldCharType="begin"/>
      </w:r>
      <w:r>
        <w:rPr>
          <w:highlight w:val="none"/>
        </w:rPr>
        <w:instrText xml:space="preserve"> HYPERLINK \l _Toc28949 </w:instrText>
      </w:r>
      <w:r>
        <w:rPr>
          <w:highlight w:val="none"/>
        </w:rPr>
        <w:fldChar w:fldCharType="separate"/>
      </w:r>
      <w:r>
        <w:rPr>
          <w:rFonts w:hint="default" w:asciiTheme="minorEastAsia" w:hAnsiTheme="minorEastAsia"/>
          <w:highlight w:val="none"/>
          <w:lang w:eastAsia="zh-CN"/>
        </w:rPr>
        <w:t xml:space="preserve">第六章 </w:t>
      </w:r>
      <w:r>
        <w:rPr>
          <w:rFonts w:hint="eastAsia" w:asciiTheme="minorEastAsia" w:hAnsiTheme="minorEastAsia"/>
          <w:highlight w:val="none"/>
          <w:lang w:eastAsia="zh-CN"/>
        </w:rPr>
        <w:t>采购需求</w:t>
      </w:r>
      <w:r>
        <w:rPr>
          <w:highlight w:val="none"/>
        </w:rPr>
        <w:tab/>
      </w:r>
      <w:r>
        <w:rPr>
          <w:highlight w:val="none"/>
        </w:rPr>
        <w:fldChar w:fldCharType="begin"/>
      </w:r>
      <w:r>
        <w:rPr>
          <w:highlight w:val="none"/>
        </w:rPr>
        <w:instrText xml:space="preserve"> PAGEREF _Toc28949 \h </w:instrText>
      </w:r>
      <w:r>
        <w:rPr>
          <w:highlight w:val="none"/>
        </w:rPr>
        <w:fldChar w:fldCharType="separate"/>
      </w:r>
      <w:r>
        <w:rPr>
          <w:highlight w:val="none"/>
        </w:rPr>
        <w:t>60</w:t>
      </w:r>
      <w:r>
        <w:rPr>
          <w:highlight w:val="none"/>
        </w:rPr>
        <w:fldChar w:fldCharType="end"/>
      </w:r>
      <w:r>
        <w:rPr>
          <w:highlight w:val="none"/>
        </w:rPr>
        <w:fldChar w:fldCharType="end"/>
      </w:r>
    </w:p>
    <w:p>
      <w:pPr>
        <w:pStyle w:val="23"/>
        <w:tabs>
          <w:tab w:val="right" w:leader="dot" w:pos="8306"/>
        </w:tabs>
        <w:rPr>
          <w:highlight w:val="none"/>
        </w:rPr>
      </w:pPr>
      <w:r>
        <w:rPr>
          <w:highlight w:val="none"/>
        </w:rPr>
        <w:fldChar w:fldCharType="begin"/>
      </w:r>
      <w:r>
        <w:rPr>
          <w:highlight w:val="none"/>
        </w:rPr>
        <w:instrText xml:space="preserve"> HYPERLINK \l _Toc30292 </w:instrText>
      </w:r>
      <w:r>
        <w:rPr>
          <w:highlight w:val="none"/>
        </w:rPr>
        <w:fldChar w:fldCharType="separate"/>
      </w:r>
      <w:r>
        <w:rPr>
          <w:rFonts w:hint="eastAsia" w:asciiTheme="minorEastAsia" w:hAnsiTheme="minorEastAsia"/>
          <w:highlight w:val="none"/>
        </w:rPr>
        <w:t>郑州市政府采购合同融资政策告知函</w:t>
      </w:r>
      <w:r>
        <w:rPr>
          <w:highlight w:val="none"/>
        </w:rPr>
        <w:tab/>
      </w:r>
      <w:r>
        <w:rPr>
          <w:highlight w:val="none"/>
        </w:rPr>
        <w:fldChar w:fldCharType="begin"/>
      </w:r>
      <w:r>
        <w:rPr>
          <w:highlight w:val="none"/>
        </w:rPr>
        <w:instrText xml:space="preserve"> PAGEREF _Toc30292 \h </w:instrText>
      </w:r>
      <w:r>
        <w:rPr>
          <w:highlight w:val="none"/>
        </w:rPr>
        <w:fldChar w:fldCharType="separate"/>
      </w:r>
      <w:r>
        <w:rPr>
          <w:highlight w:val="none"/>
        </w:rPr>
        <w:t>62</w:t>
      </w:r>
      <w:r>
        <w:rPr>
          <w:highlight w:val="none"/>
        </w:rPr>
        <w:fldChar w:fldCharType="end"/>
      </w:r>
      <w:r>
        <w:rPr>
          <w:highlight w:val="none"/>
        </w:rPr>
        <w:fldChar w:fldCharType="end"/>
      </w:r>
    </w:p>
    <w:p>
      <w:pPr>
        <w:widowControl/>
        <w:jc w:val="left"/>
        <w:rPr>
          <w:highlight w:val="none"/>
        </w:rPr>
      </w:pPr>
      <w:r>
        <w:rPr>
          <w:highlight w:val="none"/>
        </w:rPr>
        <w:fldChar w:fldCharType="end"/>
      </w:r>
    </w:p>
    <w:p>
      <w:pPr>
        <w:bidi w:val="0"/>
        <w:rPr>
          <w:highlight w:val="none"/>
        </w:rPr>
      </w:pPr>
    </w:p>
    <w:p>
      <w:pPr>
        <w:bidi w:val="0"/>
        <w:rPr>
          <w:highlight w:val="none"/>
        </w:rPr>
      </w:pPr>
    </w:p>
    <w:p>
      <w:pPr>
        <w:bidi w:val="0"/>
        <w:rPr>
          <w:highlight w:val="none"/>
        </w:rPr>
      </w:pPr>
    </w:p>
    <w:p>
      <w:pPr>
        <w:bidi w:val="0"/>
        <w:rPr>
          <w:highlight w:val="none"/>
        </w:rPr>
      </w:pPr>
    </w:p>
    <w:p>
      <w:pPr>
        <w:bidi w:val="0"/>
        <w:rPr>
          <w:highlight w:val="none"/>
        </w:rPr>
      </w:pPr>
    </w:p>
    <w:p>
      <w:pPr>
        <w:bidi w:val="0"/>
        <w:rPr>
          <w:highlight w:val="none"/>
        </w:rPr>
      </w:pPr>
    </w:p>
    <w:p>
      <w:pPr>
        <w:bidi w:val="0"/>
        <w:rPr>
          <w:highlight w:val="none"/>
        </w:rPr>
      </w:pPr>
    </w:p>
    <w:p>
      <w:pPr>
        <w:bidi w:val="0"/>
        <w:rPr>
          <w:highlight w:val="none"/>
        </w:rPr>
      </w:pPr>
    </w:p>
    <w:p>
      <w:pPr>
        <w:bidi w:val="0"/>
        <w:rPr>
          <w:highlight w:val="none"/>
        </w:rPr>
      </w:pPr>
    </w:p>
    <w:p>
      <w:pPr>
        <w:rPr>
          <w:highlight w:val="none"/>
        </w:rPr>
      </w:pPr>
    </w:p>
    <w:p>
      <w:pPr>
        <w:widowControl/>
        <w:jc w:val="left"/>
        <w:rPr>
          <w:highlight w:val="none"/>
        </w:rPr>
      </w:pPr>
    </w:p>
    <w:p>
      <w:pPr>
        <w:rPr>
          <w:rFonts w:asciiTheme="minorEastAsia" w:hAnsiTheme="minorEastAsia"/>
          <w:sz w:val="32"/>
          <w:highlight w:val="none"/>
        </w:rPr>
      </w:pPr>
      <w:bookmarkStart w:id="0" w:name="_Hlk41555242"/>
      <w:r>
        <w:rPr>
          <w:rFonts w:hint="eastAsia" w:asciiTheme="minorEastAsia" w:hAnsiTheme="minorEastAsia"/>
          <w:sz w:val="32"/>
          <w:highlight w:val="none"/>
        </w:rPr>
        <w:br w:type="page"/>
      </w:r>
    </w:p>
    <w:p>
      <w:pPr>
        <w:pStyle w:val="8"/>
        <w:numPr>
          <w:ilvl w:val="0"/>
          <w:numId w:val="1"/>
        </w:numPr>
        <w:spacing w:before="0" w:after="0"/>
        <w:jc w:val="center"/>
        <w:rPr>
          <w:rFonts w:asciiTheme="minorEastAsia" w:hAnsiTheme="minorEastAsia"/>
          <w:sz w:val="32"/>
          <w:highlight w:val="none"/>
        </w:rPr>
      </w:pPr>
      <w:bookmarkStart w:id="1" w:name="_Toc6471"/>
      <w:r>
        <w:rPr>
          <w:rFonts w:hint="eastAsia" w:asciiTheme="minorEastAsia" w:hAnsiTheme="minorEastAsia"/>
          <w:sz w:val="32"/>
          <w:highlight w:val="none"/>
        </w:rPr>
        <w:t>招标公告</w:t>
      </w:r>
      <w:bookmarkEnd w:id="1"/>
    </w:p>
    <w:p>
      <w:pPr>
        <w:keepNext w:val="0"/>
        <w:keepLines w:val="0"/>
        <w:pageBreakBefore w:val="0"/>
        <w:kinsoku/>
        <w:wordWrap/>
        <w:overflowPunct/>
        <w:topLinePunct w:val="0"/>
        <w:autoSpaceDE/>
        <w:autoSpaceDN/>
        <w:bidi w:val="0"/>
        <w:spacing w:line="336" w:lineRule="auto"/>
        <w:jc w:val="center"/>
        <w:textAlignment w:val="auto"/>
        <w:rPr>
          <w:rFonts w:ascii="宋体" w:hAnsi="宋体" w:cs="宋体"/>
          <w:kern w:val="0"/>
          <w:sz w:val="24"/>
          <w:szCs w:val="24"/>
          <w:highlight w:val="none"/>
          <w:lang w:val="zh-CN"/>
        </w:rPr>
      </w:pPr>
      <w:bookmarkStart w:id="2" w:name="_Hlk44669664"/>
      <w:r>
        <w:rPr>
          <w:rFonts w:hint="eastAsia" w:ascii="宋体" w:hAnsi="宋体" w:cs="宋体"/>
          <w:kern w:val="0"/>
          <w:sz w:val="24"/>
          <w:szCs w:val="24"/>
          <w:highlight w:val="none"/>
          <w:lang w:val="zh-CN"/>
        </w:rPr>
        <w:t>郑州市文化广电和旅游局2023年中国图书馆年会项目招标公告</w:t>
      </w:r>
    </w:p>
    <w:bookmarkEnd w:id="0"/>
    <w:p>
      <w:pPr>
        <w:keepNext w:val="0"/>
        <w:keepLines w:val="0"/>
        <w:pageBreakBefore w:val="0"/>
        <w:widowControl/>
        <w:kinsoku/>
        <w:wordWrap/>
        <w:overflowPunct/>
        <w:topLinePunct w:val="0"/>
        <w:autoSpaceDE/>
        <w:autoSpaceDN/>
        <w:bidi w:val="0"/>
        <w:adjustRightInd w:val="0"/>
        <w:snapToGrid w:val="0"/>
        <w:spacing w:line="336" w:lineRule="auto"/>
        <w:jc w:val="left"/>
        <w:textAlignment w:val="auto"/>
        <w:rPr>
          <w:rFonts w:ascii="宋体" w:hAnsi="宋体" w:eastAsia="宋体" w:cs="宋体"/>
          <w:kern w:val="0"/>
          <w:sz w:val="24"/>
          <w:szCs w:val="24"/>
          <w:highlight w:val="none"/>
        </w:rPr>
      </w:pPr>
      <w:bookmarkStart w:id="3" w:name="_Hlk41555224"/>
      <w:bookmarkEnd w:id="3"/>
      <w:r>
        <w:rPr>
          <w:rFonts w:hint="eastAsia" w:ascii="宋体" w:hAnsi="宋体" w:eastAsia="宋体" w:cs="宋体"/>
          <w:kern w:val="0"/>
          <w:sz w:val="24"/>
          <w:szCs w:val="24"/>
          <w:highlight w:val="none"/>
        </w:rPr>
        <w:t>一、项目基本情况</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kern w:val="0"/>
          <w:sz w:val="24"/>
          <w:szCs w:val="24"/>
          <w:highlight w:val="none"/>
          <w:u w:val="single"/>
          <w:lang w:eastAsia="zh-CN"/>
        </w:rPr>
      </w:pPr>
      <w:r>
        <w:rPr>
          <w:rFonts w:ascii="宋体" w:hAnsi="宋体" w:eastAsia="宋体" w:cs="宋体"/>
          <w:kern w:val="0"/>
          <w:sz w:val="24"/>
          <w:szCs w:val="24"/>
          <w:highlight w:val="none"/>
        </w:rPr>
        <w:t>1.</w:t>
      </w:r>
      <w:r>
        <w:rPr>
          <w:rFonts w:hint="eastAsia" w:ascii="宋体" w:hAnsi="宋体" w:eastAsia="宋体" w:cs="宋体"/>
          <w:kern w:val="0"/>
          <w:sz w:val="24"/>
          <w:szCs w:val="24"/>
          <w:highlight w:val="none"/>
        </w:rPr>
        <w:t>项目编号：</w:t>
      </w:r>
      <w:r>
        <w:rPr>
          <w:rFonts w:hint="eastAsia" w:ascii="宋体" w:hAnsi="宋体" w:eastAsia="宋体" w:cs="宋体"/>
          <w:kern w:val="0"/>
          <w:sz w:val="24"/>
          <w:szCs w:val="24"/>
          <w:highlight w:val="none"/>
          <w:lang w:eastAsia="zh-CN"/>
        </w:rPr>
        <w:t>郑财招标采购-2023-215</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ascii="宋体" w:hAnsi="宋体" w:eastAsia="宋体" w:cs="宋体"/>
          <w:kern w:val="0"/>
          <w:sz w:val="24"/>
          <w:szCs w:val="24"/>
          <w:highlight w:val="none"/>
        </w:rPr>
        <w:t>2.</w:t>
      </w:r>
      <w:r>
        <w:rPr>
          <w:rFonts w:hint="eastAsia" w:ascii="宋体" w:hAnsi="宋体" w:eastAsia="宋体" w:cs="宋体"/>
          <w:kern w:val="0"/>
          <w:sz w:val="24"/>
          <w:szCs w:val="24"/>
          <w:highlight w:val="none"/>
        </w:rPr>
        <w:t>项目名称：</w:t>
      </w:r>
      <w:r>
        <w:rPr>
          <w:rFonts w:hint="eastAsia" w:ascii="宋体" w:hAnsi="宋体" w:cs="宋体"/>
          <w:kern w:val="0"/>
          <w:sz w:val="24"/>
          <w:szCs w:val="24"/>
          <w:highlight w:val="none"/>
          <w:lang w:val="zh-CN"/>
        </w:rPr>
        <w:t>郑州市文化广电和旅游局2023年中国图书馆年会项目</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ascii="宋体" w:hAnsi="宋体" w:eastAsia="宋体" w:cs="宋体"/>
          <w:kern w:val="0"/>
          <w:sz w:val="24"/>
          <w:szCs w:val="24"/>
          <w:highlight w:val="none"/>
        </w:rPr>
        <w:t>3.</w:t>
      </w:r>
      <w:r>
        <w:rPr>
          <w:rFonts w:hint="eastAsia" w:ascii="宋体" w:hAnsi="宋体" w:eastAsia="宋体" w:cs="宋体"/>
          <w:kern w:val="0"/>
          <w:sz w:val="24"/>
          <w:szCs w:val="24"/>
          <w:highlight w:val="none"/>
        </w:rPr>
        <w:t>采购方式：公开招标</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ascii="宋体" w:hAnsi="宋体" w:eastAsia="宋体" w:cs="宋体"/>
          <w:kern w:val="0"/>
          <w:sz w:val="24"/>
          <w:szCs w:val="24"/>
          <w:highlight w:val="none"/>
        </w:rPr>
        <w:t>4.</w:t>
      </w:r>
      <w:r>
        <w:rPr>
          <w:rFonts w:hint="eastAsia" w:ascii="宋体" w:hAnsi="宋体" w:eastAsia="宋体" w:cs="宋体"/>
          <w:kern w:val="0"/>
          <w:sz w:val="24"/>
          <w:szCs w:val="24"/>
          <w:highlight w:val="none"/>
        </w:rPr>
        <w:t>预算金额：</w:t>
      </w:r>
      <w:r>
        <w:rPr>
          <w:rFonts w:hint="default" w:ascii="宋体" w:hAnsi="宋体" w:eastAsia="宋体" w:cs="宋体"/>
          <w:kern w:val="0"/>
          <w:sz w:val="24"/>
          <w:szCs w:val="24"/>
          <w:highlight w:val="none"/>
          <w:lang w:eastAsia="zh-CN"/>
        </w:rPr>
        <w:t>5380000</w:t>
      </w:r>
      <w:r>
        <w:rPr>
          <w:rFonts w:hint="eastAsia" w:ascii="宋体" w:hAnsi="宋体" w:eastAsia="宋体" w:cs="宋体"/>
          <w:kern w:val="0"/>
          <w:sz w:val="24"/>
          <w:szCs w:val="24"/>
          <w:highlight w:val="none"/>
          <w:lang w:eastAsia="zh-CN"/>
        </w:rPr>
        <w:t>.00</w:t>
      </w:r>
      <w:r>
        <w:rPr>
          <w:rFonts w:hint="eastAsia" w:ascii="宋体" w:hAnsi="宋体" w:eastAsia="宋体" w:cs="宋体"/>
          <w:kern w:val="0"/>
          <w:sz w:val="24"/>
          <w:szCs w:val="24"/>
          <w:highlight w:val="none"/>
        </w:rPr>
        <w:t>元</w:t>
      </w:r>
    </w:p>
    <w:p>
      <w:pPr>
        <w:keepNext w:val="0"/>
        <w:keepLines w:val="0"/>
        <w:pageBreakBefore w:val="0"/>
        <w:widowControl/>
        <w:kinsoku/>
        <w:wordWrap/>
        <w:overflowPunct/>
        <w:topLinePunct w:val="0"/>
        <w:autoSpaceDE/>
        <w:autoSpaceDN/>
        <w:bidi w:val="0"/>
        <w:adjustRightInd w:val="0"/>
        <w:snapToGrid w:val="0"/>
        <w:spacing w:line="336" w:lineRule="auto"/>
        <w:ind w:firstLine="720" w:firstLineChars="3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lang w:val="zh-CN"/>
        </w:rPr>
        <w:t>最高限价：</w:t>
      </w:r>
      <w:r>
        <w:rPr>
          <w:rFonts w:hint="default" w:ascii="宋体" w:hAnsi="宋体" w:eastAsia="宋体" w:cs="宋体"/>
          <w:kern w:val="0"/>
          <w:sz w:val="24"/>
          <w:szCs w:val="24"/>
          <w:highlight w:val="none"/>
          <w:lang w:eastAsia="zh-CN"/>
        </w:rPr>
        <w:t>5138750</w:t>
      </w:r>
      <w:r>
        <w:rPr>
          <w:rFonts w:hint="eastAsia" w:ascii="宋体" w:hAnsi="宋体" w:eastAsia="宋体" w:cs="宋体"/>
          <w:kern w:val="0"/>
          <w:sz w:val="24"/>
          <w:szCs w:val="24"/>
          <w:highlight w:val="none"/>
          <w:lang w:eastAsia="zh-CN"/>
        </w:rPr>
        <w:t>.00</w:t>
      </w:r>
      <w:r>
        <w:rPr>
          <w:rFonts w:hint="eastAsia" w:ascii="宋体" w:hAnsi="宋体" w:eastAsia="宋体" w:cs="宋体"/>
          <w:kern w:val="0"/>
          <w:sz w:val="24"/>
          <w:szCs w:val="24"/>
          <w:highlight w:val="none"/>
        </w:rPr>
        <w:t>元</w:t>
      </w:r>
    </w:p>
    <w:tbl>
      <w:tblPr>
        <w:tblStyle w:val="28"/>
        <w:tblW w:w="77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1"/>
        <w:gridCol w:w="854"/>
        <w:gridCol w:w="3146"/>
        <w:gridCol w:w="1526"/>
        <w:gridCol w:w="17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541" w:type="dxa"/>
            <w:vAlign w:val="center"/>
          </w:tcPr>
          <w:p>
            <w:pPr>
              <w:pStyle w:val="3"/>
              <w:keepNext w:val="0"/>
              <w:keepLines w:val="0"/>
              <w:pageBreakBefore w:val="0"/>
              <w:kinsoku/>
              <w:wordWrap/>
              <w:overflowPunct/>
              <w:topLinePunct w:val="0"/>
              <w:autoSpaceDE/>
              <w:autoSpaceDN/>
              <w:bidi w:val="0"/>
              <w:spacing w:line="336" w:lineRule="auto"/>
              <w:jc w:val="center"/>
              <w:textAlignment w:val="auto"/>
              <w:rPr>
                <w:rFonts w:ascii="宋体" w:hAnsi="宋体" w:eastAsia="宋体" w:cs="宋体"/>
                <w:sz w:val="21"/>
                <w:szCs w:val="21"/>
                <w:highlight w:val="none"/>
              </w:rPr>
            </w:pPr>
            <w:r>
              <w:rPr>
                <w:rFonts w:hint="eastAsia" w:ascii="宋体" w:hAnsi="宋体" w:eastAsia="宋体" w:cs="宋体"/>
                <w:sz w:val="21"/>
                <w:szCs w:val="21"/>
                <w:highlight w:val="none"/>
              </w:rPr>
              <w:t>序号</w:t>
            </w:r>
          </w:p>
        </w:tc>
        <w:tc>
          <w:tcPr>
            <w:tcW w:w="854" w:type="dxa"/>
            <w:vAlign w:val="center"/>
          </w:tcPr>
          <w:p>
            <w:pPr>
              <w:pStyle w:val="3"/>
              <w:keepNext w:val="0"/>
              <w:keepLines w:val="0"/>
              <w:pageBreakBefore w:val="0"/>
              <w:kinsoku/>
              <w:wordWrap/>
              <w:overflowPunct/>
              <w:topLinePunct w:val="0"/>
              <w:autoSpaceDE/>
              <w:autoSpaceDN/>
              <w:bidi w:val="0"/>
              <w:spacing w:line="336" w:lineRule="auto"/>
              <w:jc w:val="center"/>
              <w:textAlignment w:val="auto"/>
              <w:rPr>
                <w:rFonts w:ascii="宋体" w:hAnsi="宋体" w:eastAsia="宋体" w:cs="宋体"/>
                <w:sz w:val="21"/>
                <w:szCs w:val="21"/>
                <w:highlight w:val="none"/>
              </w:rPr>
            </w:pPr>
            <w:r>
              <w:rPr>
                <w:rFonts w:hint="eastAsia" w:ascii="宋体" w:hAnsi="宋体" w:eastAsia="宋体" w:cs="宋体"/>
                <w:sz w:val="21"/>
                <w:szCs w:val="21"/>
                <w:highlight w:val="none"/>
              </w:rPr>
              <w:t>包号</w:t>
            </w:r>
          </w:p>
        </w:tc>
        <w:tc>
          <w:tcPr>
            <w:tcW w:w="3146" w:type="dxa"/>
            <w:vAlign w:val="center"/>
          </w:tcPr>
          <w:p>
            <w:pPr>
              <w:pStyle w:val="3"/>
              <w:keepNext w:val="0"/>
              <w:keepLines w:val="0"/>
              <w:pageBreakBefore w:val="0"/>
              <w:kinsoku/>
              <w:wordWrap/>
              <w:overflowPunct/>
              <w:topLinePunct w:val="0"/>
              <w:autoSpaceDE/>
              <w:autoSpaceDN/>
              <w:bidi w:val="0"/>
              <w:spacing w:line="336" w:lineRule="auto"/>
              <w:jc w:val="center"/>
              <w:textAlignment w:val="auto"/>
              <w:rPr>
                <w:rFonts w:ascii="宋体" w:hAnsi="宋体" w:eastAsia="宋体" w:cs="宋体"/>
                <w:sz w:val="21"/>
                <w:szCs w:val="21"/>
                <w:highlight w:val="none"/>
              </w:rPr>
            </w:pPr>
            <w:r>
              <w:rPr>
                <w:rFonts w:hint="eastAsia" w:ascii="宋体" w:hAnsi="宋体" w:eastAsia="宋体" w:cs="宋体"/>
                <w:sz w:val="21"/>
                <w:szCs w:val="21"/>
                <w:highlight w:val="none"/>
              </w:rPr>
              <w:t>包名称</w:t>
            </w:r>
          </w:p>
        </w:tc>
        <w:tc>
          <w:tcPr>
            <w:tcW w:w="1526" w:type="dxa"/>
            <w:vAlign w:val="center"/>
          </w:tcPr>
          <w:p>
            <w:pPr>
              <w:pStyle w:val="3"/>
              <w:keepNext w:val="0"/>
              <w:keepLines w:val="0"/>
              <w:pageBreakBefore w:val="0"/>
              <w:kinsoku/>
              <w:wordWrap/>
              <w:overflowPunct/>
              <w:topLinePunct w:val="0"/>
              <w:autoSpaceDE/>
              <w:autoSpaceDN/>
              <w:bidi w:val="0"/>
              <w:spacing w:line="336" w:lineRule="auto"/>
              <w:jc w:val="center"/>
              <w:textAlignment w:val="auto"/>
              <w:rPr>
                <w:rFonts w:ascii="宋体" w:hAnsi="宋体" w:eastAsia="宋体" w:cs="宋体"/>
                <w:sz w:val="21"/>
                <w:szCs w:val="21"/>
                <w:highlight w:val="none"/>
              </w:rPr>
            </w:pPr>
            <w:r>
              <w:rPr>
                <w:rFonts w:hint="eastAsia" w:ascii="宋体" w:hAnsi="宋体" w:eastAsia="宋体" w:cs="宋体"/>
                <w:sz w:val="21"/>
                <w:szCs w:val="21"/>
                <w:highlight w:val="none"/>
              </w:rPr>
              <w:t>包预算（元）</w:t>
            </w:r>
          </w:p>
        </w:tc>
        <w:tc>
          <w:tcPr>
            <w:tcW w:w="1723" w:type="dxa"/>
            <w:vAlign w:val="center"/>
          </w:tcPr>
          <w:p>
            <w:pPr>
              <w:pStyle w:val="3"/>
              <w:keepNext w:val="0"/>
              <w:keepLines w:val="0"/>
              <w:pageBreakBefore w:val="0"/>
              <w:kinsoku/>
              <w:wordWrap/>
              <w:overflowPunct/>
              <w:topLinePunct w:val="0"/>
              <w:autoSpaceDE/>
              <w:autoSpaceDN/>
              <w:bidi w:val="0"/>
              <w:spacing w:line="336" w:lineRule="auto"/>
              <w:jc w:val="center"/>
              <w:textAlignment w:val="auto"/>
              <w:rPr>
                <w:rFonts w:ascii="宋体" w:hAnsi="宋体" w:eastAsia="宋体" w:cs="宋体"/>
                <w:sz w:val="21"/>
                <w:szCs w:val="21"/>
                <w:highlight w:val="none"/>
              </w:rPr>
            </w:pPr>
            <w:r>
              <w:rPr>
                <w:rFonts w:hint="eastAsia" w:ascii="宋体" w:hAnsi="宋体" w:eastAsia="宋体" w:cs="宋体"/>
                <w:sz w:val="21"/>
                <w:szCs w:val="21"/>
                <w:highlight w:val="none"/>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541" w:type="dxa"/>
            <w:vAlign w:val="center"/>
          </w:tcPr>
          <w:p>
            <w:pPr>
              <w:pStyle w:val="3"/>
              <w:keepNext w:val="0"/>
              <w:keepLines w:val="0"/>
              <w:pageBreakBefore w:val="0"/>
              <w:kinsoku/>
              <w:wordWrap/>
              <w:overflowPunct/>
              <w:topLinePunct w:val="0"/>
              <w:autoSpaceDE/>
              <w:autoSpaceDN/>
              <w:bidi w:val="0"/>
              <w:spacing w:line="336" w:lineRule="auto"/>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854" w:type="dxa"/>
            <w:vAlign w:val="center"/>
          </w:tcPr>
          <w:p>
            <w:pPr>
              <w:pStyle w:val="3"/>
              <w:keepNext w:val="0"/>
              <w:keepLines w:val="0"/>
              <w:pageBreakBefore w:val="0"/>
              <w:kinsoku/>
              <w:wordWrap/>
              <w:overflowPunct/>
              <w:topLinePunct w:val="0"/>
              <w:autoSpaceDE/>
              <w:autoSpaceDN/>
              <w:bidi w:val="0"/>
              <w:spacing w:line="336" w:lineRule="auto"/>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A包</w:t>
            </w:r>
          </w:p>
        </w:tc>
        <w:tc>
          <w:tcPr>
            <w:tcW w:w="3146" w:type="dxa"/>
            <w:vAlign w:val="center"/>
          </w:tcPr>
          <w:p>
            <w:pPr>
              <w:pStyle w:val="3"/>
              <w:keepNext w:val="0"/>
              <w:keepLines w:val="0"/>
              <w:pageBreakBefore w:val="0"/>
              <w:kinsoku/>
              <w:wordWrap/>
              <w:overflowPunct/>
              <w:topLinePunct w:val="0"/>
              <w:autoSpaceDE/>
              <w:autoSpaceDN/>
              <w:bidi w:val="0"/>
              <w:spacing w:line="336" w:lineRule="auto"/>
              <w:jc w:val="center"/>
              <w:textAlignment w:val="auto"/>
              <w:rPr>
                <w:rFonts w:hint="default" w:ascii="宋体" w:hAnsi="宋体" w:eastAsia="宋体" w:cs="宋体"/>
                <w:kern w:val="0"/>
                <w:sz w:val="21"/>
                <w:szCs w:val="21"/>
                <w:highlight w:val="none"/>
                <w:lang w:val="en-US" w:eastAsia="zh-CN" w:bidi="ar-SA"/>
              </w:rPr>
            </w:pPr>
            <w:r>
              <w:rPr>
                <w:rFonts w:hint="eastAsia" w:ascii="宋体" w:hAnsi="宋体" w:eastAsia="宋体" w:cs="宋体"/>
                <w:sz w:val="21"/>
                <w:szCs w:val="21"/>
                <w:highlight w:val="none"/>
                <w:lang w:val="en-US" w:eastAsia="zh-CN"/>
              </w:rPr>
              <w:t>2023年中国图书馆年会-开（闭）幕式+主体活动+会务接待</w:t>
            </w:r>
          </w:p>
        </w:tc>
        <w:tc>
          <w:tcPr>
            <w:tcW w:w="1526" w:type="dxa"/>
            <w:vAlign w:val="center"/>
          </w:tcPr>
          <w:p>
            <w:pPr>
              <w:pStyle w:val="3"/>
              <w:keepNext w:val="0"/>
              <w:keepLines w:val="0"/>
              <w:pageBreakBefore w:val="0"/>
              <w:kinsoku/>
              <w:wordWrap/>
              <w:overflowPunct/>
              <w:topLinePunct w:val="0"/>
              <w:autoSpaceDE/>
              <w:autoSpaceDN/>
              <w:bidi w:val="0"/>
              <w:spacing w:line="336" w:lineRule="auto"/>
              <w:jc w:val="center"/>
              <w:textAlignment w:val="auto"/>
              <w:rPr>
                <w:rFonts w:hint="default" w:ascii="宋体" w:hAnsi="宋体" w:eastAsia="宋体" w:cs="宋体"/>
                <w:kern w:val="0"/>
                <w:sz w:val="21"/>
                <w:szCs w:val="21"/>
                <w:highlight w:val="none"/>
                <w:lang w:val="en-US" w:eastAsia="zh-CN" w:bidi="ar-SA"/>
              </w:rPr>
            </w:pPr>
            <w:r>
              <w:rPr>
                <w:rFonts w:hint="default" w:ascii="宋体" w:hAnsi="宋体" w:eastAsia="宋体" w:cs="宋体"/>
                <w:sz w:val="21"/>
                <w:szCs w:val="21"/>
                <w:highlight w:val="none"/>
                <w:lang w:eastAsia="zh-CN"/>
              </w:rPr>
              <w:t>458</w:t>
            </w:r>
            <w:r>
              <w:rPr>
                <w:rFonts w:hint="eastAsia" w:ascii="宋体" w:hAnsi="宋体" w:eastAsia="宋体" w:cs="宋体"/>
                <w:sz w:val="21"/>
                <w:szCs w:val="21"/>
                <w:highlight w:val="none"/>
                <w:lang w:val="en-US" w:eastAsia="zh-CN"/>
              </w:rPr>
              <w:t>0</w:t>
            </w:r>
            <w:r>
              <w:rPr>
                <w:rFonts w:hint="default" w:ascii="宋体" w:hAnsi="宋体" w:eastAsia="宋体" w:cs="宋体"/>
                <w:sz w:val="21"/>
                <w:szCs w:val="21"/>
                <w:highlight w:val="none"/>
                <w:lang w:eastAsia="zh-CN"/>
              </w:rPr>
              <w:t>000</w:t>
            </w:r>
            <w:r>
              <w:rPr>
                <w:rFonts w:hint="eastAsia" w:ascii="宋体" w:hAnsi="宋体" w:eastAsia="宋体" w:cs="宋体"/>
                <w:sz w:val="21"/>
                <w:szCs w:val="21"/>
                <w:highlight w:val="none"/>
                <w:lang w:val="en-US" w:eastAsia="zh-CN"/>
              </w:rPr>
              <w:t>.00</w:t>
            </w:r>
          </w:p>
        </w:tc>
        <w:tc>
          <w:tcPr>
            <w:tcW w:w="1723" w:type="dxa"/>
            <w:vAlign w:val="center"/>
          </w:tcPr>
          <w:p>
            <w:pPr>
              <w:pStyle w:val="3"/>
              <w:keepNext w:val="0"/>
              <w:keepLines w:val="0"/>
              <w:pageBreakBefore w:val="0"/>
              <w:kinsoku/>
              <w:wordWrap/>
              <w:overflowPunct/>
              <w:topLinePunct w:val="0"/>
              <w:autoSpaceDE/>
              <w:autoSpaceDN/>
              <w:bidi w:val="0"/>
              <w:spacing w:line="336" w:lineRule="auto"/>
              <w:jc w:val="center"/>
              <w:textAlignment w:val="auto"/>
              <w:rPr>
                <w:rFonts w:hint="eastAsia" w:ascii="宋体" w:hAnsi="宋体" w:eastAsia="宋体" w:cs="宋体"/>
                <w:kern w:val="0"/>
                <w:sz w:val="21"/>
                <w:szCs w:val="21"/>
                <w:highlight w:val="none"/>
                <w:lang w:val="en-US" w:eastAsia="zh-CN" w:bidi="ar-SA"/>
              </w:rPr>
            </w:pPr>
            <w:r>
              <w:rPr>
                <w:rFonts w:hint="default" w:ascii="宋体" w:hAnsi="宋体" w:eastAsia="宋体" w:cs="宋体"/>
                <w:sz w:val="21"/>
                <w:szCs w:val="21"/>
                <w:highlight w:val="none"/>
                <w:lang w:eastAsia="zh-CN"/>
              </w:rPr>
              <w:t>4338750</w:t>
            </w:r>
            <w:r>
              <w:rPr>
                <w:rFonts w:hint="eastAsia" w:ascii="宋体" w:hAnsi="宋体" w:eastAsia="宋体" w:cs="宋体"/>
                <w:sz w:val="21"/>
                <w:szCs w:val="21"/>
                <w:highlight w:val="none"/>
                <w:lang w:val="en-US" w:eastAsia="zh-CN"/>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541" w:type="dxa"/>
            <w:vAlign w:val="center"/>
          </w:tcPr>
          <w:p>
            <w:pPr>
              <w:pStyle w:val="3"/>
              <w:keepNext w:val="0"/>
              <w:keepLines w:val="0"/>
              <w:pageBreakBefore w:val="0"/>
              <w:kinsoku/>
              <w:wordWrap/>
              <w:overflowPunct/>
              <w:topLinePunct w:val="0"/>
              <w:autoSpaceDE/>
              <w:autoSpaceDN/>
              <w:bidi w:val="0"/>
              <w:spacing w:line="336" w:lineRule="auto"/>
              <w:jc w:val="center"/>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sz w:val="21"/>
                <w:szCs w:val="21"/>
                <w:highlight w:val="none"/>
                <w:lang w:val="en-US" w:eastAsia="zh-CN"/>
              </w:rPr>
              <w:t>2</w:t>
            </w:r>
          </w:p>
        </w:tc>
        <w:tc>
          <w:tcPr>
            <w:tcW w:w="854" w:type="dxa"/>
            <w:vAlign w:val="center"/>
          </w:tcPr>
          <w:p>
            <w:pPr>
              <w:pStyle w:val="3"/>
              <w:keepNext w:val="0"/>
              <w:keepLines w:val="0"/>
              <w:pageBreakBefore w:val="0"/>
              <w:kinsoku/>
              <w:wordWrap/>
              <w:overflowPunct/>
              <w:topLinePunct w:val="0"/>
              <w:autoSpaceDE/>
              <w:autoSpaceDN/>
              <w:bidi w:val="0"/>
              <w:spacing w:line="336" w:lineRule="auto"/>
              <w:jc w:val="center"/>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sz w:val="21"/>
                <w:szCs w:val="21"/>
                <w:highlight w:val="none"/>
                <w:lang w:val="en-US" w:eastAsia="zh-CN"/>
              </w:rPr>
              <w:t>B包</w:t>
            </w:r>
          </w:p>
        </w:tc>
        <w:tc>
          <w:tcPr>
            <w:tcW w:w="3146" w:type="dxa"/>
            <w:vAlign w:val="center"/>
          </w:tcPr>
          <w:p>
            <w:pPr>
              <w:pStyle w:val="3"/>
              <w:keepNext w:val="0"/>
              <w:keepLines w:val="0"/>
              <w:pageBreakBefore w:val="0"/>
              <w:kinsoku/>
              <w:wordWrap/>
              <w:overflowPunct/>
              <w:topLinePunct w:val="0"/>
              <w:autoSpaceDE/>
              <w:autoSpaceDN/>
              <w:bidi w:val="0"/>
              <w:spacing w:line="336" w:lineRule="auto"/>
              <w:jc w:val="center"/>
              <w:textAlignment w:val="auto"/>
              <w:rPr>
                <w:rFonts w:hint="default" w:ascii="宋体" w:hAnsi="宋体" w:eastAsia="宋体" w:cs="宋体"/>
                <w:kern w:val="0"/>
                <w:sz w:val="21"/>
                <w:szCs w:val="21"/>
                <w:highlight w:val="none"/>
                <w:lang w:val="en-US" w:eastAsia="zh-CN" w:bidi="ar-SA"/>
              </w:rPr>
            </w:pPr>
            <w:r>
              <w:rPr>
                <w:rFonts w:hint="eastAsia" w:ascii="宋体" w:hAnsi="宋体" w:eastAsia="宋体" w:cs="宋体"/>
                <w:sz w:val="21"/>
                <w:szCs w:val="21"/>
                <w:highlight w:val="none"/>
                <w:lang w:val="en-US" w:eastAsia="zh-CN"/>
              </w:rPr>
              <w:t>2023年中国图书馆年会-图书馆人之夜</w:t>
            </w:r>
          </w:p>
        </w:tc>
        <w:tc>
          <w:tcPr>
            <w:tcW w:w="1526" w:type="dxa"/>
            <w:vAlign w:val="center"/>
          </w:tcPr>
          <w:p>
            <w:pPr>
              <w:pStyle w:val="3"/>
              <w:keepNext w:val="0"/>
              <w:keepLines w:val="0"/>
              <w:pageBreakBefore w:val="0"/>
              <w:kinsoku/>
              <w:wordWrap/>
              <w:overflowPunct/>
              <w:topLinePunct w:val="0"/>
              <w:autoSpaceDE/>
              <w:autoSpaceDN/>
              <w:bidi w:val="0"/>
              <w:spacing w:line="336" w:lineRule="auto"/>
              <w:jc w:val="center"/>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sz w:val="21"/>
                <w:szCs w:val="21"/>
                <w:highlight w:val="none"/>
                <w:lang w:val="en-US" w:eastAsia="zh-CN"/>
              </w:rPr>
              <w:t>800000.00</w:t>
            </w:r>
          </w:p>
        </w:tc>
        <w:tc>
          <w:tcPr>
            <w:tcW w:w="1723" w:type="dxa"/>
            <w:vAlign w:val="center"/>
          </w:tcPr>
          <w:p>
            <w:pPr>
              <w:pStyle w:val="3"/>
              <w:keepNext w:val="0"/>
              <w:keepLines w:val="0"/>
              <w:pageBreakBefore w:val="0"/>
              <w:kinsoku/>
              <w:wordWrap/>
              <w:overflowPunct/>
              <w:topLinePunct w:val="0"/>
              <w:autoSpaceDE/>
              <w:autoSpaceDN/>
              <w:bidi w:val="0"/>
              <w:spacing w:line="336" w:lineRule="auto"/>
              <w:jc w:val="center"/>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sz w:val="21"/>
                <w:szCs w:val="21"/>
                <w:highlight w:val="none"/>
                <w:lang w:val="en-US" w:eastAsia="zh-CN"/>
              </w:rPr>
              <w:t>800000.00</w:t>
            </w:r>
          </w:p>
        </w:tc>
      </w:tr>
    </w:tbl>
    <w:p>
      <w:pPr>
        <w:keepNext w:val="0"/>
        <w:keepLines w:val="0"/>
        <w:pageBreakBefore w:val="0"/>
        <w:widowControl/>
        <w:numPr>
          <w:ilvl w:val="0"/>
          <w:numId w:val="2"/>
        </w:numPr>
        <w:kinsoku/>
        <w:wordWrap/>
        <w:overflowPunct/>
        <w:topLinePunct w:val="0"/>
        <w:autoSpaceDE/>
        <w:autoSpaceDN/>
        <w:bidi w:val="0"/>
        <w:adjustRightInd w:val="0"/>
        <w:snapToGrid w:val="0"/>
        <w:spacing w:line="336" w:lineRule="auto"/>
        <w:ind w:left="-60" w:leftChars="0" w:firstLine="480" w:firstLineChars="0"/>
        <w:jc w:val="left"/>
        <w:textAlignment w:val="auto"/>
        <w:rPr>
          <w:rFonts w:hint="eastAsia" w:ascii="宋体" w:hAnsi="宋体" w:eastAsia="宋体" w:cs="宋体"/>
          <w:kern w:val="0"/>
          <w:sz w:val="24"/>
          <w:szCs w:val="24"/>
          <w:highlight w:val="none"/>
          <w:lang w:val="zh-CN"/>
        </w:rPr>
      </w:pPr>
      <w:r>
        <w:rPr>
          <w:rFonts w:hint="eastAsia" w:ascii="宋体" w:hAnsi="宋体" w:eastAsia="宋体" w:cs="宋体"/>
          <w:kern w:val="0"/>
          <w:sz w:val="24"/>
          <w:szCs w:val="24"/>
          <w:highlight w:val="none"/>
          <w:lang w:val="zh-CN"/>
        </w:rPr>
        <w:t>采购需求（</w:t>
      </w:r>
      <w:r>
        <w:rPr>
          <w:rFonts w:hint="eastAsia" w:ascii="宋体" w:hAnsi="宋体" w:eastAsia="宋体" w:cs="宋体"/>
          <w:kern w:val="0"/>
          <w:sz w:val="24"/>
          <w:szCs w:val="24"/>
          <w:highlight w:val="none"/>
        </w:rPr>
        <w:t>包括但不限于标的的名称、数量、简要技术要求或服务要求等</w:t>
      </w:r>
      <w:r>
        <w:rPr>
          <w:rFonts w:hint="eastAsia" w:ascii="宋体" w:hAnsi="宋体" w:eastAsia="宋体" w:cs="宋体"/>
          <w:kern w:val="0"/>
          <w:sz w:val="24"/>
          <w:szCs w:val="24"/>
          <w:highlight w:val="none"/>
          <w:lang w:val="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5</w:t>
      </w:r>
      <w:r>
        <w:rPr>
          <w:rFonts w:ascii="宋体" w:hAnsi="宋体" w:eastAsia="宋体" w:cs="宋体"/>
          <w:kern w:val="0"/>
          <w:sz w:val="24"/>
          <w:szCs w:val="24"/>
          <w:highlight w:val="none"/>
        </w:rPr>
        <w:t>.1</w:t>
      </w:r>
      <w:r>
        <w:rPr>
          <w:rFonts w:hint="eastAsia" w:ascii="宋体" w:hAnsi="宋体" w:eastAsia="宋体" w:cs="宋体"/>
          <w:kern w:val="0"/>
          <w:sz w:val="24"/>
          <w:szCs w:val="24"/>
          <w:highlight w:val="none"/>
          <w:lang w:val="en-US" w:eastAsia="zh-CN"/>
        </w:rPr>
        <w:t>项目概况</w:t>
      </w:r>
      <w:r>
        <w:rPr>
          <w:rFonts w:hint="eastAsia" w:ascii="宋体" w:hAnsi="宋体" w:eastAsia="宋体" w:cs="宋体"/>
          <w:kern w:val="0"/>
          <w:sz w:val="24"/>
          <w:szCs w:val="24"/>
          <w:highlight w:val="none"/>
        </w:rPr>
        <w:t>：2023年中国图书馆年会由中国图书馆学会</w:t>
      </w:r>
      <w:r>
        <w:rPr>
          <w:rFonts w:hint="eastAsia" w:ascii="宋体" w:hAnsi="宋体" w:eastAsia="宋体" w:cs="宋体"/>
          <w:kern w:val="0"/>
          <w:sz w:val="24"/>
          <w:szCs w:val="24"/>
          <w:highlight w:val="none"/>
          <w:lang w:val="en-US" w:eastAsia="zh-CN"/>
        </w:rPr>
        <w:t>和</w:t>
      </w:r>
      <w:r>
        <w:rPr>
          <w:rFonts w:hint="eastAsia" w:ascii="宋体" w:hAnsi="宋体" w:eastAsia="宋体" w:cs="宋体"/>
          <w:kern w:val="0"/>
          <w:sz w:val="24"/>
          <w:szCs w:val="24"/>
          <w:highlight w:val="none"/>
        </w:rPr>
        <w:t>郑州市人民政府共同主办，定于2023年9月14日—17日在郑州举办，以“滋养民族心灵 培育文化自信”为主题，采用线下方式举办，包括</w:t>
      </w:r>
      <w:r>
        <w:rPr>
          <w:rFonts w:hint="eastAsia" w:ascii="宋体" w:hAnsi="宋体" w:eastAsia="宋体" w:cs="宋体"/>
          <w:kern w:val="0"/>
          <w:sz w:val="24"/>
          <w:szCs w:val="24"/>
          <w:highlight w:val="none"/>
          <w:lang w:val="en-US" w:eastAsia="zh-CN"/>
        </w:rPr>
        <w:t>开（闭）幕式活动，主体论坛、分会场等主体活动和“图书馆人之夜”活动等</w:t>
      </w:r>
      <w:r>
        <w:rPr>
          <w:rFonts w:hint="eastAsia" w:ascii="宋体" w:hAnsi="宋体" w:eastAsia="宋体" w:cs="宋体"/>
          <w:kern w:val="0"/>
          <w:sz w:val="24"/>
          <w:szCs w:val="24"/>
          <w:highlight w:val="none"/>
        </w:rPr>
        <w:t>。</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5.2采购内容：为</w:t>
      </w:r>
      <w:r>
        <w:rPr>
          <w:rFonts w:hint="eastAsia" w:ascii="宋体" w:hAnsi="宋体" w:eastAsia="宋体" w:cs="宋体"/>
          <w:kern w:val="0"/>
          <w:sz w:val="24"/>
          <w:szCs w:val="24"/>
          <w:highlight w:val="none"/>
          <w:lang w:val="en-US" w:eastAsia="zh-CN"/>
        </w:rPr>
        <w:t>图书馆年会</w:t>
      </w:r>
      <w:r>
        <w:rPr>
          <w:rFonts w:hint="eastAsia" w:ascii="宋体" w:hAnsi="宋体" w:eastAsia="宋体" w:cs="宋体"/>
          <w:kern w:val="0"/>
          <w:sz w:val="24"/>
          <w:szCs w:val="24"/>
          <w:highlight w:val="none"/>
        </w:rPr>
        <w:t>提供创意策划、场地布置、宣传氛围营造、会议录播、动画、速记、主持人、礼仪服务、组织实施和施工撤场等服务。</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5.3服务期限：合同签订后至2023年中国图书馆年会结束、验收合格</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5.4</w:t>
      </w:r>
      <w:r>
        <w:rPr>
          <w:rFonts w:hint="eastAsia" w:ascii="宋体" w:hAnsi="宋体" w:eastAsia="宋体" w:cs="宋体"/>
          <w:kern w:val="0"/>
          <w:sz w:val="24"/>
          <w:szCs w:val="24"/>
          <w:highlight w:val="none"/>
        </w:rPr>
        <w:t>资金来源：财政资金</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6</w:t>
      </w:r>
      <w:r>
        <w:rPr>
          <w:rFonts w:ascii="宋体" w:hAnsi="宋体" w:eastAsia="宋体" w:cs="宋体"/>
          <w:kern w:val="0"/>
          <w:sz w:val="24"/>
          <w:szCs w:val="24"/>
          <w:highlight w:val="none"/>
        </w:rPr>
        <w:t>.</w:t>
      </w:r>
      <w:r>
        <w:rPr>
          <w:rFonts w:hint="eastAsia" w:ascii="宋体" w:hAnsi="宋体" w:eastAsia="宋体" w:cs="宋体"/>
          <w:kern w:val="0"/>
          <w:sz w:val="24"/>
          <w:szCs w:val="24"/>
          <w:highlight w:val="none"/>
        </w:rPr>
        <w:t>合同履行期限：自合同生效至全部服务结束</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7</w:t>
      </w:r>
      <w:r>
        <w:rPr>
          <w:rFonts w:ascii="宋体" w:hAnsi="宋体" w:eastAsia="宋体" w:cs="宋体"/>
          <w:kern w:val="0"/>
          <w:sz w:val="24"/>
          <w:szCs w:val="24"/>
          <w:highlight w:val="none"/>
        </w:rPr>
        <w:t>.</w:t>
      </w:r>
      <w:r>
        <w:rPr>
          <w:rFonts w:hint="eastAsia" w:ascii="宋体" w:hAnsi="宋体" w:eastAsia="宋体" w:cs="宋体"/>
          <w:kern w:val="0"/>
          <w:sz w:val="24"/>
          <w:szCs w:val="24"/>
          <w:highlight w:val="none"/>
        </w:rPr>
        <w:t>本项目是否接受联合体投标：否</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8</w:t>
      </w:r>
      <w:r>
        <w:rPr>
          <w:rFonts w:ascii="宋体" w:hAnsi="宋体" w:eastAsia="宋体" w:cs="宋体"/>
          <w:kern w:val="0"/>
          <w:sz w:val="24"/>
          <w:szCs w:val="24"/>
          <w:highlight w:val="none"/>
        </w:rPr>
        <w:t>.</w:t>
      </w:r>
      <w:r>
        <w:rPr>
          <w:rFonts w:hint="eastAsia" w:ascii="宋体" w:hAnsi="宋体" w:eastAsia="宋体" w:cs="宋体"/>
          <w:kern w:val="0"/>
          <w:sz w:val="24"/>
          <w:szCs w:val="24"/>
          <w:highlight w:val="none"/>
        </w:rPr>
        <w:t>是否接受进口产品：否</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9</w:t>
      </w:r>
      <w:r>
        <w:rPr>
          <w:rFonts w:ascii="宋体" w:hAnsi="宋体" w:eastAsia="宋体" w:cs="宋体"/>
          <w:kern w:val="0"/>
          <w:sz w:val="24"/>
          <w:szCs w:val="24"/>
          <w:highlight w:val="none"/>
        </w:rPr>
        <w:t>.</w:t>
      </w:r>
      <w:r>
        <w:rPr>
          <w:rFonts w:hint="eastAsia" w:ascii="宋体" w:hAnsi="宋体" w:eastAsia="宋体" w:cs="宋体"/>
          <w:kern w:val="0"/>
          <w:sz w:val="24"/>
          <w:szCs w:val="24"/>
          <w:highlight w:val="none"/>
        </w:rPr>
        <w:t>是否为只面向中小企业采购：</w:t>
      </w:r>
      <w:r>
        <w:rPr>
          <w:rFonts w:hint="eastAsia" w:ascii="宋体" w:hAnsi="宋体" w:eastAsia="宋体" w:cs="宋体"/>
          <w:kern w:val="0"/>
          <w:sz w:val="24"/>
          <w:szCs w:val="24"/>
          <w:highlight w:val="none"/>
          <w:lang w:val="en-US" w:eastAsia="zh-CN"/>
        </w:rPr>
        <w:t>否</w:t>
      </w:r>
    </w:p>
    <w:p>
      <w:pPr>
        <w:keepNext w:val="0"/>
        <w:keepLines w:val="0"/>
        <w:pageBreakBefore w:val="0"/>
        <w:widowControl/>
        <w:kinsoku/>
        <w:wordWrap/>
        <w:overflowPunct/>
        <w:topLinePunct w:val="0"/>
        <w:autoSpaceDE/>
        <w:autoSpaceDN/>
        <w:bidi w:val="0"/>
        <w:adjustRightInd w:val="0"/>
        <w:snapToGrid w:val="0"/>
        <w:spacing w:line="336" w:lineRule="auto"/>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二、申请人资格要求</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1.满足《中华人民共和国政府采购法》第二十二条规定；</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2.落实政府采购政策需满足的资格要求：</w:t>
      </w:r>
      <w:r>
        <w:rPr>
          <w:rFonts w:hint="eastAsia" w:ascii="宋体" w:hAnsi="宋体" w:eastAsia="宋体" w:cs="宋体"/>
          <w:kern w:val="0"/>
          <w:sz w:val="24"/>
          <w:szCs w:val="24"/>
          <w:highlight w:val="none"/>
          <w:lang w:val="en-US" w:eastAsia="zh-CN"/>
        </w:rPr>
        <w:t>无。</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3.本项目的特定资格要求：</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3.1未被列入信用中国网站“失信被执行人</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重大税收违法失信主体”和中国政府采购网“政府采购严重违法失信行为记录名单”；</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3.</w:t>
      </w:r>
      <w:r>
        <w:rPr>
          <w:rFonts w:hint="eastAsia" w:ascii="宋体" w:hAnsi="宋体" w:eastAsia="宋体" w:cs="宋体"/>
          <w:kern w:val="0"/>
          <w:sz w:val="24"/>
          <w:szCs w:val="24"/>
          <w:highlight w:val="none"/>
          <w:lang w:val="en-US" w:eastAsia="zh-CN"/>
        </w:rPr>
        <w:t>2</w:t>
      </w:r>
      <w:r>
        <w:rPr>
          <w:rFonts w:hint="eastAsia" w:ascii="宋体" w:hAnsi="宋体" w:eastAsia="宋体" w:cs="宋体"/>
          <w:kern w:val="0"/>
          <w:sz w:val="24"/>
          <w:szCs w:val="24"/>
          <w:highlight w:val="none"/>
        </w:rPr>
        <w:t>单位负责人为同一人或者存在直接控股、管理关系的不同供应商，不得参加同一合同项下的政府采购活动。</w:t>
      </w:r>
    </w:p>
    <w:p>
      <w:pPr>
        <w:keepNext w:val="0"/>
        <w:keepLines w:val="0"/>
        <w:pageBreakBefore w:val="0"/>
        <w:widowControl/>
        <w:kinsoku/>
        <w:wordWrap/>
        <w:overflowPunct/>
        <w:topLinePunct w:val="0"/>
        <w:autoSpaceDE/>
        <w:autoSpaceDN/>
        <w:bidi w:val="0"/>
        <w:adjustRightInd w:val="0"/>
        <w:snapToGrid w:val="0"/>
        <w:spacing w:line="336" w:lineRule="auto"/>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三、获取招标文件</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1.时间：</w:t>
      </w:r>
      <w:r>
        <w:rPr>
          <w:rFonts w:ascii="宋体" w:hAnsi="宋体" w:eastAsia="宋体" w:cs="宋体"/>
          <w:kern w:val="0"/>
          <w:sz w:val="24"/>
          <w:szCs w:val="24"/>
          <w:highlight w:val="none"/>
        </w:rPr>
        <w:t>2023</w:t>
      </w:r>
      <w:r>
        <w:rPr>
          <w:rFonts w:hint="eastAsia" w:ascii="宋体" w:hAnsi="宋体" w:eastAsia="宋体" w:cs="宋体"/>
          <w:kern w:val="0"/>
          <w:sz w:val="24"/>
          <w:szCs w:val="24"/>
          <w:highlight w:val="none"/>
        </w:rPr>
        <w:t>年</w:t>
      </w:r>
      <w:r>
        <w:rPr>
          <w:rFonts w:hint="eastAsia" w:ascii="宋体" w:hAnsi="宋体" w:eastAsia="宋体" w:cs="宋体"/>
          <w:kern w:val="0"/>
          <w:sz w:val="24"/>
          <w:szCs w:val="24"/>
          <w:highlight w:val="none"/>
          <w:lang w:val="en-US" w:eastAsia="zh-CN"/>
        </w:rPr>
        <w:t>8</w:t>
      </w:r>
      <w:r>
        <w:rPr>
          <w:rFonts w:hint="eastAsia" w:ascii="宋体" w:hAnsi="宋体" w:eastAsia="宋体" w:cs="宋体"/>
          <w:kern w:val="0"/>
          <w:sz w:val="24"/>
          <w:szCs w:val="24"/>
          <w:highlight w:val="none"/>
        </w:rPr>
        <w:t>月</w:t>
      </w:r>
      <w:r>
        <w:rPr>
          <w:rFonts w:hint="eastAsia" w:ascii="宋体" w:hAnsi="宋体" w:eastAsia="宋体" w:cs="宋体"/>
          <w:kern w:val="0"/>
          <w:sz w:val="24"/>
          <w:szCs w:val="24"/>
          <w:highlight w:val="none"/>
          <w:lang w:val="en-US" w:eastAsia="zh-CN"/>
        </w:rPr>
        <w:t>18</w:t>
      </w:r>
      <w:r>
        <w:rPr>
          <w:rFonts w:hint="eastAsia" w:ascii="宋体" w:hAnsi="宋体" w:eastAsia="宋体" w:cs="宋体"/>
          <w:kern w:val="0"/>
          <w:sz w:val="24"/>
          <w:szCs w:val="24"/>
          <w:highlight w:val="none"/>
        </w:rPr>
        <w:t>日至2023年</w:t>
      </w:r>
      <w:r>
        <w:rPr>
          <w:rFonts w:hint="eastAsia" w:ascii="宋体" w:hAnsi="宋体" w:eastAsia="宋体" w:cs="宋体"/>
          <w:kern w:val="0"/>
          <w:sz w:val="24"/>
          <w:szCs w:val="24"/>
          <w:highlight w:val="none"/>
          <w:lang w:val="en-US" w:eastAsia="zh-CN"/>
        </w:rPr>
        <w:t>8</w:t>
      </w:r>
      <w:r>
        <w:rPr>
          <w:rFonts w:hint="eastAsia" w:ascii="宋体" w:hAnsi="宋体" w:eastAsia="宋体" w:cs="宋体"/>
          <w:kern w:val="0"/>
          <w:sz w:val="24"/>
          <w:szCs w:val="24"/>
          <w:highlight w:val="none"/>
        </w:rPr>
        <w:t>月</w:t>
      </w:r>
      <w:r>
        <w:rPr>
          <w:rFonts w:hint="eastAsia" w:ascii="宋体" w:hAnsi="宋体" w:eastAsia="宋体" w:cs="宋体"/>
          <w:kern w:val="0"/>
          <w:sz w:val="24"/>
          <w:szCs w:val="24"/>
          <w:highlight w:val="none"/>
          <w:lang w:val="en-US" w:eastAsia="zh-CN"/>
        </w:rPr>
        <w:t>24</w:t>
      </w:r>
      <w:r>
        <w:rPr>
          <w:rFonts w:hint="eastAsia" w:ascii="宋体" w:hAnsi="宋体" w:eastAsia="宋体" w:cs="宋体"/>
          <w:kern w:val="0"/>
          <w:sz w:val="24"/>
          <w:szCs w:val="24"/>
          <w:highlight w:val="none"/>
        </w:rPr>
        <w:t>日，每天上午00:00</w:t>
      </w:r>
      <w:r>
        <w:rPr>
          <w:rFonts w:hint="eastAsia" w:ascii="宋体" w:hAnsi="宋体" w:eastAsia="宋体" w:cs="宋体"/>
          <w:sz w:val="24"/>
          <w:szCs w:val="24"/>
          <w:highlight w:val="none"/>
        </w:rPr>
        <w:t>至12:00，下午12:00至23:59</w:t>
      </w:r>
      <w:r>
        <w:rPr>
          <w:rFonts w:hint="eastAsia" w:ascii="宋体" w:hAnsi="宋体" w:eastAsia="宋体" w:cs="宋体"/>
          <w:kern w:val="0"/>
          <w:sz w:val="24"/>
          <w:szCs w:val="24"/>
          <w:highlight w:val="none"/>
        </w:rPr>
        <w:t>（北京时间，法定节假日除外。）</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2.地点：郑州市公共资源交易中心网站</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3.方式：各潜在投标人请在规定时间内凭CA密钥登录郑州市公共资源交易中心网站，点击“交易主体登陆”进入电子招投标交易平台下载招标文件及资料。投标人未按规定在网上下载招标文件的，其投标文件将被拒绝。</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尚未办理企业CA锁的，可通过以下链接：（http://xaca.hnxaca.com:8081/online/ggzyApply/index.shtml）在线办理。客服电话0371-96596，技术咨询电话：0371-67188807,4009980000。</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4.售价：0元</w:t>
      </w:r>
    </w:p>
    <w:p>
      <w:pPr>
        <w:keepNext w:val="0"/>
        <w:keepLines w:val="0"/>
        <w:pageBreakBefore w:val="0"/>
        <w:widowControl/>
        <w:kinsoku/>
        <w:wordWrap/>
        <w:overflowPunct/>
        <w:topLinePunct w:val="0"/>
        <w:autoSpaceDE/>
        <w:autoSpaceDN/>
        <w:bidi w:val="0"/>
        <w:adjustRightInd w:val="0"/>
        <w:snapToGrid w:val="0"/>
        <w:spacing w:line="336" w:lineRule="auto"/>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四、投标截止时间及地点</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1.时间：2023年</w:t>
      </w:r>
      <w:r>
        <w:rPr>
          <w:rFonts w:hint="eastAsia" w:ascii="宋体" w:hAnsi="宋体" w:eastAsia="宋体" w:cs="宋体"/>
          <w:kern w:val="0"/>
          <w:sz w:val="24"/>
          <w:szCs w:val="24"/>
          <w:highlight w:val="none"/>
          <w:lang w:eastAsia="zh-CN"/>
        </w:rPr>
        <w:t>9月7日10时00分</w:t>
      </w:r>
      <w:r>
        <w:rPr>
          <w:rFonts w:hint="eastAsia" w:ascii="宋体" w:hAnsi="宋体" w:eastAsia="宋体" w:cs="宋体"/>
          <w:kern w:val="0"/>
          <w:sz w:val="24"/>
          <w:szCs w:val="24"/>
          <w:highlight w:val="none"/>
        </w:rPr>
        <w:t>（北京时间）</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2.地点：郑州市公共资源交易中心网站</w:t>
      </w:r>
    </w:p>
    <w:p>
      <w:pPr>
        <w:keepNext w:val="0"/>
        <w:keepLines w:val="0"/>
        <w:pageBreakBefore w:val="0"/>
        <w:widowControl/>
        <w:kinsoku/>
        <w:wordWrap/>
        <w:overflowPunct/>
        <w:topLinePunct w:val="0"/>
        <w:autoSpaceDE/>
        <w:autoSpaceDN/>
        <w:bidi w:val="0"/>
        <w:adjustRightInd w:val="0"/>
        <w:snapToGrid w:val="0"/>
        <w:spacing w:line="336" w:lineRule="auto"/>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五、开标时间及地点</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1.</w:t>
      </w:r>
      <w:r>
        <w:rPr>
          <w:rFonts w:hint="eastAsia" w:ascii="宋体" w:hAnsi="宋体" w:eastAsia="宋体" w:cs="宋体"/>
          <w:kern w:val="0"/>
          <w:sz w:val="24"/>
          <w:szCs w:val="24"/>
          <w:highlight w:val="none"/>
          <w:lang w:val="zh-CN"/>
        </w:rPr>
        <w:t>时间</w:t>
      </w:r>
      <w:r>
        <w:rPr>
          <w:rFonts w:hint="eastAsia" w:ascii="宋体" w:hAnsi="宋体" w:eastAsia="宋体" w:cs="宋体"/>
          <w:kern w:val="0"/>
          <w:sz w:val="24"/>
          <w:szCs w:val="24"/>
          <w:highlight w:val="none"/>
        </w:rPr>
        <w:t>：2023年</w:t>
      </w:r>
      <w:r>
        <w:rPr>
          <w:rFonts w:hint="eastAsia" w:ascii="宋体" w:hAnsi="宋体" w:eastAsia="宋体" w:cs="宋体"/>
          <w:kern w:val="0"/>
          <w:sz w:val="24"/>
          <w:szCs w:val="24"/>
          <w:highlight w:val="none"/>
          <w:lang w:eastAsia="zh-CN"/>
        </w:rPr>
        <w:t>9月7日10时00分</w:t>
      </w:r>
      <w:r>
        <w:rPr>
          <w:rFonts w:hint="eastAsia" w:ascii="宋体" w:hAnsi="宋体" w:eastAsia="宋体" w:cs="宋体"/>
          <w:kern w:val="0"/>
          <w:sz w:val="24"/>
          <w:szCs w:val="24"/>
          <w:highlight w:val="none"/>
        </w:rPr>
        <w:t>（北京时间）</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2.</w:t>
      </w:r>
      <w:r>
        <w:rPr>
          <w:rFonts w:hint="eastAsia" w:ascii="宋体" w:hAnsi="宋体" w:eastAsia="宋体" w:cs="宋体"/>
          <w:kern w:val="0"/>
          <w:sz w:val="24"/>
          <w:szCs w:val="24"/>
          <w:highlight w:val="none"/>
          <w:lang w:val="zh-CN"/>
        </w:rPr>
        <w:t>地点</w:t>
      </w:r>
      <w:r>
        <w:rPr>
          <w:rFonts w:hint="eastAsia" w:ascii="宋体" w:hAnsi="宋体" w:eastAsia="宋体" w:cs="宋体"/>
          <w:kern w:val="0"/>
          <w:sz w:val="24"/>
          <w:szCs w:val="24"/>
          <w:highlight w:val="none"/>
        </w:rPr>
        <w:t>：</w:t>
      </w:r>
      <w:r>
        <w:rPr>
          <w:rFonts w:hint="eastAsia" w:ascii="宋体" w:hAnsi="宋体" w:eastAsia="宋体" w:cs="宋体"/>
          <w:kern w:val="0"/>
          <w:sz w:val="24"/>
          <w:szCs w:val="24"/>
          <w:highlight w:val="none"/>
          <w:lang w:val="zh-CN"/>
        </w:rPr>
        <w:t>郑州市公共资源交易中心门户网站远程开标大厅</w:t>
      </w:r>
    </w:p>
    <w:p>
      <w:pPr>
        <w:keepNext w:val="0"/>
        <w:keepLines w:val="0"/>
        <w:pageBreakBefore w:val="0"/>
        <w:widowControl/>
        <w:kinsoku/>
        <w:wordWrap/>
        <w:overflowPunct/>
        <w:topLinePunct w:val="0"/>
        <w:autoSpaceDE/>
        <w:autoSpaceDN/>
        <w:bidi w:val="0"/>
        <w:adjustRightInd w:val="0"/>
        <w:snapToGrid w:val="0"/>
        <w:spacing w:line="336" w:lineRule="auto"/>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六、发布公告的媒介及招标公告期限</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本次招标公告在《河南省政府采购网</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郑州市政府采购网</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郑州市公共资源交易中心网》上发布。招标公告期限为五个工作日。</w:t>
      </w:r>
    </w:p>
    <w:p>
      <w:pPr>
        <w:keepNext w:val="0"/>
        <w:keepLines w:val="0"/>
        <w:pageBreakBefore w:val="0"/>
        <w:widowControl/>
        <w:numPr>
          <w:ilvl w:val="0"/>
          <w:numId w:val="3"/>
        </w:numPr>
        <w:kinsoku/>
        <w:wordWrap/>
        <w:overflowPunct/>
        <w:topLinePunct w:val="0"/>
        <w:autoSpaceDE/>
        <w:autoSpaceDN/>
        <w:bidi w:val="0"/>
        <w:adjustRightInd w:val="0"/>
        <w:snapToGrid w:val="0"/>
        <w:spacing w:line="336" w:lineRule="auto"/>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其他补充事宜：</w:t>
      </w:r>
    </w:p>
    <w:p>
      <w:pPr>
        <w:keepNext w:val="0"/>
        <w:keepLines w:val="0"/>
        <w:pageBreakBefore w:val="0"/>
        <w:kinsoku/>
        <w:wordWrap/>
        <w:overflowPunct/>
        <w:topLinePunct w:val="0"/>
        <w:autoSpaceDE/>
        <w:autoSpaceDN/>
        <w:bidi w:val="0"/>
        <w:spacing w:line="336" w:lineRule="auto"/>
        <w:ind w:firstLine="420" w:firstLineChars="200"/>
        <w:textAlignment w:val="auto"/>
        <w:rPr>
          <w:rFonts w:ascii="Times New Roman" w:hAnsi="Times New Roman" w:eastAsia="宋体"/>
          <w:sz w:val="24"/>
          <w:highlight w:val="none"/>
        </w:rPr>
      </w:pPr>
      <w:r>
        <w:rPr>
          <w:rFonts w:hint="eastAsia"/>
          <w:highlight w:val="none"/>
        </w:rPr>
        <w:t xml:space="preserve"> </w:t>
      </w:r>
      <w:r>
        <w:rPr>
          <w:rFonts w:hint="eastAsia" w:ascii="Times New Roman" w:hAnsi="Times New Roman" w:eastAsia="宋体"/>
          <w:sz w:val="24"/>
          <w:highlight w:val="none"/>
        </w:rPr>
        <w:t>1.落实以下政府采购政策：</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bookmarkStart w:id="4" w:name="_Hlk133151627"/>
      <w:r>
        <w:rPr>
          <w:rFonts w:hint="eastAsia" w:ascii="宋体" w:hAnsi="宋体" w:eastAsia="宋体" w:cs="宋体"/>
          <w:kern w:val="0"/>
          <w:sz w:val="24"/>
          <w:szCs w:val="24"/>
          <w:highlight w:val="none"/>
        </w:rPr>
        <w:t>《财政部 司法部关于政府采购支持监狱企业发展有关问题的通知》 （财库〔2014〕68号）；</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《三部门联合发布关于促进残疾人就业政府采购政策的通知》 （财库〔2017〕141号）</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《政府采购促进中小企业发展管理办法》（财库〔2020〕46号）；</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《关于进一步加大政府采购支持中小企业力度的通知》财库〔2022〕19号</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《财政部 发展改革委 生态环境部 市场监管总局关于调整优化节能产品、环境标志产品政府采购执行机制的通知》（财库〔2019〕9号）；</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《关于印发环境标志产品政府采购品目清单的通知》（财库〔2019〕18号）；</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《关于印发节能产品政府采购品目清单的通知》（财库〔2019〕19号）等。</w:t>
      </w:r>
      <w:bookmarkEnd w:id="4"/>
      <w:r>
        <w:rPr>
          <w:rFonts w:ascii="宋体" w:hAnsi="宋体" w:eastAsia="宋体" w:cs="宋体"/>
          <w:kern w:val="0"/>
          <w:sz w:val="24"/>
          <w:szCs w:val="24"/>
          <w:highlight w:val="none"/>
        </w:rPr>
        <w:t xml:space="preserve"> </w:t>
      </w:r>
    </w:p>
    <w:p>
      <w:pPr>
        <w:keepNext w:val="0"/>
        <w:keepLines w:val="0"/>
        <w:pageBreakBefore w:val="0"/>
        <w:kinsoku/>
        <w:wordWrap/>
        <w:overflowPunct/>
        <w:topLinePunct w:val="0"/>
        <w:autoSpaceDE/>
        <w:autoSpaceDN/>
        <w:bidi w:val="0"/>
        <w:spacing w:line="336" w:lineRule="auto"/>
        <w:ind w:firstLine="480" w:firstLineChars="200"/>
        <w:textAlignment w:val="auto"/>
        <w:rPr>
          <w:highlight w:val="none"/>
        </w:rPr>
      </w:pPr>
      <w:r>
        <w:rPr>
          <w:rFonts w:hint="eastAsia" w:ascii="Times New Roman" w:hAnsi="Times New Roman" w:eastAsia="宋体"/>
          <w:sz w:val="24"/>
          <w:highlight w:val="none"/>
        </w:rPr>
        <w:t>2.本项目采用“远程不见面”开标方式，远程开标大厅网址为 https://zzggzy.zhengzhou.gov.cn/BidOpening/，供应商无需到郑州市公共资源交易中心现场参加开标会议，无需到达现场提交原件资料。投标人应当在开标当天投标</w:t>
      </w:r>
      <w:r>
        <w:rPr>
          <w:rFonts w:hint="eastAsia" w:ascii="Times New Roman" w:hAnsi="Times New Roman" w:eastAsia="宋体" w:cs="宋体"/>
          <w:kern w:val="0"/>
          <w:sz w:val="24"/>
          <w:szCs w:val="24"/>
          <w:highlight w:val="none"/>
          <w:lang w:val="zh-CN"/>
        </w:rPr>
        <w:t>文件提交</w:t>
      </w:r>
      <w:r>
        <w:rPr>
          <w:rFonts w:hint="eastAsia" w:ascii="Times New Roman" w:hAnsi="Times New Roman" w:eastAsia="宋体"/>
          <w:sz w:val="24"/>
          <w:highlight w:val="none"/>
        </w:rPr>
        <w:t>截止时间前，登录远程开标大厅，在线准时参加开标活动并进行文件解密等。各投标人应在规定时间内对本单位的投标文件解密，因加密电子投标文件未能成功上传或误传而导致的解密失败，投标将被拒绝。详细流程见</w:t>
      </w:r>
      <w:r>
        <w:rPr>
          <w:rFonts w:hint="eastAsia" w:cs="宋体" w:asciiTheme="minorEastAsia" w:hAnsiTheme="minorEastAsia"/>
          <w:kern w:val="0"/>
          <w:sz w:val="24"/>
          <w:highlight w:val="none"/>
          <w:lang w:val="zh-CN"/>
        </w:rPr>
        <w:t>郑州市公共资源交易中心网站-办事指南-政府采购-郑州市公共资源交易中心不见面开标大厅操作手册（供应商）。</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kern w:val="0"/>
          <w:sz w:val="24"/>
          <w:szCs w:val="24"/>
          <w:highlight w:val="none"/>
          <w:lang w:val="zh-CN"/>
        </w:rPr>
      </w:pPr>
      <w:r>
        <w:rPr>
          <w:rFonts w:hint="eastAsia" w:ascii="宋体" w:hAnsi="宋体" w:eastAsia="宋体" w:cs="宋体"/>
          <w:kern w:val="0"/>
          <w:sz w:val="24"/>
          <w:szCs w:val="24"/>
          <w:highlight w:val="none"/>
          <w:lang w:val="en-US" w:eastAsia="zh-CN"/>
        </w:rPr>
        <w:t>3.</w:t>
      </w:r>
      <w:r>
        <w:rPr>
          <w:rFonts w:hint="eastAsia" w:ascii="宋体" w:hAnsi="宋体" w:eastAsia="宋体" w:cs="宋体"/>
          <w:kern w:val="0"/>
          <w:sz w:val="24"/>
          <w:szCs w:val="24"/>
          <w:highlight w:val="none"/>
          <w:lang w:val="zh-CN"/>
        </w:rPr>
        <w:t>根据国家发展改革委关于进一步放开建设项目专业服务价格的通知发改价格[2015] 299号文件的规定,本次招标代理服务费按预算价的1.5%由中标人向采购代理机构交纳代理服务费。</w:t>
      </w:r>
    </w:p>
    <w:p>
      <w:pPr>
        <w:keepNext w:val="0"/>
        <w:keepLines w:val="0"/>
        <w:pageBreakBefore w:val="0"/>
        <w:widowControl/>
        <w:kinsoku/>
        <w:wordWrap/>
        <w:overflowPunct/>
        <w:topLinePunct w:val="0"/>
        <w:autoSpaceDE/>
        <w:autoSpaceDN/>
        <w:bidi w:val="0"/>
        <w:adjustRightInd w:val="0"/>
        <w:snapToGrid w:val="0"/>
        <w:spacing w:line="336" w:lineRule="auto"/>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八、凡对本次招标提出询问，请按照以下方式联系</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1.采购人信息</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kern w:val="0"/>
          <w:sz w:val="24"/>
          <w:szCs w:val="24"/>
          <w:highlight w:val="none"/>
          <w:lang w:val="zh-CN" w:eastAsia="zh-CN"/>
        </w:rPr>
      </w:pPr>
      <w:r>
        <w:rPr>
          <w:rFonts w:hint="eastAsia" w:ascii="宋体" w:hAnsi="宋体" w:eastAsia="宋体" w:cs="宋体"/>
          <w:kern w:val="0"/>
          <w:sz w:val="24"/>
          <w:szCs w:val="24"/>
          <w:highlight w:val="none"/>
        </w:rPr>
        <w:t>名称：</w:t>
      </w:r>
      <w:r>
        <w:rPr>
          <w:rFonts w:hint="eastAsia" w:ascii="宋体" w:hAnsi="宋体" w:eastAsia="宋体" w:cs="宋体"/>
          <w:kern w:val="0"/>
          <w:sz w:val="24"/>
          <w:szCs w:val="24"/>
          <w:highlight w:val="none"/>
          <w:lang w:eastAsia="zh-CN"/>
        </w:rPr>
        <w:t>郑州市文化广电和旅游局</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hint="default" w:ascii="宋体" w:hAnsi="宋体" w:cs="宋体"/>
          <w:kern w:val="0"/>
          <w:sz w:val="24"/>
          <w:highlight w:val="none"/>
        </w:rPr>
      </w:pPr>
      <w:r>
        <w:rPr>
          <w:rFonts w:hint="eastAsia" w:ascii="宋体" w:hAnsi="宋体" w:cs="宋体"/>
          <w:kern w:val="0"/>
          <w:sz w:val="24"/>
          <w:highlight w:val="none"/>
        </w:rPr>
        <w:t>地址：郑州市郑东新区商务内环路17号</w:t>
      </w:r>
      <w:r>
        <w:rPr>
          <w:rFonts w:hint="default" w:ascii="宋体" w:hAnsi="宋体" w:cs="宋体"/>
          <w:kern w:val="0"/>
          <w:sz w:val="24"/>
          <w:highlight w:val="none"/>
        </w:rPr>
        <w:t>A座</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hint="default" w:asciiTheme="minorHAnsi" w:hAnsiTheme="minorHAnsi" w:eastAsiaTheme="minorEastAsia" w:cstheme="minorBidi"/>
          <w:kern w:val="2"/>
          <w:sz w:val="24"/>
          <w:szCs w:val="21"/>
          <w:highlight w:val="none"/>
          <w:lang w:val="en-US" w:eastAsia="zh-CN" w:bidi="ar-SA"/>
        </w:rPr>
      </w:pPr>
      <w:r>
        <w:rPr>
          <w:rFonts w:hint="eastAsia" w:ascii="宋体" w:hAnsi="宋体" w:cs="宋体"/>
          <w:kern w:val="0"/>
          <w:sz w:val="24"/>
          <w:highlight w:val="none"/>
        </w:rPr>
        <w:t>联系人：</w:t>
      </w:r>
      <w:r>
        <w:rPr>
          <w:rFonts w:hint="eastAsia" w:cstheme="minorBidi"/>
          <w:kern w:val="2"/>
          <w:sz w:val="24"/>
          <w:szCs w:val="21"/>
          <w:highlight w:val="none"/>
          <w:lang w:val="en-US" w:eastAsia="zh-CN" w:bidi="ar-SA"/>
        </w:rPr>
        <w:t>裴洪斌</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hint="default" w:ascii="宋体" w:hAnsi="宋体" w:cs="宋体"/>
          <w:kern w:val="0"/>
          <w:sz w:val="24"/>
          <w:highlight w:val="none"/>
        </w:rPr>
      </w:pPr>
      <w:r>
        <w:rPr>
          <w:rFonts w:hint="eastAsia" w:ascii="宋体" w:hAnsi="宋体" w:cs="宋体"/>
          <w:kern w:val="0"/>
          <w:sz w:val="24"/>
          <w:highlight w:val="none"/>
        </w:rPr>
        <w:t>联系方式：0371-</w:t>
      </w:r>
      <w:r>
        <w:rPr>
          <w:rFonts w:hint="default" w:ascii="宋体" w:hAnsi="宋体" w:cs="宋体"/>
          <w:kern w:val="0"/>
          <w:sz w:val="24"/>
          <w:highlight w:val="none"/>
        </w:rPr>
        <w:t>69095823</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eastAsia="宋体" w:cs="宋体"/>
          <w:kern w:val="0"/>
          <w:sz w:val="24"/>
          <w:szCs w:val="24"/>
          <w:highlight w:val="none"/>
        </w:rPr>
      </w:pPr>
      <w:r>
        <w:rPr>
          <w:rFonts w:hint="eastAsia" w:ascii="宋体" w:hAnsi="宋体" w:eastAsia="宋体" w:cs="宋体"/>
          <w:kern w:val="0"/>
          <w:sz w:val="24"/>
          <w:szCs w:val="24"/>
          <w:highlight w:val="none"/>
        </w:rPr>
        <w:t>2.采购代理机构信息</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cs="宋体"/>
          <w:kern w:val="0"/>
          <w:sz w:val="24"/>
          <w:highlight w:val="none"/>
          <w:lang w:val="zh-CN"/>
        </w:rPr>
      </w:pPr>
      <w:r>
        <w:rPr>
          <w:rFonts w:hint="eastAsia" w:ascii="宋体" w:hAnsi="宋体" w:eastAsia="宋体" w:cs="宋体"/>
          <w:kern w:val="0"/>
          <w:sz w:val="24"/>
          <w:szCs w:val="24"/>
          <w:highlight w:val="none"/>
        </w:rPr>
        <w:t>名称：</w:t>
      </w:r>
      <w:r>
        <w:rPr>
          <w:rFonts w:hint="eastAsia" w:ascii="宋体" w:hAnsi="宋体" w:eastAsia="宋体" w:cs="宋体"/>
          <w:kern w:val="0"/>
          <w:sz w:val="24"/>
          <w:szCs w:val="24"/>
          <w:highlight w:val="none"/>
          <w:lang w:val="zh-CN"/>
        </w:rPr>
        <w:t xml:space="preserve">河南省伟信招标管理咨询有限公司   </w:t>
      </w:r>
      <w:r>
        <w:rPr>
          <w:rFonts w:hint="eastAsia" w:ascii="宋体" w:hAnsi="宋体" w:cs="宋体"/>
          <w:kern w:val="0"/>
          <w:sz w:val="24"/>
          <w:highlight w:val="none"/>
          <w:lang w:val="zh-CN"/>
        </w:rPr>
        <w:t xml:space="preserve">        </w:t>
      </w:r>
    </w:p>
    <w:p>
      <w:pPr>
        <w:keepNext w:val="0"/>
        <w:keepLines w:val="0"/>
        <w:pageBreakBefore w:val="0"/>
        <w:widowControl/>
        <w:kinsoku/>
        <w:wordWrap/>
        <w:overflowPunct/>
        <w:topLinePunct w:val="0"/>
        <w:autoSpaceDE/>
        <w:autoSpaceDN/>
        <w:bidi w:val="0"/>
        <w:adjustRightInd w:val="0"/>
        <w:snapToGrid w:val="0"/>
        <w:spacing w:line="336" w:lineRule="auto"/>
        <w:ind w:firstLine="480" w:firstLineChars="200"/>
        <w:jc w:val="left"/>
        <w:textAlignment w:val="auto"/>
        <w:rPr>
          <w:rFonts w:ascii="宋体" w:hAnsi="宋体" w:cs="宋体"/>
          <w:kern w:val="0"/>
          <w:sz w:val="24"/>
          <w:highlight w:val="none"/>
          <w:lang w:val="zh-CN"/>
        </w:rPr>
      </w:pPr>
      <w:r>
        <w:rPr>
          <w:rFonts w:hint="eastAsia" w:ascii="宋体" w:hAnsi="宋体" w:cs="宋体"/>
          <w:kern w:val="0"/>
          <w:sz w:val="24"/>
          <w:highlight w:val="none"/>
        </w:rPr>
        <w:t>地址：</w:t>
      </w:r>
      <w:r>
        <w:rPr>
          <w:rFonts w:hint="eastAsia" w:ascii="宋体" w:hAnsi="宋体" w:cs="宋体"/>
          <w:kern w:val="0"/>
          <w:sz w:val="24"/>
          <w:highlight w:val="none"/>
          <w:lang w:val="zh-CN"/>
        </w:rPr>
        <w:t xml:space="preserve">郑州市郑东新区东风南路与创业路交叉口绿地中心北塔16楼 </w:t>
      </w:r>
    </w:p>
    <w:p>
      <w:pPr>
        <w:keepNext w:val="0"/>
        <w:keepLines w:val="0"/>
        <w:pageBreakBefore w:val="0"/>
        <w:kinsoku/>
        <w:wordWrap/>
        <w:overflowPunct/>
        <w:topLinePunct w:val="0"/>
        <w:autoSpaceDE/>
        <w:autoSpaceDN/>
        <w:bidi w:val="0"/>
        <w:spacing w:line="336" w:lineRule="auto"/>
        <w:textAlignment w:val="auto"/>
        <w:rPr>
          <w:rFonts w:ascii="宋体" w:hAnsi="宋体" w:cs="宋体"/>
          <w:kern w:val="0"/>
          <w:sz w:val="24"/>
          <w:highlight w:val="none"/>
          <w:lang w:val="zh-CN"/>
        </w:rPr>
      </w:pPr>
      <w:r>
        <w:rPr>
          <w:rFonts w:hint="eastAsia" w:ascii="宋体" w:hAnsi="宋体" w:cs="宋体"/>
          <w:kern w:val="0"/>
          <w:sz w:val="24"/>
          <w:highlight w:val="none"/>
        </w:rPr>
        <w:t xml:space="preserve">    联系人：</w:t>
      </w:r>
      <w:r>
        <w:rPr>
          <w:rFonts w:hint="eastAsia" w:ascii="宋体" w:hAnsi="宋体" w:cs="宋体"/>
          <w:kern w:val="0"/>
          <w:sz w:val="24"/>
          <w:highlight w:val="none"/>
          <w:lang w:val="zh-CN"/>
        </w:rPr>
        <w:t>李金秋</w:t>
      </w:r>
      <w:r>
        <w:rPr>
          <w:rFonts w:ascii="宋体" w:hAnsi="宋体" w:cs="宋体"/>
          <w:kern w:val="0"/>
          <w:sz w:val="24"/>
          <w:highlight w:val="none"/>
          <w:lang w:val="zh-CN"/>
        </w:rPr>
        <w:tab/>
      </w:r>
      <w:r>
        <w:rPr>
          <w:rFonts w:hint="eastAsia" w:ascii="宋体" w:hAnsi="宋体" w:cs="宋体"/>
          <w:kern w:val="0"/>
          <w:sz w:val="24"/>
          <w:highlight w:val="none"/>
          <w:lang w:val="zh-CN"/>
        </w:rPr>
        <w:t xml:space="preserve">董辛鹏        </w:t>
      </w:r>
    </w:p>
    <w:p>
      <w:pPr>
        <w:keepNext w:val="0"/>
        <w:keepLines w:val="0"/>
        <w:pageBreakBefore w:val="0"/>
        <w:kinsoku/>
        <w:wordWrap/>
        <w:overflowPunct/>
        <w:topLinePunct w:val="0"/>
        <w:autoSpaceDE/>
        <w:autoSpaceDN/>
        <w:bidi w:val="0"/>
        <w:spacing w:line="336" w:lineRule="auto"/>
        <w:ind w:firstLine="480" w:firstLineChars="200"/>
        <w:textAlignment w:val="auto"/>
        <w:rPr>
          <w:rFonts w:cs="宋体" w:asciiTheme="minorEastAsia" w:hAnsiTheme="minorEastAsia"/>
          <w:kern w:val="0"/>
          <w:sz w:val="24"/>
          <w:highlight w:val="none"/>
          <w:lang w:val="zh-CN"/>
        </w:rPr>
      </w:pPr>
      <w:r>
        <w:rPr>
          <w:rFonts w:hint="eastAsia" w:ascii="宋体" w:hAnsi="宋体" w:cs="宋体"/>
          <w:kern w:val="0"/>
          <w:sz w:val="24"/>
          <w:highlight w:val="none"/>
          <w:lang w:val="zh-CN"/>
        </w:rPr>
        <w:t>联系方式：</w:t>
      </w:r>
      <w:r>
        <w:rPr>
          <w:rFonts w:ascii="宋体" w:hAnsi="宋体" w:cs="宋体"/>
          <w:kern w:val="0"/>
          <w:sz w:val="24"/>
          <w:highlight w:val="none"/>
          <w:lang w:val="zh-CN"/>
        </w:rPr>
        <w:t>0371-65528292</w:t>
      </w:r>
    </w:p>
    <w:p>
      <w:pPr>
        <w:keepNext w:val="0"/>
        <w:keepLines w:val="0"/>
        <w:pageBreakBefore w:val="0"/>
        <w:kinsoku/>
        <w:wordWrap/>
        <w:overflowPunct/>
        <w:topLinePunct w:val="0"/>
        <w:autoSpaceDE/>
        <w:autoSpaceDN/>
        <w:bidi w:val="0"/>
        <w:spacing w:line="336" w:lineRule="auto"/>
        <w:ind w:firstLine="480" w:firstLineChars="200"/>
        <w:textAlignment w:val="auto"/>
        <w:rPr>
          <w:rFonts w:cs="宋体" w:asciiTheme="minorEastAsia" w:hAnsiTheme="minorEastAsia"/>
          <w:kern w:val="0"/>
          <w:sz w:val="24"/>
          <w:highlight w:val="none"/>
          <w:lang w:val="zh-CN"/>
        </w:rPr>
      </w:pPr>
      <w:r>
        <w:rPr>
          <w:rFonts w:hint="eastAsia" w:cs="宋体" w:asciiTheme="minorEastAsia" w:hAnsiTheme="minorEastAsia"/>
          <w:kern w:val="0"/>
          <w:sz w:val="24"/>
          <w:highlight w:val="none"/>
          <w:lang w:val="zh-CN"/>
        </w:rPr>
        <w:t>3.项目联系方式</w:t>
      </w:r>
    </w:p>
    <w:p>
      <w:pPr>
        <w:keepNext w:val="0"/>
        <w:keepLines w:val="0"/>
        <w:pageBreakBefore w:val="0"/>
        <w:kinsoku/>
        <w:wordWrap/>
        <w:overflowPunct/>
        <w:topLinePunct w:val="0"/>
        <w:autoSpaceDE/>
        <w:autoSpaceDN/>
        <w:bidi w:val="0"/>
        <w:spacing w:line="336" w:lineRule="auto"/>
        <w:ind w:firstLine="480" w:firstLineChars="200"/>
        <w:textAlignment w:val="auto"/>
        <w:rPr>
          <w:rFonts w:ascii="宋体" w:hAnsi="宋体" w:cs="宋体"/>
          <w:kern w:val="0"/>
          <w:sz w:val="24"/>
          <w:highlight w:val="none"/>
          <w:lang w:val="zh-CN"/>
        </w:rPr>
      </w:pPr>
      <w:r>
        <w:rPr>
          <w:rFonts w:hint="eastAsia" w:cs="宋体" w:asciiTheme="minorEastAsia" w:hAnsiTheme="minorEastAsia"/>
          <w:kern w:val="0"/>
          <w:sz w:val="24"/>
          <w:highlight w:val="none"/>
          <w:lang w:val="zh-CN"/>
        </w:rPr>
        <w:t>项目联系人：</w:t>
      </w:r>
      <w:r>
        <w:rPr>
          <w:rFonts w:hint="eastAsia" w:ascii="宋体" w:hAnsi="宋体" w:cs="宋体"/>
          <w:kern w:val="0"/>
          <w:sz w:val="24"/>
          <w:highlight w:val="none"/>
          <w:lang w:val="zh-CN"/>
        </w:rPr>
        <w:t>李金秋</w:t>
      </w:r>
      <w:r>
        <w:rPr>
          <w:rFonts w:ascii="宋体" w:hAnsi="宋体" w:cs="宋体"/>
          <w:kern w:val="0"/>
          <w:sz w:val="24"/>
          <w:highlight w:val="none"/>
          <w:lang w:val="zh-CN"/>
        </w:rPr>
        <w:tab/>
      </w:r>
      <w:r>
        <w:rPr>
          <w:rFonts w:hint="eastAsia" w:ascii="宋体" w:hAnsi="宋体" w:cs="宋体"/>
          <w:kern w:val="0"/>
          <w:sz w:val="24"/>
          <w:highlight w:val="none"/>
          <w:lang w:val="zh-CN"/>
        </w:rPr>
        <w:t>董辛鹏</w:t>
      </w:r>
    </w:p>
    <w:p>
      <w:pPr>
        <w:keepNext w:val="0"/>
        <w:keepLines w:val="0"/>
        <w:pageBreakBefore w:val="0"/>
        <w:kinsoku/>
        <w:wordWrap/>
        <w:overflowPunct/>
        <w:topLinePunct w:val="0"/>
        <w:autoSpaceDE/>
        <w:autoSpaceDN/>
        <w:bidi w:val="0"/>
        <w:spacing w:line="336" w:lineRule="auto"/>
        <w:textAlignment w:val="auto"/>
        <w:rPr>
          <w:rFonts w:hint="eastAsia" w:cs="宋体" w:asciiTheme="minorEastAsia" w:hAnsiTheme="minorEastAsia"/>
          <w:sz w:val="24"/>
          <w:highlight w:val="none"/>
        </w:rPr>
      </w:pPr>
      <w:r>
        <w:rPr>
          <w:rFonts w:hint="eastAsia" w:cs="宋体" w:asciiTheme="minorEastAsia" w:hAnsiTheme="minorEastAsia"/>
          <w:kern w:val="0"/>
          <w:sz w:val="24"/>
          <w:highlight w:val="none"/>
          <w:lang w:val="zh-CN"/>
        </w:rPr>
        <w:t>联系方式：</w:t>
      </w:r>
      <w:r>
        <w:rPr>
          <w:rFonts w:ascii="宋体" w:hAnsi="宋体" w:cs="宋体"/>
          <w:kern w:val="0"/>
          <w:sz w:val="24"/>
          <w:highlight w:val="none"/>
          <w:lang w:val="zh-CN"/>
        </w:rPr>
        <w:t>0371-65528292</w:t>
      </w:r>
      <w:r>
        <w:rPr>
          <w:rFonts w:hint="eastAsia" w:cs="宋体" w:asciiTheme="minorEastAsia" w:hAnsiTheme="minorEastAsia"/>
          <w:sz w:val="24"/>
          <w:highlight w:val="none"/>
        </w:rPr>
        <w:t xml:space="preserve">  </w:t>
      </w:r>
      <w:bookmarkEnd w:id="2"/>
    </w:p>
    <w:p>
      <w:pPr>
        <w:pStyle w:val="2"/>
        <w:rPr>
          <w:rFonts w:hint="eastAsia" w:cs="宋体" w:asciiTheme="minorEastAsia" w:hAnsiTheme="minorEastAsia"/>
          <w:sz w:val="24"/>
          <w:highlight w:val="none"/>
        </w:rPr>
      </w:pPr>
    </w:p>
    <w:p>
      <w:pPr>
        <w:pStyle w:val="5"/>
        <w:rPr>
          <w:rFonts w:hint="eastAsia" w:cs="宋体" w:asciiTheme="minorEastAsia" w:hAnsiTheme="minorEastAsia"/>
          <w:sz w:val="24"/>
          <w:highlight w:val="none"/>
        </w:rPr>
      </w:pPr>
    </w:p>
    <w:p>
      <w:pPr>
        <w:pStyle w:val="8"/>
        <w:numPr>
          <w:ilvl w:val="0"/>
          <w:numId w:val="1"/>
        </w:numPr>
        <w:spacing w:before="0" w:after="0"/>
        <w:jc w:val="center"/>
        <w:rPr>
          <w:rFonts w:hint="eastAsia" w:asciiTheme="minorEastAsia" w:hAnsiTheme="minorEastAsia"/>
          <w:sz w:val="32"/>
          <w:highlight w:val="none"/>
        </w:rPr>
      </w:pPr>
      <w:bookmarkStart w:id="5" w:name="_Toc18823"/>
      <w:r>
        <w:rPr>
          <w:rFonts w:hint="eastAsia" w:asciiTheme="minorEastAsia" w:hAnsiTheme="minorEastAsia"/>
          <w:sz w:val="32"/>
          <w:highlight w:val="none"/>
        </w:rPr>
        <w:t>投标人须知</w:t>
      </w:r>
      <w:bookmarkEnd w:id="5"/>
    </w:p>
    <w:p>
      <w:pPr>
        <w:pStyle w:val="24"/>
        <w:rPr>
          <w:rFonts w:asciiTheme="minorEastAsia" w:hAnsiTheme="minorEastAsia" w:eastAsiaTheme="minorEastAsia"/>
          <w:sz w:val="24"/>
          <w:szCs w:val="28"/>
          <w:highlight w:val="none"/>
        </w:rPr>
      </w:pPr>
      <w:bookmarkStart w:id="6" w:name="_Toc27825"/>
      <w:r>
        <w:rPr>
          <w:rFonts w:hint="eastAsia" w:asciiTheme="minorEastAsia" w:hAnsiTheme="minorEastAsia" w:eastAsiaTheme="minorEastAsia"/>
          <w:sz w:val="24"/>
          <w:szCs w:val="28"/>
          <w:highlight w:val="none"/>
        </w:rPr>
        <w:t>投标人须知前附表</w:t>
      </w:r>
      <w:bookmarkEnd w:id="6"/>
    </w:p>
    <w:tbl>
      <w:tblPr>
        <w:tblStyle w:val="28"/>
        <w:tblW w:w="8316" w:type="dxa"/>
        <w:tblInd w:w="0" w:type="dxa"/>
        <w:tblLayout w:type="fixed"/>
        <w:tblCellMar>
          <w:top w:w="0" w:type="dxa"/>
          <w:left w:w="108" w:type="dxa"/>
          <w:bottom w:w="0" w:type="dxa"/>
          <w:right w:w="108" w:type="dxa"/>
        </w:tblCellMar>
      </w:tblPr>
      <w:tblGrid>
        <w:gridCol w:w="1038"/>
        <w:gridCol w:w="2368"/>
        <w:gridCol w:w="4910"/>
      </w:tblGrid>
      <w:tr>
        <w:tblPrEx>
          <w:tblCellMar>
            <w:top w:w="0" w:type="dxa"/>
            <w:left w:w="108" w:type="dxa"/>
            <w:bottom w:w="0" w:type="dxa"/>
            <w:right w:w="108" w:type="dxa"/>
          </w:tblCellMar>
        </w:tblPrEx>
        <w:trPr>
          <w:trHeight w:val="449"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条款号</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条款名称</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编列内容</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1.1.</w:t>
            </w:r>
            <w:r>
              <w:rPr>
                <w:rFonts w:hint="eastAsia" w:asciiTheme="minorEastAsia" w:hAnsiTheme="minorEastAsia"/>
                <w:kern w:val="0"/>
                <w:szCs w:val="21"/>
                <w:highlight w:val="none"/>
              </w:rPr>
              <w:t>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采购人</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hint="eastAsia" w:asciiTheme="minorEastAsia" w:hAnsiTheme="minorEastAsia" w:eastAsiaTheme="minorEastAsia"/>
                <w:kern w:val="0"/>
                <w:szCs w:val="21"/>
                <w:highlight w:val="none"/>
                <w:lang w:eastAsia="zh-CN"/>
              </w:rPr>
            </w:pPr>
            <w:r>
              <w:rPr>
                <w:rFonts w:hint="eastAsia" w:asciiTheme="minorEastAsia" w:hAnsiTheme="minorEastAsia"/>
                <w:kern w:val="0"/>
                <w:szCs w:val="21"/>
                <w:highlight w:val="none"/>
              </w:rPr>
              <w:t>名称：</w:t>
            </w:r>
            <w:r>
              <w:rPr>
                <w:rFonts w:hint="eastAsia" w:asciiTheme="minorEastAsia" w:hAnsiTheme="minorEastAsia"/>
                <w:kern w:val="0"/>
                <w:szCs w:val="21"/>
                <w:highlight w:val="none"/>
                <w:lang w:eastAsia="zh-CN"/>
              </w:rPr>
              <w:t>郑州市文化广电和旅游局</w:t>
            </w:r>
          </w:p>
          <w:p>
            <w:pPr>
              <w:spacing w:line="400" w:lineRule="exact"/>
              <w:rPr>
                <w:rFonts w:hint="eastAsia" w:asciiTheme="minorEastAsia" w:hAnsiTheme="minorEastAsia"/>
                <w:kern w:val="0"/>
                <w:szCs w:val="21"/>
                <w:highlight w:val="none"/>
              </w:rPr>
            </w:pPr>
            <w:r>
              <w:rPr>
                <w:rFonts w:hint="eastAsia" w:asciiTheme="minorEastAsia" w:hAnsiTheme="minorEastAsia"/>
                <w:kern w:val="0"/>
                <w:szCs w:val="21"/>
                <w:highlight w:val="none"/>
              </w:rPr>
              <w:t>地址：郑州市郑东新区商务内环路17号A座</w:t>
            </w:r>
          </w:p>
          <w:p>
            <w:pPr>
              <w:spacing w:line="400" w:lineRule="exact"/>
              <w:rPr>
                <w:rFonts w:hint="eastAsia" w:asciiTheme="minorEastAsia" w:hAnsiTheme="minorEastAsia"/>
                <w:kern w:val="0"/>
                <w:szCs w:val="21"/>
                <w:highlight w:val="none"/>
              </w:rPr>
            </w:pPr>
            <w:r>
              <w:rPr>
                <w:rFonts w:hint="eastAsia" w:asciiTheme="minorEastAsia" w:hAnsiTheme="minorEastAsia"/>
                <w:kern w:val="0"/>
                <w:szCs w:val="21"/>
                <w:highlight w:val="none"/>
              </w:rPr>
              <w:t>联系人：</w:t>
            </w:r>
            <w:r>
              <w:rPr>
                <w:rFonts w:hint="eastAsia" w:asciiTheme="minorEastAsia" w:hAnsiTheme="minorEastAsia"/>
                <w:kern w:val="0"/>
                <w:szCs w:val="21"/>
                <w:highlight w:val="none"/>
                <w:lang w:val="en-US" w:eastAsia="zh-CN"/>
              </w:rPr>
              <w:t>裴洪斌</w:t>
            </w:r>
            <w:r>
              <w:rPr>
                <w:rFonts w:hint="eastAsia" w:asciiTheme="minorEastAsia" w:hAnsiTheme="minorEastAsia"/>
                <w:kern w:val="0"/>
                <w:szCs w:val="21"/>
                <w:highlight w:val="none"/>
              </w:rPr>
              <w:t xml:space="preserve">  </w:t>
            </w:r>
          </w:p>
          <w:p>
            <w:pPr>
              <w:spacing w:line="400" w:lineRule="exact"/>
              <w:rPr>
                <w:rFonts w:hint="default" w:asciiTheme="minorEastAsia" w:hAnsiTheme="minorEastAsia"/>
                <w:kern w:val="0"/>
                <w:szCs w:val="21"/>
                <w:highlight w:val="none"/>
              </w:rPr>
            </w:pPr>
            <w:r>
              <w:rPr>
                <w:rFonts w:hint="eastAsia" w:asciiTheme="minorEastAsia" w:hAnsiTheme="minorEastAsia"/>
                <w:kern w:val="0"/>
                <w:szCs w:val="21"/>
                <w:highlight w:val="none"/>
              </w:rPr>
              <w:t>联系方式：0371-</w:t>
            </w:r>
            <w:r>
              <w:rPr>
                <w:rFonts w:hint="default" w:asciiTheme="minorEastAsia" w:hAnsiTheme="minorEastAsia"/>
                <w:kern w:val="0"/>
                <w:szCs w:val="21"/>
                <w:highlight w:val="none"/>
              </w:rPr>
              <w:t>69095823</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1.1.</w:t>
            </w:r>
            <w:r>
              <w:rPr>
                <w:rFonts w:hint="eastAsia" w:asciiTheme="minorEastAsia" w:hAnsiTheme="minorEastAsia"/>
                <w:kern w:val="0"/>
                <w:szCs w:val="21"/>
                <w:highlight w:val="none"/>
              </w:rPr>
              <w:t>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采购代理机构</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asciiTheme="minorEastAsia" w:hAnsiTheme="minorEastAsia"/>
                <w:kern w:val="0"/>
                <w:szCs w:val="21"/>
                <w:highlight w:val="none"/>
              </w:rPr>
              <w:t>名称：</w:t>
            </w:r>
            <w:r>
              <w:rPr>
                <w:rFonts w:hint="eastAsia" w:asciiTheme="minorEastAsia" w:hAnsiTheme="minorEastAsia"/>
                <w:kern w:val="0"/>
                <w:szCs w:val="21"/>
                <w:highlight w:val="none"/>
              </w:rPr>
              <w:t>河南省伟信招标管理咨询有限公司</w:t>
            </w:r>
          </w:p>
          <w:p>
            <w:pPr>
              <w:spacing w:line="400" w:lineRule="exact"/>
              <w:rPr>
                <w:rFonts w:asciiTheme="minorEastAsia" w:hAnsiTheme="minorEastAsia"/>
                <w:kern w:val="0"/>
                <w:szCs w:val="21"/>
                <w:highlight w:val="none"/>
              </w:rPr>
            </w:pPr>
            <w:r>
              <w:rPr>
                <w:rFonts w:asciiTheme="minorEastAsia" w:hAnsiTheme="minorEastAsia"/>
                <w:kern w:val="0"/>
                <w:szCs w:val="21"/>
                <w:highlight w:val="none"/>
              </w:rPr>
              <w:t>地址：</w:t>
            </w:r>
            <w:r>
              <w:rPr>
                <w:rFonts w:hint="eastAsia" w:asciiTheme="minorEastAsia" w:hAnsiTheme="minorEastAsia"/>
                <w:kern w:val="0"/>
                <w:szCs w:val="21"/>
                <w:highlight w:val="none"/>
              </w:rPr>
              <w:t>郑州市郑东新区东风南路与创业路交叉口绿地中心北塔16楼</w:t>
            </w:r>
          </w:p>
          <w:p>
            <w:pPr>
              <w:spacing w:line="400" w:lineRule="exact"/>
              <w:rPr>
                <w:rFonts w:asciiTheme="minorEastAsia" w:hAnsiTheme="minorEastAsia"/>
                <w:kern w:val="0"/>
                <w:szCs w:val="21"/>
                <w:highlight w:val="none"/>
              </w:rPr>
            </w:pPr>
            <w:r>
              <w:rPr>
                <w:rFonts w:asciiTheme="minorEastAsia" w:hAnsiTheme="minorEastAsia"/>
                <w:kern w:val="0"/>
                <w:szCs w:val="21"/>
                <w:highlight w:val="none"/>
              </w:rPr>
              <w:t>联系人：李金秋  董辛鹏</w:t>
            </w:r>
          </w:p>
          <w:p>
            <w:pPr>
              <w:spacing w:line="400" w:lineRule="exact"/>
              <w:rPr>
                <w:rFonts w:asciiTheme="minorEastAsia" w:hAnsiTheme="minorEastAsia"/>
                <w:kern w:val="0"/>
                <w:szCs w:val="21"/>
                <w:highlight w:val="none"/>
              </w:rPr>
            </w:pPr>
            <w:r>
              <w:rPr>
                <w:rFonts w:asciiTheme="minorEastAsia" w:hAnsiTheme="minorEastAsia"/>
                <w:kern w:val="0"/>
                <w:szCs w:val="21"/>
                <w:highlight w:val="none"/>
              </w:rPr>
              <w:t>联系方式：</w:t>
            </w:r>
            <w:r>
              <w:rPr>
                <w:rFonts w:hint="eastAsia" w:asciiTheme="minorEastAsia" w:hAnsiTheme="minorEastAsia"/>
                <w:kern w:val="0"/>
                <w:szCs w:val="21"/>
                <w:highlight w:val="none"/>
              </w:rPr>
              <w:t>0371-65528292</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1.1.</w:t>
            </w:r>
            <w:r>
              <w:rPr>
                <w:rFonts w:hint="eastAsia" w:asciiTheme="minorEastAsia" w:hAnsiTheme="minorEastAsia"/>
                <w:kern w:val="0"/>
                <w:szCs w:val="21"/>
                <w:highlight w:val="none"/>
              </w:rPr>
              <w:t>3</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项目名称</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hint="eastAsia" w:asciiTheme="minorEastAsia" w:hAnsiTheme="minorEastAsia" w:eastAsiaTheme="minorEastAsia"/>
                <w:kern w:val="0"/>
                <w:szCs w:val="21"/>
                <w:highlight w:val="none"/>
                <w:lang w:eastAsia="zh-CN"/>
              </w:rPr>
            </w:pPr>
            <w:r>
              <w:rPr>
                <w:rFonts w:hint="eastAsia" w:asciiTheme="minorEastAsia" w:hAnsiTheme="minorEastAsia"/>
                <w:kern w:val="0"/>
                <w:szCs w:val="21"/>
                <w:highlight w:val="none"/>
                <w:lang w:eastAsia="zh-CN"/>
              </w:rPr>
              <w:t>郑州市文化广电和旅游局2023年中国图书馆年会项目</w:t>
            </w:r>
          </w:p>
        </w:tc>
      </w:tr>
      <w:tr>
        <w:tblPrEx>
          <w:tblCellMar>
            <w:top w:w="0" w:type="dxa"/>
            <w:left w:w="108" w:type="dxa"/>
            <w:bottom w:w="0" w:type="dxa"/>
            <w:right w:w="108" w:type="dxa"/>
          </w:tblCellMar>
        </w:tblPrEx>
        <w:trPr>
          <w:trHeight w:val="902" w:hRule="atLeas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1.2.1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预算金额</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hint="default"/>
                <w:highlight w:val="none"/>
                <w:lang w:val="en-US" w:eastAsia="zh-CN"/>
              </w:rPr>
            </w:pPr>
            <w:r>
              <w:rPr>
                <w:rFonts w:hint="default"/>
                <w:highlight w:val="none"/>
                <w:lang w:val="en-US" w:eastAsia="zh-CN"/>
              </w:rPr>
              <w:t>A包：4</w:t>
            </w:r>
            <w:r>
              <w:rPr>
                <w:rFonts w:hint="default"/>
                <w:highlight w:val="none"/>
                <w:lang w:eastAsia="zh-CN"/>
              </w:rPr>
              <w:t>580000</w:t>
            </w:r>
            <w:r>
              <w:rPr>
                <w:rFonts w:hint="default"/>
                <w:highlight w:val="none"/>
                <w:lang w:val="en-US" w:eastAsia="zh-CN"/>
              </w:rPr>
              <w:t>.00元</w:t>
            </w:r>
          </w:p>
          <w:p>
            <w:pPr>
              <w:spacing w:line="400" w:lineRule="exact"/>
              <w:rPr>
                <w:rFonts w:hint="default"/>
                <w:highlight w:val="none"/>
                <w:lang w:val="en-US" w:eastAsia="zh-CN"/>
              </w:rPr>
            </w:pPr>
            <w:r>
              <w:rPr>
                <w:rFonts w:hint="default"/>
                <w:highlight w:val="none"/>
                <w:lang w:val="en-US" w:eastAsia="zh-CN"/>
              </w:rPr>
              <w:t>B包：800000.00元</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1.2.2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资金</w:t>
            </w:r>
            <w:r>
              <w:rPr>
                <w:rFonts w:hint="eastAsia" w:asciiTheme="minorEastAsia" w:hAnsiTheme="minorEastAsia"/>
                <w:kern w:val="0"/>
                <w:szCs w:val="21"/>
                <w:highlight w:val="none"/>
              </w:rPr>
              <w:t>来源</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财政资金</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1.3.1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采购需求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cs="宋体" w:asciiTheme="minorEastAsia" w:hAnsiTheme="minorEastAsia"/>
                <w:kern w:val="0"/>
                <w:szCs w:val="21"/>
                <w:highlight w:val="none"/>
                <w:lang w:val="zh-CN"/>
              </w:rPr>
              <w:t>详见招标文件第六章“采购需求”</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1.3.2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276"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服务期限</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276" w:lineRule="auto"/>
              <w:rPr>
                <w:rFonts w:asciiTheme="minorEastAsia" w:hAnsiTheme="minorEastAsia"/>
                <w:kern w:val="0"/>
                <w:szCs w:val="21"/>
                <w:highlight w:val="none"/>
              </w:rPr>
            </w:pPr>
            <w:r>
              <w:rPr>
                <w:rFonts w:hint="eastAsia" w:cs="宋体" w:asciiTheme="minorEastAsia" w:hAnsiTheme="minorEastAsia"/>
                <w:kern w:val="0"/>
                <w:szCs w:val="21"/>
                <w:highlight w:val="none"/>
                <w:lang w:val="zh-CN"/>
              </w:rPr>
              <w:t>自合同签订之日起至“</w:t>
            </w:r>
            <w:r>
              <w:rPr>
                <w:rFonts w:hint="eastAsia" w:asciiTheme="minorEastAsia" w:hAnsiTheme="minorEastAsia"/>
                <w:kern w:val="0"/>
                <w:szCs w:val="21"/>
                <w:highlight w:val="none"/>
                <w:lang w:eastAsia="zh-CN"/>
              </w:rPr>
              <w:t>2023年中国图书馆年会</w:t>
            </w:r>
            <w:r>
              <w:rPr>
                <w:rFonts w:hint="eastAsia" w:cs="宋体" w:asciiTheme="minorEastAsia" w:hAnsiTheme="minorEastAsia"/>
                <w:kern w:val="0"/>
                <w:szCs w:val="21"/>
                <w:highlight w:val="none"/>
                <w:lang w:val="zh-CN"/>
              </w:rPr>
              <w:t>”活动结束并将所有相关资料等交接完毕且验收通过止</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hint="eastAsia" w:asciiTheme="minorEastAsia" w:hAnsiTheme="minorEastAsia" w:eastAsiaTheme="minorEastAsia"/>
                <w:kern w:val="0"/>
                <w:szCs w:val="21"/>
                <w:highlight w:val="none"/>
                <w:lang w:eastAsia="zh-CN"/>
              </w:rPr>
            </w:pPr>
            <w:r>
              <w:rPr>
                <w:rFonts w:hint="eastAsia" w:asciiTheme="minorEastAsia" w:hAnsiTheme="minorEastAsia"/>
                <w:kern w:val="0"/>
                <w:szCs w:val="21"/>
                <w:highlight w:val="none"/>
              </w:rPr>
              <w:t>1.3.</w:t>
            </w:r>
            <w:r>
              <w:rPr>
                <w:rFonts w:hint="eastAsia" w:asciiTheme="minorEastAsia" w:hAnsiTheme="minorEastAsia"/>
                <w:kern w:val="0"/>
                <w:szCs w:val="21"/>
                <w:highlight w:val="none"/>
                <w:lang w:val="en-US" w:eastAsia="zh-CN"/>
              </w:rPr>
              <w:t>3</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质量要求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szCs w:val="21"/>
                <w:highlight w:val="none"/>
              </w:rPr>
            </w:pPr>
            <w:r>
              <w:rPr>
                <w:szCs w:val="21"/>
                <w:highlight w:val="none"/>
              </w:rPr>
              <w:t>符合国家相关规范和标准</w:t>
            </w:r>
            <w:r>
              <w:rPr>
                <w:rFonts w:hint="eastAsia"/>
                <w:szCs w:val="21"/>
                <w:highlight w:val="none"/>
              </w:rPr>
              <w:t>并</w:t>
            </w:r>
            <w:r>
              <w:rPr>
                <w:szCs w:val="21"/>
                <w:highlight w:val="none"/>
              </w:rPr>
              <w:t>满足用户要求</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1.4.1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投标人资格要求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1.满足《中华人民共和国政府采购法》第二十二条规定；</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2.落实政府采购政策需满足的资格要求：</w:t>
            </w:r>
            <w:r>
              <w:rPr>
                <w:rFonts w:hint="eastAsia" w:ascii="Times New Roman" w:hAnsi="Times New Roman" w:eastAsia="宋体"/>
                <w:kern w:val="0"/>
                <w:szCs w:val="21"/>
                <w:highlight w:val="none"/>
                <w:lang w:eastAsia="zh-CN"/>
              </w:rPr>
              <w:t>无</w:t>
            </w:r>
            <w:r>
              <w:rPr>
                <w:rFonts w:hint="eastAsia" w:asciiTheme="minorEastAsia" w:hAnsiTheme="minorEastAsia"/>
                <w:kern w:val="0"/>
                <w:szCs w:val="21"/>
                <w:highlight w:val="none"/>
              </w:rPr>
              <w:t>；</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3.本项目的特定资格要求：</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3.1未被列入信用中国网站“失信被执行人</w:t>
            </w:r>
            <w:r>
              <w:rPr>
                <w:rFonts w:hint="eastAsia" w:asciiTheme="minorEastAsia" w:hAnsiTheme="minorEastAsia"/>
                <w:kern w:val="0"/>
                <w:szCs w:val="21"/>
                <w:highlight w:val="none"/>
                <w:lang w:eastAsia="zh-CN"/>
              </w:rPr>
              <w:t>”“</w:t>
            </w:r>
            <w:r>
              <w:rPr>
                <w:rFonts w:hint="eastAsia" w:asciiTheme="minorEastAsia" w:hAnsiTheme="minorEastAsia"/>
                <w:kern w:val="0"/>
                <w:szCs w:val="21"/>
                <w:highlight w:val="none"/>
              </w:rPr>
              <w:t>重大税收违法失信主体”和中国政府采购网“政府采购严重违法失信行为记录名单”；</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3.</w:t>
            </w:r>
            <w:r>
              <w:rPr>
                <w:rFonts w:hint="eastAsia" w:asciiTheme="minorEastAsia" w:hAnsiTheme="minorEastAsia"/>
                <w:kern w:val="0"/>
                <w:szCs w:val="21"/>
                <w:highlight w:val="none"/>
                <w:lang w:val="en-US" w:eastAsia="zh-CN"/>
              </w:rPr>
              <w:t>2</w:t>
            </w:r>
            <w:r>
              <w:rPr>
                <w:rFonts w:hint="eastAsia" w:asciiTheme="minorEastAsia" w:hAnsiTheme="minorEastAsia"/>
                <w:kern w:val="0"/>
                <w:szCs w:val="21"/>
                <w:highlight w:val="none"/>
              </w:rPr>
              <w:t>单位负责人为同一人或者存在直接控股、管理关系的不同供应商，不得参加同一合同项下的政府采购活动。</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1.4.2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是否接受联合体投标</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asciiTheme="minorEastAsia" w:hAnsiTheme="minorEastAsia"/>
                <w:kern w:val="0"/>
                <w:szCs w:val="21"/>
                <w:highlight w:val="none"/>
              </w:rPr>
              <w:t>不接受</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1.9</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现场踏勘</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不组织</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1.10</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分包</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asciiTheme="minorEastAsia" w:hAnsiTheme="minorEastAsia"/>
                <w:kern w:val="0"/>
                <w:szCs w:val="21"/>
                <w:highlight w:val="none"/>
              </w:rPr>
              <w:t>不允许</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1.11.1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实质性要求和条件</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本前附表1.3.2、1.3.3、1.3.4、1.4.1款要求</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2.1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构成招标文件的其他资料</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szCs w:val="21"/>
                <w:highlight w:val="none"/>
              </w:rPr>
              <w:t>对招标文件所做的澄清、修改等</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2.2.1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投标人</w:t>
            </w:r>
            <w:r>
              <w:rPr>
                <w:rFonts w:asciiTheme="minorEastAsia" w:hAnsiTheme="minorEastAsia"/>
                <w:kern w:val="0"/>
                <w:szCs w:val="21"/>
                <w:highlight w:val="none"/>
              </w:rPr>
              <w:t>要求澄清招标文件</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asciiTheme="minorEastAsia" w:hAnsiTheme="minorEastAsia"/>
                <w:kern w:val="0"/>
                <w:szCs w:val="21"/>
                <w:highlight w:val="none"/>
              </w:rPr>
              <w:t>时间：</w:t>
            </w:r>
            <w:r>
              <w:rPr>
                <w:rFonts w:hint="eastAsia" w:asciiTheme="minorEastAsia" w:hAnsiTheme="minorEastAsia"/>
                <w:kern w:val="0"/>
                <w:szCs w:val="21"/>
                <w:highlight w:val="none"/>
              </w:rPr>
              <w:t>收到招标文件之日或者招标文件公告期限届满之日起七个工作日内</w:t>
            </w:r>
          </w:p>
          <w:p>
            <w:pPr>
              <w:spacing w:line="400" w:lineRule="exact"/>
              <w:rPr>
                <w:rFonts w:asciiTheme="minorEastAsia" w:hAnsiTheme="minorEastAsia"/>
                <w:kern w:val="0"/>
                <w:szCs w:val="21"/>
                <w:highlight w:val="none"/>
              </w:rPr>
            </w:pPr>
            <w:r>
              <w:rPr>
                <w:rFonts w:asciiTheme="minorEastAsia" w:hAnsiTheme="minorEastAsia"/>
                <w:kern w:val="0"/>
                <w:szCs w:val="21"/>
                <w:highlight w:val="none"/>
              </w:rPr>
              <w:t>形式：</w:t>
            </w:r>
            <w:r>
              <w:rPr>
                <w:rFonts w:hint="eastAsia" w:asciiTheme="minorEastAsia" w:hAnsiTheme="minorEastAsia"/>
                <w:kern w:val="0"/>
                <w:szCs w:val="21"/>
                <w:highlight w:val="none"/>
              </w:rPr>
              <w:t>郑州市公共资源交易平台提出并加盖公章扫描发至电子邮箱（282371418@qq.com）</w:t>
            </w:r>
          </w:p>
        </w:tc>
      </w:tr>
      <w:tr>
        <w:tblPrEx>
          <w:tblCellMar>
            <w:top w:w="0" w:type="dxa"/>
            <w:left w:w="108" w:type="dxa"/>
            <w:bottom w:w="0" w:type="dxa"/>
            <w:right w:w="108" w:type="dxa"/>
          </w:tblCellMar>
        </w:tblPrEx>
        <w:trPr>
          <w:trHeight w:val="703" w:hRule="atLeas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2.2.2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招标文件澄清发出的形式</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郑州市公共资源交易中心网站</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河南省政府采购网</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郑州市政府采购网</w:t>
            </w:r>
          </w:p>
        </w:tc>
      </w:tr>
      <w:tr>
        <w:tblPrEx>
          <w:tblCellMar>
            <w:top w:w="0" w:type="dxa"/>
            <w:left w:w="108" w:type="dxa"/>
            <w:bottom w:w="0" w:type="dxa"/>
            <w:right w:w="108" w:type="dxa"/>
          </w:tblCellMar>
        </w:tblPrEx>
        <w:trPr>
          <w:trHeight w:val="890" w:hRule="atLeas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2.2.3</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投标人</w:t>
            </w:r>
            <w:r>
              <w:rPr>
                <w:rFonts w:asciiTheme="minorEastAsia" w:hAnsiTheme="minorEastAsia"/>
                <w:kern w:val="0"/>
                <w:szCs w:val="21"/>
                <w:highlight w:val="none"/>
              </w:rPr>
              <w:t>确认收到招标文件澄清</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所有澄清均通过郑州市公共资源交易中心平台、河南省政府采购网和郑州市政府采购网发布，一经发布即视为投标人已收到并确认，请各投标人及时关注本项目通过郑州市公共资源交易中心网站发出的通知，如有遗漏自行负责。</w:t>
            </w:r>
          </w:p>
        </w:tc>
      </w:tr>
      <w:tr>
        <w:tblPrEx>
          <w:tblCellMar>
            <w:top w:w="0" w:type="dxa"/>
            <w:left w:w="108" w:type="dxa"/>
            <w:bottom w:w="0" w:type="dxa"/>
            <w:right w:w="108" w:type="dxa"/>
          </w:tblCellMar>
        </w:tblPrEx>
        <w:trPr>
          <w:trHeight w:val="1233"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2.3.1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招标文件修改发出的形式</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郑州市公共资源交易中心网站</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河南省政府采购网</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郑州市政府采购网</w:t>
            </w:r>
          </w:p>
        </w:tc>
      </w:tr>
      <w:tr>
        <w:tblPrEx>
          <w:tblCellMar>
            <w:top w:w="0" w:type="dxa"/>
            <w:left w:w="108" w:type="dxa"/>
            <w:bottom w:w="0" w:type="dxa"/>
            <w:right w:w="108" w:type="dxa"/>
          </w:tblCellMar>
        </w:tblPrEx>
        <w:trPr>
          <w:trHeight w:val="890" w:hRule="atLeas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2.3.2</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投标人</w:t>
            </w:r>
            <w:r>
              <w:rPr>
                <w:rFonts w:asciiTheme="minorEastAsia" w:hAnsiTheme="minorEastAsia"/>
                <w:kern w:val="0"/>
                <w:szCs w:val="21"/>
                <w:highlight w:val="none"/>
              </w:rPr>
              <w:t>确认收到招标文件修改</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所有修改均通过郑州市公共资源交易中心平台、河南省政府采购网和郑州市政府采购网发布，一经发布即视为投标人已收到并确认，请各投标人及时关注本项目通过郑州市公共资源交易中心网站发出的通知，如有遗漏自行负责。</w:t>
            </w:r>
          </w:p>
        </w:tc>
      </w:tr>
      <w:tr>
        <w:tblPrEx>
          <w:tblCellMar>
            <w:top w:w="0" w:type="dxa"/>
            <w:left w:w="108" w:type="dxa"/>
            <w:bottom w:w="0" w:type="dxa"/>
            <w:right w:w="108" w:type="dxa"/>
          </w:tblCellMar>
        </w:tblPrEx>
        <w:trPr>
          <w:trHeight w:val="943"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3.2.6</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最高投标限价</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hint="default"/>
                <w:highlight w:val="none"/>
                <w:lang w:val="en-US" w:eastAsia="zh-CN"/>
              </w:rPr>
            </w:pPr>
            <w:r>
              <w:rPr>
                <w:rFonts w:hint="eastAsia"/>
                <w:highlight w:val="none"/>
                <w:lang w:val="en-US" w:eastAsia="zh-CN"/>
              </w:rPr>
              <w:t>A包：</w:t>
            </w:r>
            <w:r>
              <w:rPr>
                <w:rFonts w:hint="default"/>
                <w:highlight w:val="none"/>
                <w:lang w:eastAsia="zh-CN"/>
              </w:rPr>
              <w:t>43</w:t>
            </w:r>
            <w:r>
              <w:rPr>
                <w:rFonts w:hint="default"/>
                <w:highlight w:val="none"/>
                <w:lang w:val="en-US" w:eastAsia="zh-CN"/>
              </w:rPr>
              <w:t>38750</w:t>
            </w:r>
            <w:r>
              <w:rPr>
                <w:rFonts w:hint="eastAsia"/>
                <w:highlight w:val="none"/>
                <w:lang w:val="en-US" w:eastAsia="zh-CN"/>
              </w:rPr>
              <w:t>.00元</w:t>
            </w:r>
          </w:p>
          <w:p>
            <w:pPr>
              <w:spacing w:line="400" w:lineRule="exact"/>
              <w:rPr>
                <w:rFonts w:asciiTheme="minorEastAsia" w:hAnsiTheme="minorEastAsia"/>
                <w:kern w:val="0"/>
                <w:szCs w:val="21"/>
                <w:highlight w:val="none"/>
              </w:rPr>
            </w:pPr>
            <w:r>
              <w:rPr>
                <w:rFonts w:hint="eastAsia"/>
                <w:highlight w:val="none"/>
                <w:lang w:val="en-US" w:eastAsia="zh-CN"/>
              </w:rPr>
              <w:t>B包：800000.00元</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3.2.7</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投标报价的其他要求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CellMar>
            <w:top w:w="0" w:type="dxa"/>
            <w:left w:w="108" w:type="dxa"/>
            <w:bottom w:w="0" w:type="dxa"/>
            <w:right w:w="108" w:type="dxa"/>
          </w:tblCellMar>
        </w:tblPrEx>
        <w:trPr>
          <w:trHeight w:val="560"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3.3.1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投标有效期</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自投标截止之日起60日历天</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3.4</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投标保证金</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本项目不收取投标保证金，需提供投标承诺函及招标代理服务费承诺函，具体格式详见第五章投标文件格式，未按招标文件规定提交投标承诺函及招标代理服务费承诺函的均视为无效投标。</w:t>
            </w:r>
          </w:p>
        </w:tc>
      </w:tr>
      <w:tr>
        <w:tblPrEx>
          <w:tblCellMar>
            <w:top w:w="0" w:type="dxa"/>
            <w:left w:w="108" w:type="dxa"/>
            <w:bottom w:w="0" w:type="dxa"/>
            <w:right w:w="108" w:type="dxa"/>
          </w:tblCellMar>
        </w:tblPrEx>
        <w:trPr>
          <w:trHeight w:val="821"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3.5</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资格审查资料的特殊要求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asciiTheme="minorEastAsia" w:hAnsiTheme="minorEastAsia"/>
                <w:kern w:val="0"/>
                <w:szCs w:val="21"/>
                <w:highlight w:val="none"/>
              </w:rPr>
              <w:t>无</w:t>
            </w:r>
          </w:p>
        </w:tc>
      </w:tr>
      <w:tr>
        <w:tblPrEx>
          <w:tblCellMar>
            <w:top w:w="0" w:type="dxa"/>
            <w:left w:w="108" w:type="dxa"/>
            <w:bottom w:w="0" w:type="dxa"/>
            <w:right w:w="108" w:type="dxa"/>
          </w:tblCellMar>
        </w:tblPrEx>
        <w:trPr>
          <w:trHeight w:val="846"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3.6</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是否允许递交备选投标方案</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asciiTheme="minorEastAsia" w:hAnsiTheme="minorEastAsia"/>
                <w:kern w:val="0"/>
                <w:szCs w:val="21"/>
                <w:highlight w:val="none"/>
              </w:rPr>
              <w:t>不允许</w:t>
            </w:r>
          </w:p>
        </w:tc>
      </w:tr>
      <w:tr>
        <w:tblPrEx>
          <w:tblCellMar>
            <w:top w:w="0" w:type="dxa"/>
            <w:left w:w="108" w:type="dxa"/>
            <w:bottom w:w="0" w:type="dxa"/>
            <w:right w:w="108" w:type="dxa"/>
          </w:tblCellMar>
        </w:tblPrEx>
        <w:trPr>
          <w:trHeight w:val="976"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3.7.3（</w:t>
            </w:r>
            <w:r>
              <w:rPr>
                <w:rFonts w:hint="eastAsia" w:asciiTheme="minorEastAsia" w:hAnsiTheme="minorEastAsia"/>
                <w:kern w:val="0"/>
                <w:szCs w:val="21"/>
                <w:highlight w:val="none"/>
              </w:rPr>
              <w:t>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投标文件所附证书证件要求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复印件或扫描件</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3.7.3（</w:t>
            </w:r>
            <w:r>
              <w:rPr>
                <w:rFonts w:hint="eastAsia" w:asciiTheme="minorEastAsia" w:hAnsiTheme="minorEastAsia"/>
                <w:kern w:val="0"/>
                <w:szCs w:val="21"/>
                <w:highlight w:val="none"/>
              </w:rPr>
              <w:t>2</w:t>
            </w:r>
            <w:r>
              <w:rPr>
                <w:rFonts w:asciiTheme="minorEastAsia" w:hAnsiTheme="minorEastAsia"/>
                <w:kern w:val="0"/>
                <w:szCs w:val="21"/>
                <w:highlight w:val="none"/>
              </w:rPr>
              <w:t>）</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投标文件签字或盖章要求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hAnsi="宋体"/>
                <w:szCs w:val="21"/>
                <w:highlight w:val="none"/>
              </w:rPr>
              <w:t>投标人在制作投标文件时，应将招标文件格式中明确签字盖章的内容电子签章或加盖公章（包括企业电子签章或公章、个人电子签章或签字）。</w:t>
            </w:r>
          </w:p>
        </w:tc>
      </w:tr>
      <w:tr>
        <w:tblPrEx>
          <w:tblCellMar>
            <w:top w:w="0" w:type="dxa"/>
            <w:left w:w="108" w:type="dxa"/>
            <w:bottom w:w="0" w:type="dxa"/>
            <w:right w:w="108" w:type="dxa"/>
          </w:tblCellMar>
        </w:tblPrEx>
        <w:trPr>
          <w:trHeight w:val="1651"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4.1.1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投标文件加密要求</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加密的电子投标文件为“郑州市公共资源交易中心网站” 网站提供的“投标文件制作工具”软件制作生成的加密版投标文件。</w:t>
            </w:r>
          </w:p>
        </w:tc>
      </w:tr>
      <w:tr>
        <w:tblPrEx>
          <w:tblCellMar>
            <w:top w:w="0" w:type="dxa"/>
            <w:left w:w="108" w:type="dxa"/>
            <w:bottom w:w="0" w:type="dxa"/>
            <w:right w:w="108" w:type="dxa"/>
          </w:tblCellMar>
        </w:tblPrEx>
        <w:trPr>
          <w:trHeight w:val="468"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4.2.1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投标截止时间</w:t>
            </w:r>
          </w:p>
        </w:tc>
        <w:tc>
          <w:tcPr>
            <w:tcW w:w="491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440" w:lineRule="exact"/>
              <w:rPr>
                <w:rFonts w:ascii="宋体" w:hAnsi="宋体" w:eastAsia="宋体" w:cs="宋体"/>
                <w:kern w:val="0"/>
                <w:sz w:val="24"/>
                <w:szCs w:val="24"/>
                <w:highlight w:val="none"/>
              </w:rPr>
            </w:pPr>
            <w:r>
              <w:rPr>
                <w:rFonts w:hint="eastAsia" w:asciiTheme="minorEastAsia" w:hAnsiTheme="minorEastAsia"/>
                <w:kern w:val="0"/>
                <w:szCs w:val="21"/>
                <w:highlight w:val="none"/>
              </w:rPr>
              <w:t>2023年</w:t>
            </w:r>
            <w:r>
              <w:rPr>
                <w:rFonts w:hint="eastAsia" w:asciiTheme="minorEastAsia" w:hAnsiTheme="minorEastAsia"/>
                <w:kern w:val="0"/>
                <w:szCs w:val="21"/>
                <w:highlight w:val="none"/>
                <w:lang w:eastAsia="zh-CN"/>
              </w:rPr>
              <w:t>9月7日10时00分</w:t>
            </w:r>
            <w:r>
              <w:rPr>
                <w:rFonts w:hint="eastAsia" w:asciiTheme="minorEastAsia" w:hAnsiTheme="minorEastAsia"/>
                <w:kern w:val="0"/>
                <w:szCs w:val="21"/>
                <w:highlight w:val="none"/>
              </w:rPr>
              <w:t>（北京时间）</w:t>
            </w:r>
          </w:p>
          <w:p>
            <w:pPr>
              <w:spacing w:line="400" w:lineRule="exact"/>
              <w:rPr>
                <w:rFonts w:asciiTheme="minorEastAsia" w:hAnsiTheme="minorEastAsia"/>
                <w:kern w:val="0"/>
                <w:szCs w:val="21"/>
                <w:highlight w:val="none"/>
              </w:rPr>
            </w:pPr>
          </w:p>
        </w:tc>
      </w:tr>
      <w:tr>
        <w:tblPrEx>
          <w:tblCellMar>
            <w:top w:w="0" w:type="dxa"/>
            <w:left w:w="108" w:type="dxa"/>
            <w:bottom w:w="0" w:type="dxa"/>
            <w:right w:w="108" w:type="dxa"/>
          </w:tblCellMar>
        </w:tblPrEx>
        <w:trPr>
          <w:trHeight w:val="522"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5.1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开标时间</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asciiTheme="minorEastAsia" w:hAnsiTheme="minorEastAsia"/>
                <w:kern w:val="0"/>
                <w:szCs w:val="21"/>
                <w:highlight w:val="none"/>
              </w:rPr>
              <w:t>同投标截止时间</w:t>
            </w:r>
          </w:p>
        </w:tc>
      </w:tr>
      <w:tr>
        <w:tblPrEx>
          <w:tblCellMar>
            <w:top w:w="0" w:type="dxa"/>
            <w:left w:w="108" w:type="dxa"/>
            <w:bottom w:w="0" w:type="dxa"/>
            <w:right w:w="108" w:type="dxa"/>
          </w:tblCellMar>
        </w:tblPrEx>
        <w:trPr>
          <w:trHeight w:val="1703"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6.1.1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评标委员会的组建</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asciiTheme="minorEastAsia" w:hAnsiTheme="minorEastAsia"/>
                <w:kern w:val="0"/>
                <w:szCs w:val="21"/>
                <w:highlight w:val="none"/>
              </w:rPr>
              <w:t>评标委员会构成：</w:t>
            </w:r>
            <w:r>
              <w:rPr>
                <w:rFonts w:hint="eastAsia" w:asciiTheme="minorEastAsia" w:hAnsiTheme="minorEastAsia"/>
                <w:kern w:val="0"/>
                <w:szCs w:val="21"/>
                <w:highlight w:val="none"/>
              </w:rPr>
              <w:t>5</w:t>
            </w:r>
            <w:r>
              <w:rPr>
                <w:rFonts w:asciiTheme="minorEastAsia" w:hAnsiTheme="minorEastAsia"/>
                <w:kern w:val="0"/>
                <w:szCs w:val="21"/>
                <w:highlight w:val="none"/>
              </w:rPr>
              <w:t>人</w:t>
            </w:r>
            <w:r>
              <w:rPr>
                <w:rFonts w:hint="eastAsia" w:asciiTheme="minorEastAsia" w:hAnsiTheme="minorEastAsia"/>
                <w:kern w:val="0"/>
                <w:szCs w:val="21"/>
                <w:highlight w:val="none"/>
              </w:rPr>
              <w:t>，</w:t>
            </w:r>
            <w:r>
              <w:rPr>
                <w:rFonts w:asciiTheme="minorEastAsia" w:hAnsiTheme="minorEastAsia"/>
                <w:kern w:val="0"/>
                <w:szCs w:val="21"/>
                <w:highlight w:val="none"/>
              </w:rPr>
              <w:t>其中</w:t>
            </w:r>
            <w:r>
              <w:rPr>
                <w:rFonts w:hint="eastAsia" w:asciiTheme="minorEastAsia" w:hAnsiTheme="minorEastAsia"/>
                <w:kern w:val="0"/>
                <w:szCs w:val="21"/>
                <w:highlight w:val="none"/>
              </w:rPr>
              <w:t>采购人</w:t>
            </w:r>
            <w:r>
              <w:rPr>
                <w:rFonts w:asciiTheme="minorEastAsia" w:hAnsiTheme="minorEastAsia"/>
                <w:kern w:val="0"/>
                <w:szCs w:val="21"/>
                <w:highlight w:val="none"/>
              </w:rPr>
              <w:t>代表</w:t>
            </w:r>
            <w:r>
              <w:rPr>
                <w:rFonts w:hint="eastAsia" w:asciiTheme="minorEastAsia" w:hAnsiTheme="minorEastAsia"/>
                <w:kern w:val="0"/>
                <w:szCs w:val="21"/>
                <w:highlight w:val="none"/>
              </w:rPr>
              <w:t>1</w:t>
            </w:r>
            <w:r>
              <w:rPr>
                <w:rFonts w:asciiTheme="minorEastAsia" w:hAnsiTheme="minorEastAsia"/>
                <w:kern w:val="0"/>
                <w:szCs w:val="21"/>
                <w:highlight w:val="none"/>
              </w:rPr>
              <w:t>人，</w:t>
            </w:r>
            <w:r>
              <w:rPr>
                <w:rFonts w:hint="eastAsia" w:asciiTheme="minorEastAsia" w:hAnsiTheme="minorEastAsia"/>
                <w:kern w:val="0"/>
                <w:szCs w:val="21"/>
                <w:highlight w:val="none"/>
              </w:rPr>
              <w:t>相关经济、技术</w:t>
            </w:r>
            <w:r>
              <w:rPr>
                <w:rFonts w:asciiTheme="minorEastAsia" w:hAnsiTheme="minorEastAsia"/>
                <w:kern w:val="0"/>
                <w:szCs w:val="21"/>
                <w:highlight w:val="none"/>
              </w:rPr>
              <w:t>专家</w:t>
            </w:r>
            <w:r>
              <w:rPr>
                <w:rFonts w:hint="eastAsia" w:asciiTheme="minorEastAsia" w:hAnsiTheme="minorEastAsia"/>
                <w:kern w:val="0"/>
                <w:szCs w:val="21"/>
                <w:highlight w:val="none"/>
              </w:rPr>
              <w:t>4</w:t>
            </w:r>
            <w:r>
              <w:rPr>
                <w:rFonts w:asciiTheme="minorEastAsia" w:hAnsiTheme="minorEastAsia"/>
                <w:kern w:val="0"/>
                <w:szCs w:val="21"/>
                <w:highlight w:val="none"/>
              </w:rPr>
              <w:t xml:space="preserve">人； </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评审</w:t>
            </w:r>
            <w:r>
              <w:rPr>
                <w:rFonts w:asciiTheme="minorEastAsia" w:hAnsiTheme="minorEastAsia"/>
                <w:kern w:val="0"/>
                <w:szCs w:val="21"/>
                <w:highlight w:val="none"/>
              </w:rPr>
              <w:t>专家确定方式：</w:t>
            </w:r>
            <w:r>
              <w:rPr>
                <w:rFonts w:hint="eastAsia" w:asciiTheme="minorEastAsia" w:hAnsiTheme="minorEastAsia"/>
                <w:kern w:val="0"/>
                <w:szCs w:val="21"/>
                <w:highlight w:val="none"/>
              </w:rPr>
              <w:t>财政部门指定专家库中随机抽取</w:t>
            </w:r>
          </w:p>
        </w:tc>
      </w:tr>
      <w:tr>
        <w:tblPrEx>
          <w:tblCellMar>
            <w:top w:w="0" w:type="dxa"/>
            <w:left w:w="108" w:type="dxa"/>
            <w:bottom w:w="0" w:type="dxa"/>
            <w:right w:w="108" w:type="dxa"/>
          </w:tblCellMar>
        </w:tblPrEx>
        <w:trPr>
          <w:trHeight w:val="880"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 xml:space="preserve">6.3.5 </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评标委员会推荐中标候选人</w:t>
            </w:r>
            <w:r>
              <w:rPr>
                <w:rFonts w:hint="eastAsia" w:asciiTheme="minorEastAsia" w:hAnsiTheme="minorEastAsia"/>
                <w:kern w:val="0"/>
                <w:szCs w:val="21"/>
                <w:highlight w:val="none"/>
              </w:rPr>
              <w:t>数量</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3家</w:t>
            </w:r>
          </w:p>
        </w:tc>
      </w:tr>
      <w:tr>
        <w:tblPrEx>
          <w:tblCellMar>
            <w:top w:w="0" w:type="dxa"/>
            <w:left w:w="108" w:type="dxa"/>
            <w:bottom w:w="0" w:type="dxa"/>
            <w:right w:w="108" w:type="dxa"/>
          </w:tblCellMar>
        </w:tblPrEx>
        <w:trPr>
          <w:trHeight w:val="1449"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7.1</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中标公告</w:t>
            </w:r>
            <w:r>
              <w:rPr>
                <w:rFonts w:asciiTheme="minorEastAsia" w:hAnsiTheme="minorEastAsia"/>
                <w:kern w:val="0"/>
                <w:szCs w:val="21"/>
                <w:highlight w:val="none"/>
              </w:rPr>
              <w:t>媒介及期限</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asciiTheme="minorEastAsia" w:hAnsiTheme="minorEastAsia"/>
                <w:kern w:val="0"/>
                <w:szCs w:val="21"/>
                <w:highlight w:val="none"/>
              </w:rPr>
              <w:t>公</w:t>
            </w:r>
            <w:r>
              <w:rPr>
                <w:rFonts w:hint="eastAsia" w:asciiTheme="minorEastAsia" w:hAnsiTheme="minorEastAsia"/>
                <w:kern w:val="0"/>
                <w:szCs w:val="21"/>
                <w:highlight w:val="none"/>
              </w:rPr>
              <w:t>告</w:t>
            </w:r>
            <w:r>
              <w:rPr>
                <w:rFonts w:asciiTheme="minorEastAsia" w:hAnsiTheme="minorEastAsia"/>
                <w:kern w:val="0"/>
                <w:szCs w:val="21"/>
                <w:highlight w:val="none"/>
              </w:rPr>
              <w:t>媒介：</w:t>
            </w:r>
            <w:r>
              <w:rPr>
                <w:rFonts w:hint="eastAsia" w:asciiTheme="minorEastAsia" w:hAnsiTheme="minorEastAsia"/>
                <w:kern w:val="0"/>
                <w:szCs w:val="21"/>
                <w:highlight w:val="none"/>
              </w:rPr>
              <w:t>《河南省政府采购网</w:t>
            </w:r>
            <w:r>
              <w:rPr>
                <w:rFonts w:hint="eastAsia" w:asciiTheme="minorEastAsia" w:hAnsiTheme="minorEastAsia"/>
                <w:kern w:val="0"/>
                <w:szCs w:val="21"/>
                <w:highlight w:val="none"/>
                <w:lang w:eastAsia="zh-CN"/>
              </w:rPr>
              <w:t>》《</w:t>
            </w:r>
            <w:r>
              <w:rPr>
                <w:rFonts w:hint="eastAsia" w:asciiTheme="minorEastAsia" w:hAnsiTheme="minorEastAsia"/>
                <w:kern w:val="0"/>
                <w:szCs w:val="21"/>
                <w:highlight w:val="none"/>
              </w:rPr>
              <w:t>郑州市政府采购网</w:t>
            </w:r>
            <w:r>
              <w:rPr>
                <w:rFonts w:hint="eastAsia" w:asciiTheme="minorEastAsia" w:hAnsiTheme="minorEastAsia"/>
                <w:kern w:val="0"/>
                <w:szCs w:val="21"/>
                <w:highlight w:val="none"/>
                <w:lang w:eastAsia="zh-CN"/>
              </w:rPr>
              <w:t>》《</w:t>
            </w:r>
            <w:r>
              <w:rPr>
                <w:rFonts w:hint="eastAsia" w:asciiTheme="minorEastAsia" w:hAnsiTheme="minorEastAsia"/>
                <w:kern w:val="0"/>
                <w:szCs w:val="21"/>
                <w:highlight w:val="none"/>
              </w:rPr>
              <w:t>郑州市公共资源交易中心网》</w:t>
            </w:r>
          </w:p>
          <w:p>
            <w:pPr>
              <w:spacing w:line="400" w:lineRule="exact"/>
              <w:rPr>
                <w:rFonts w:asciiTheme="minorEastAsia" w:hAnsiTheme="minorEastAsia"/>
                <w:kern w:val="0"/>
                <w:szCs w:val="21"/>
                <w:highlight w:val="none"/>
              </w:rPr>
            </w:pPr>
            <w:r>
              <w:rPr>
                <w:rFonts w:asciiTheme="minorEastAsia" w:hAnsiTheme="minorEastAsia"/>
                <w:kern w:val="0"/>
                <w:szCs w:val="21"/>
                <w:highlight w:val="none"/>
              </w:rPr>
              <w:t>公</w:t>
            </w:r>
            <w:r>
              <w:rPr>
                <w:rFonts w:hint="eastAsia" w:asciiTheme="minorEastAsia" w:hAnsiTheme="minorEastAsia"/>
                <w:kern w:val="0"/>
                <w:szCs w:val="21"/>
                <w:highlight w:val="none"/>
              </w:rPr>
              <w:t>告</w:t>
            </w:r>
            <w:r>
              <w:rPr>
                <w:rFonts w:asciiTheme="minorEastAsia" w:hAnsiTheme="minorEastAsia"/>
                <w:kern w:val="0"/>
                <w:szCs w:val="21"/>
                <w:highlight w:val="none"/>
              </w:rPr>
              <w:t>期限：</w:t>
            </w:r>
            <w:r>
              <w:rPr>
                <w:rFonts w:hint="eastAsia" w:asciiTheme="minorEastAsia" w:hAnsiTheme="minorEastAsia"/>
                <w:kern w:val="0"/>
                <w:szCs w:val="21"/>
                <w:highlight w:val="none"/>
              </w:rPr>
              <w:t>1个工作</w:t>
            </w:r>
            <w:r>
              <w:rPr>
                <w:rFonts w:asciiTheme="minorEastAsia" w:hAnsiTheme="minorEastAsia"/>
                <w:kern w:val="0"/>
                <w:szCs w:val="21"/>
                <w:highlight w:val="none"/>
              </w:rPr>
              <w:t>日</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7.2.3</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针对同一采购程序环节的质疑次数</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一次性提出</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7.2.5</w:t>
            </w:r>
          </w:p>
        </w:tc>
        <w:tc>
          <w:tcPr>
            <w:tcW w:w="236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质疑函接收部门、联系电话和通讯地址</w:t>
            </w:r>
          </w:p>
        </w:tc>
        <w:tc>
          <w:tcPr>
            <w:tcW w:w="4910"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联系部门：河南省伟信招标管理咨询有限公司</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联系电话：0371-65528295/65528292</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通讯地址：郑州市郑东新区东风南路与创业路绿地中心北塔16楼</w:t>
            </w:r>
          </w:p>
        </w:tc>
      </w:tr>
      <w:tr>
        <w:tblPrEx>
          <w:tblCellMar>
            <w:top w:w="0" w:type="dxa"/>
            <w:left w:w="108" w:type="dxa"/>
            <w:bottom w:w="0" w:type="dxa"/>
            <w:right w:w="108" w:type="dxa"/>
          </w:tblCellMar>
        </w:tblPrEx>
        <w:trPr>
          <w:trHeight w:val="546" w:hRule="exac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9</w:t>
            </w:r>
          </w:p>
        </w:tc>
        <w:tc>
          <w:tcPr>
            <w:tcW w:w="7278"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需要补充的其他内容</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9.1</w:t>
            </w:r>
          </w:p>
        </w:tc>
        <w:tc>
          <w:tcPr>
            <w:tcW w:w="7278"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rPr>
                <w:rFonts w:hint="eastAsia" w:asciiTheme="minorEastAsia" w:hAnsiTheme="minorEastAsia"/>
                <w:kern w:val="0"/>
                <w:szCs w:val="21"/>
                <w:highlight w:val="none"/>
              </w:rPr>
            </w:pPr>
            <w:r>
              <w:rPr>
                <w:rFonts w:hint="eastAsia" w:asciiTheme="minorEastAsia" w:hAnsiTheme="minorEastAsia"/>
                <w:kern w:val="0"/>
                <w:szCs w:val="21"/>
                <w:highlight w:val="none"/>
              </w:rPr>
              <w:t>政府采购相关政策信息</w:t>
            </w:r>
          </w:p>
          <w:p>
            <w:pPr>
              <w:spacing w:line="400" w:lineRule="exact"/>
              <w:rPr>
                <w:rFonts w:hint="eastAsia" w:asciiTheme="minorEastAsia" w:hAnsiTheme="minorEastAsia"/>
                <w:kern w:val="0"/>
                <w:szCs w:val="21"/>
                <w:highlight w:val="none"/>
              </w:rPr>
            </w:pPr>
            <w:r>
              <w:rPr>
                <w:rFonts w:hint="eastAsia" w:asciiTheme="minorEastAsia" w:hAnsiTheme="minorEastAsia"/>
                <w:kern w:val="0"/>
                <w:szCs w:val="21"/>
                <w:highlight w:val="none"/>
                <w:lang w:val="en-US" w:eastAsia="zh-CN"/>
              </w:rPr>
              <w:t>A.</w:t>
            </w:r>
            <w:r>
              <w:rPr>
                <w:rFonts w:hint="eastAsia" w:asciiTheme="minorEastAsia" w:hAnsiTheme="minorEastAsia"/>
                <w:kern w:val="0"/>
                <w:szCs w:val="21"/>
                <w:highlight w:val="none"/>
              </w:rPr>
              <w:t>为贯彻落实《财政部 工业和信息化部关于印发《政府采购促进中小企业发展管理办法》的通知》（财库〔20</w:t>
            </w:r>
            <w:r>
              <w:rPr>
                <w:rFonts w:asciiTheme="minorEastAsia" w:hAnsiTheme="minorEastAsia"/>
                <w:kern w:val="0"/>
                <w:szCs w:val="21"/>
                <w:highlight w:val="none"/>
              </w:rPr>
              <w:t>20</w:t>
            </w:r>
            <w:r>
              <w:rPr>
                <w:rFonts w:hint="eastAsia" w:asciiTheme="minorEastAsia" w:hAnsiTheme="minorEastAsia"/>
                <w:kern w:val="0"/>
                <w:szCs w:val="21"/>
                <w:highlight w:val="none"/>
              </w:rPr>
              <w:t>〕</w:t>
            </w:r>
            <w:r>
              <w:rPr>
                <w:rFonts w:asciiTheme="minorEastAsia" w:hAnsiTheme="minorEastAsia"/>
                <w:kern w:val="0"/>
                <w:szCs w:val="21"/>
                <w:highlight w:val="none"/>
              </w:rPr>
              <w:t>46</w:t>
            </w:r>
            <w:r>
              <w:rPr>
                <w:rFonts w:hint="eastAsia" w:asciiTheme="minorEastAsia" w:hAnsiTheme="minorEastAsia"/>
                <w:kern w:val="0"/>
                <w:szCs w:val="21"/>
                <w:highlight w:val="none"/>
              </w:rPr>
              <w:t>号）</w:t>
            </w:r>
            <w:r>
              <w:rPr>
                <w:rFonts w:hint="eastAsia" w:ascii="Times New Roman" w:hAnsi="Times New Roman" w:eastAsia="宋体"/>
                <w:kern w:val="0"/>
                <w:szCs w:val="21"/>
                <w:highlight w:val="none"/>
              </w:rPr>
              <w:t>和《关于进一步加大政府采购支持中小企业力度的通知》（财库〔2022〕19号）</w:t>
            </w:r>
            <w:r>
              <w:rPr>
                <w:rFonts w:hint="eastAsia" w:asciiTheme="minorEastAsia" w:hAnsiTheme="minorEastAsia"/>
                <w:kern w:val="0"/>
                <w:szCs w:val="21"/>
                <w:highlight w:val="none"/>
              </w:rPr>
              <w:t>，本项目鼓励中小企业参与，供应商若是中小企业，应提交《中小企业声明函》原件。若不能提供，则视为非中小微型企业，价格不予扣除；（声明函格式详见附件）。</w:t>
            </w:r>
          </w:p>
          <w:p>
            <w:pPr>
              <w:numPr>
                <w:ilvl w:val="0"/>
                <w:numId w:val="0"/>
              </w:num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lang w:val="en-US" w:eastAsia="zh-CN"/>
              </w:rPr>
              <w:t>B.</w:t>
            </w:r>
            <w:r>
              <w:rPr>
                <w:rFonts w:hint="eastAsia" w:asciiTheme="minorEastAsia" w:hAnsiTheme="minorEastAsia"/>
                <w:kern w:val="0"/>
                <w:szCs w:val="21"/>
                <w:highlight w:val="none"/>
              </w:rPr>
              <w:t>中小企业划型标准以《工业和信息化部 国家统计局 国家发展和改革委财政部关于印发中小企业划型标准规定的通知》（工信部联企业〔2011〕300号）为依据。其中企业的营业收入、资产总额判定依据为最近一年度的财务审计报告，企业从业人员总数判定依据为缴纳统筹人员总数。</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C.根据《财政部 司法部关于政府采购支持监狱企业发展有关问题的通知》（财库〔201</w:t>
            </w:r>
            <w:r>
              <w:rPr>
                <w:rFonts w:asciiTheme="minorEastAsia" w:hAnsiTheme="minorEastAsia"/>
                <w:kern w:val="0"/>
                <w:szCs w:val="21"/>
                <w:highlight w:val="none"/>
              </w:rPr>
              <w:t>4</w:t>
            </w:r>
            <w:r>
              <w:rPr>
                <w:rFonts w:hint="eastAsia" w:asciiTheme="minorEastAsia" w:hAnsiTheme="minorEastAsia"/>
                <w:kern w:val="0"/>
                <w:szCs w:val="21"/>
                <w:highlight w:val="none"/>
              </w:rPr>
              <w:t>〕68号）规定，本项目支持监狱企业参与政府采购活动。监狱企业参加本项目投标时，须提供由省级以上监狱管理局、戒毒管理局（含新疆生产建设兵团）出具的属于监狱企业的证明文件，视同小型、微型企业。</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D.根据《财政部 民政部 中国残疾人联合会关于关于促进残疾人就业政府采购政策的通知》（财库〔2017〕141号）规定，本项目支持残疾人福利性单位参与政府采购活动，符合条件的残疾人福利性单位参加本项目投标时，应当提供《残疾人福利性单位声明函》，视同小型、微型企业。</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E.招标文件的最终解释权归采购人，其它未尽事宜，按国家有关法律、法规执行</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9.2</w:t>
            </w:r>
          </w:p>
        </w:tc>
        <w:tc>
          <w:tcPr>
            <w:tcW w:w="7278"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rPr>
                <w:rFonts w:hint="eastAsia" w:asciiTheme="minorEastAsia" w:hAnsiTheme="minorEastAsia"/>
                <w:kern w:val="0"/>
                <w:szCs w:val="21"/>
                <w:highlight w:val="none"/>
              </w:rPr>
            </w:pPr>
            <w:r>
              <w:rPr>
                <w:rFonts w:hint="eastAsia" w:asciiTheme="minorEastAsia" w:hAnsiTheme="minorEastAsia"/>
                <w:kern w:val="0"/>
                <w:szCs w:val="21"/>
                <w:highlight w:val="none"/>
              </w:rPr>
              <w:t>付款方式：本合同分三期付款，具体方式如下：</w:t>
            </w:r>
          </w:p>
          <w:p>
            <w:pPr>
              <w:spacing w:line="400" w:lineRule="exact"/>
              <w:rPr>
                <w:rFonts w:hint="eastAsia" w:asciiTheme="minorEastAsia" w:hAnsiTheme="minorEastAsia"/>
                <w:kern w:val="0"/>
                <w:szCs w:val="21"/>
                <w:highlight w:val="none"/>
              </w:rPr>
            </w:pPr>
            <w:r>
              <w:rPr>
                <w:rFonts w:hint="eastAsia" w:asciiTheme="minorEastAsia" w:hAnsiTheme="minorEastAsia"/>
                <w:kern w:val="0"/>
                <w:szCs w:val="21"/>
                <w:highlight w:val="none"/>
              </w:rPr>
              <w:t>1）第1次付款：合同签订并审定方案后，甲方向乙方支付合同总额的</w:t>
            </w:r>
            <w:r>
              <w:rPr>
                <w:rFonts w:hint="default" w:asciiTheme="minorEastAsia" w:hAnsiTheme="minorEastAsia"/>
                <w:kern w:val="0"/>
                <w:szCs w:val="21"/>
                <w:highlight w:val="none"/>
              </w:rPr>
              <w:t>50</w:t>
            </w:r>
            <w:r>
              <w:rPr>
                <w:rFonts w:hint="eastAsia" w:asciiTheme="minorEastAsia" w:hAnsiTheme="minorEastAsia"/>
                <w:kern w:val="0"/>
                <w:szCs w:val="21"/>
                <w:highlight w:val="none"/>
              </w:rPr>
              <w:t>%，即人民币（大写）        元（¥           ）。</w:t>
            </w:r>
          </w:p>
          <w:p>
            <w:pPr>
              <w:spacing w:line="400" w:lineRule="exact"/>
              <w:rPr>
                <w:rFonts w:hint="eastAsia" w:asciiTheme="minorEastAsia" w:hAnsiTheme="minorEastAsia"/>
                <w:kern w:val="0"/>
                <w:szCs w:val="21"/>
                <w:highlight w:val="none"/>
              </w:rPr>
            </w:pPr>
            <w:r>
              <w:rPr>
                <w:rFonts w:hint="eastAsia" w:asciiTheme="minorEastAsia" w:hAnsiTheme="minorEastAsia"/>
                <w:kern w:val="0"/>
                <w:szCs w:val="21"/>
                <w:highlight w:val="none"/>
              </w:rPr>
              <w:t>2）第2次付款：合同主要服务项目完成后，甲方向乙方支付合同总额的</w:t>
            </w:r>
            <w:r>
              <w:rPr>
                <w:rFonts w:hint="default" w:asciiTheme="minorEastAsia" w:hAnsiTheme="minorEastAsia"/>
                <w:kern w:val="0"/>
                <w:szCs w:val="21"/>
                <w:highlight w:val="none"/>
              </w:rPr>
              <w:t>25</w:t>
            </w:r>
            <w:r>
              <w:rPr>
                <w:rFonts w:hint="eastAsia" w:asciiTheme="minorEastAsia" w:hAnsiTheme="minorEastAsia"/>
                <w:kern w:val="0"/>
                <w:szCs w:val="21"/>
                <w:highlight w:val="none"/>
              </w:rPr>
              <w:t>%，即人民币（大写）        元（¥           ）。</w:t>
            </w:r>
          </w:p>
          <w:p>
            <w:pPr>
              <w:spacing w:line="400" w:lineRule="exact"/>
              <w:rPr>
                <w:rFonts w:hint="eastAsia" w:asciiTheme="minorEastAsia" w:hAnsiTheme="minorEastAsia"/>
                <w:kern w:val="0"/>
                <w:szCs w:val="21"/>
                <w:highlight w:val="none"/>
              </w:rPr>
            </w:pPr>
            <w:r>
              <w:rPr>
                <w:rFonts w:hint="eastAsia" w:asciiTheme="minorEastAsia" w:hAnsiTheme="minorEastAsia"/>
                <w:kern w:val="0"/>
                <w:szCs w:val="21"/>
                <w:highlight w:val="none"/>
              </w:rPr>
              <w:t>3）第3次付款：活动全面结束，乙方清场且经甲方验收合格后，甲方向乙方支付剩余合同总额2</w:t>
            </w:r>
            <w:r>
              <w:rPr>
                <w:rFonts w:hint="default" w:asciiTheme="minorEastAsia" w:hAnsiTheme="minorEastAsia"/>
                <w:kern w:val="0"/>
                <w:szCs w:val="21"/>
                <w:highlight w:val="none"/>
              </w:rPr>
              <w:t>5</w:t>
            </w:r>
            <w:r>
              <w:rPr>
                <w:rFonts w:hint="eastAsia" w:asciiTheme="minorEastAsia" w:hAnsiTheme="minorEastAsia"/>
                <w:kern w:val="0"/>
                <w:szCs w:val="21"/>
                <w:highlight w:val="none"/>
              </w:rPr>
              <w:t xml:space="preserve">%的款项，即人民币（大写）        元（¥           ）。  </w:t>
            </w:r>
          </w:p>
          <w:p>
            <w:pPr>
              <w:spacing w:line="400" w:lineRule="exact"/>
              <w:rPr>
                <w:rFonts w:hint="eastAsia" w:asciiTheme="minorEastAsia" w:hAnsiTheme="minorEastAsia"/>
                <w:kern w:val="0"/>
                <w:szCs w:val="21"/>
                <w:highlight w:val="none"/>
              </w:rPr>
            </w:pPr>
            <w:r>
              <w:rPr>
                <w:rFonts w:hint="eastAsia" w:asciiTheme="minorEastAsia" w:hAnsiTheme="minorEastAsia"/>
                <w:kern w:val="0"/>
                <w:szCs w:val="21"/>
                <w:highlight w:val="none"/>
              </w:rPr>
              <w:t>甲方每次付款给乙方前，乙方将向甲方开具等额正规发票，且该发票均应在约定付款的最后期限前5日提交给甲方。</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以上所约定费用由甲方以转账的方式支付给乙方在本合同中的指定账户。乙方应在约定的付款条件成就后，向甲方提供政府财务报账所需要的等额正规发票、凭证等手续和资料。甲方收到乙方提供的付款申请、发票，并确认本合同约定的付款条件成就且收到财政部门拨付的经费、完成付款审批流程后支付每期款项，否则甲方有权顺延付款且无需承担违约责任。</w:t>
            </w:r>
          </w:p>
        </w:tc>
      </w:tr>
      <w:tr>
        <w:tblPrEx>
          <w:tblCellMar>
            <w:top w:w="0" w:type="dxa"/>
            <w:left w:w="108" w:type="dxa"/>
            <w:bottom w:w="0" w:type="dxa"/>
            <w:right w:w="108" w:type="dxa"/>
          </w:tblCellMar>
        </w:tblPrEx>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hint="eastAsia" w:asciiTheme="minorEastAsia" w:hAnsiTheme="minorEastAsia"/>
                <w:kern w:val="0"/>
                <w:szCs w:val="21"/>
                <w:highlight w:val="none"/>
              </w:rPr>
              <w:t>9.3</w:t>
            </w:r>
          </w:p>
        </w:tc>
        <w:tc>
          <w:tcPr>
            <w:tcW w:w="7278"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代理服务费：</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（1）根据国家发展改革委关于进一步放开建设项目专业服务价格的通知发改价格[2015] 299号文件的规定,本次招标代理服务费按预算价的1.5%由中标人向采购代理机构交纳代理服务费。</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（2）招标代理服务费的缴纳方式：中标人在领取中标通知书时，按招标文件的要求一次性向采购代理机构缴纳招标代理服务费。</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单位名称：河南省伟信招标管理咨询有限公司</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开   户  行：中国民生银行郑州商都路支行</w:t>
            </w:r>
          </w:p>
          <w:p>
            <w:pPr>
              <w:spacing w:line="400" w:lineRule="exact"/>
              <w:rPr>
                <w:rFonts w:asciiTheme="minorEastAsia" w:hAnsiTheme="minorEastAsia"/>
                <w:kern w:val="0"/>
                <w:szCs w:val="21"/>
                <w:highlight w:val="none"/>
              </w:rPr>
            </w:pPr>
            <w:r>
              <w:rPr>
                <w:rFonts w:hint="eastAsia" w:asciiTheme="minorEastAsia" w:hAnsiTheme="minorEastAsia"/>
                <w:kern w:val="0"/>
                <w:szCs w:val="21"/>
                <w:highlight w:val="none"/>
              </w:rPr>
              <w:t>银行账号：3005 0141 7000 0033</w:t>
            </w:r>
          </w:p>
        </w:tc>
      </w:tr>
      <w:tr>
        <w:tblPrEx>
          <w:tblCellMar>
            <w:top w:w="0" w:type="dxa"/>
            <w:left w:w="108" w:type="dxa"/>
            <w:bottom w:w="0" w:type="dxa"/>
            <w:right w:w="108" w:type="dxa"/>
          </w:tblCellMar>
        </w:tblPrEx>
        <w:trPr>
          <w:trHeight w:val="416" w:hRule="atLeast"/>
        </w:trPr>
        <w:tc>
          <w:tcPr>
            <w:tcW w:w="1038" w:type="dxa"/>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w:t>
            </w:r>
          </w:p>
        </w:tc>
        <w:tc>
          <w:tcPr>
            <w:tcW w:w="7278" w:type="dxa"/>
            <w:gridSpan w:val="2"/>
            <w:tcBorders>
              <w:top w:val="single" w:color="000000" w:sz="4" w:space="0"/>
              <w:left w:val="single" w:color="000000" w:sz="4" w:space="0"/>
              <w:bottom w:val="single" w:color="000000" w:sz="4" w:space="0"/>
              <w:right w:val="single" w:color="000000" w:sz="4" w:space="0"/>
            </w:tcBorders>
            <w:vAlign w:val="center"/>
          </w:tcPr>
          <w:p>
            <w:pPr>
              <w:spacing w:line="400" w:lineRule="exact"/>
              <w:jc w:val="center"/>
              <w:rPr>
                <w:rFonts w:asciiTheme="minorEastAsia" w:hAnsiTheme="minorEastAsia"/>
                <w:kern w:val="0"/>
                <w:szCs w:val="21"/>
                <w:highlight w:val="none"/>
              </w:rPr>
            </w:pPr>
            <w:r>
              <w:rPr>
                <w:rFonts w:asciiTheme="minorEastAsia" w:hAnsiTheme="minorEastAsia"/>
                <w:kern w:val="0"/>
                <w:szCs w:val="21"/>
                <w:highlight w:val="none"/>
              </w:rPr>
              <w:t>……</w:t>
            </w:r>
          </w:p>
        </w:tc>
      </w:tr>
    </w:tbl>
    <w:p>
      <w:pPr>
        <w:pStyle w:val="18"/>
        <w:rPr>
          <w:highlight w:val="none"/>
        </w:rPr>
      </w:pPr>
    </w:p>
    <w:p>
      <w:pPr>
        <w:pStyle w:val="18"/>
        <w:rPr>
          <w:highlight w:val="none"/>
        </w:rPr>
      </w:pPr>
    </w:p>
    <w:p>
      <w:pPr>
        <w:widowControl/>
        <w:jc w:val="left"/>
        <w:rPr>
          <w:rFonts w:asciiTheme="minorEastAsia" w:hAnsiTheme="minorEastAsia" w:cstheme="majorBidi"/>
          <w:b/>
          <w:bCs/>
          <w:kern w:val="28"/>
          <w:sz w:val="28"/>
          <w:szCs w:val="32"/>
          <w:highlight w:val="none"/>
        </w:rPr>
      </w:pPr>
      <w:r>
        <w:rPr>
          <w:rFonts w:asciiTheme="minorEastAsia" w:hAnsiTheme="minorEastAsia"/>
          <w:sz w:val="28"/>
          <w:highlight w:val="none"/>
        </w:rPr>
        <w:br w:type="page"/>
      </w:r>
    </w:p>
    <w:p>
      <w:pPr>
        <w:pStyle w:val="24"/>
        <w:rPr>
          <w:rFonts w:asciiTheme="minorEastAsia" w:hAnsiTheme="minorEastAsia" w:eastAsiaTheme="minorEastAsia"/>
          <w:sz w:val="28"/>
          <w:highlight w:val="none"/>
        </w:rPr>
      </w:pPr>
      <w:bookmarkStart w:id="7" w:name="_Toc26722"/>
      <w:r>
        <w:rPr>
          <w:rFonts w:hint="eastAsia" w:asciiTheme="minorEastAsia" w:hAnsiTheme="minorEastAsia" w:eastAsiaTheme="minorEastAsia"/>
          <w:sz w:val="28"/>
          <w:highlight w:val="none"/>
        </w:rPr>
        <w:t>投标人须知</w:t>
      </w:r>
      <w:bookmarkEnd w:id="7"/>
    </w:p>
    <w:p>
      <w:pPr>
        <w:pStyle w:val="10"/>
        <w:spacing w:before="0" w:after="0" w:line="360" w:lineRule="auto"/>
        <w:rPr>
          <w:rFonts w:hint="eastAsia"/>
          <w:sz w:val="24"/>
          <w:highlight w:val="none"/>
        </w:rPr>
      </w:pPr>
      <w:bookmarkStart w:id="8" w:name="_Toc758"/>
      <w:r>
        <w:rPr>
          <w:rFonts w:hint="eastAsia"/>
          <w:sz w:val="24"/>
          <w:highlight w:val="none"/>
        </w:rPr>
        <w:t>1. 总则</w:t>
      </w:r>
      <w:bookmarkEnd w:id="8"/>
    </w:p>
    <w:p>
      <w:pPr>
        <w:pStyle w:val="11"/>
        <w:spacing w:before="0" w:after="0" w:line="360" w:lineRule="auto"/>
        <w:rPr>
          <w:rFonts w:asciiTheme="minorEastAsia" w:hAnsiTheme="minorEastAsia" w:eastAsiaTheme="minorEastAsia"/>
          <w:sz w:val="21"/>
          <w:highlight w:val="none"/>
        </w:rPr>
      </w:pPr>
      <w:r>
        <w:rPr>
          <w:rFonts w:hint="eastAsia" w:asciiTheme="minorEastAsia" w:hAnsiTheme="minorEastAsia" w:eastAsiaTheme="minorEastAsia"/>
          <w:sz w:val="21"/>
          <w:highlight w:val="none"/>
        </w:rPr>
        <w:t>1.1 项目概况</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1.1.1采购人：见投标人须知前附表。</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1.1.2采购代理机构：见投标人须知前附表。</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1.1.3项目名称：见投标人须知前附表。</w:t>
      </w:r>
    </w:p>
    <w:p>
      <w:pPr>
        <w:pStyle w:val="11"/>
        <w:spacing w:before="0" w:after="0" w:line="360" w:lineRule="auto"/>
        <w:rPr>
          <w:rFonts w:asciiTheme="minorEastAsia" w:hAnsiTheme="minorEastAsia" w:eastAsiaTheme="minorEastAsia"/>
          <w:sz w:val="21"/>
          <w:highlight w:val="none"/>
        </w:rPr>
      </w:pPr>
      <w:r>
        <w:rPr>
          <w:rFonts w:hint="eastAsia" w:asciiTheme="minorEastAsia" w:hAnsiTheme="minorEastAsia" w:eastAsiaTheme="minorEastAsia"/>
          <w:sz w:val="21"/>
          <w:highlight w:val="none"/>
        </w:rPr>
        <w:t>1.2 预算金额和资金来源</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1.2.1预算金额：见投标人须知前附表。</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1.2.2 资金来源：见投标人须知前附表。</w:t>
      </w:r>
    </w:p>
    <w:p>
      <w:pPr>
        <w:pStyle w:val="11"/>
        <w:spacing w:before="0" w:after="0" w:line="360" w:lineRule="auto"/>
        <w:rPr>
          <w:sz w:val="21"/>
          <w:highlight w:val="none"/>
        </w:rPr>
      </w:pPr>
      <w:r>
        <w:rPr>
          <w:rFonts w:hint="eastAsia"/>
          <w:sz w:val="21"/>
          <w:highlight w:val="none"/>
        </w:rPr>
        <w:t>1.3 采购需求、</w:t>
      </w:r>
      <w:r>
        <w:rPr>
          <w:rFonts w:hint="eastAsia"/>
          <w:sz w:val="21"/>
          <w:highlight w:val="none"/>
          <w:lang w:eastAsia="zh-CN"/>
        </w:rPr>
        <w:t>服务期限</w:t>
      </w:r>
      <w:r>
        <w:rPr>
          <w:rFonts w:hint="eastAsia"/>
          <w:sz w:val="21"/>
          <w:highlight w:val="none"/>
        </w:rPr>
        <w:t>、质量要求</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1.3.1采购需求：见投标人须知前附表。</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 xml:space="preserve">1.3.2 </w:t>
      </w:r>
      <w:r>
        <w:rPr>
          <w:rFonts w:hint="eastAsia" w:asciiTheme="minorEastAsia" w:hAnsiTheme="minorEastAsia"/>
          <w:highlight w:val="none"/>
          <w:lang w:eastAsia="zh-CN"/>
        </w:rPr>
        <w:t>服务期限</w:t>
      </w:r>
      <w:r>
        <w:rPr>
          <w:rFonts w:hint="eastAsia" w:asciiTheme="minorEastAsia" w:hAnsiTheme="minorEastAsia"/>
          <w:highlight w:val="none"/>
        </w:rPr>
        <w:t>：见投标人须知前附表。</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1.3.</w:t>
      </w:r>
      <w:r>
        <w:rPr>
          <w:rFonts w:hint="eastAsia" w:asciiTheme="minorEastAsia" w:hAnsiTheme="minorEastAsia"/>
          <w:highlight w:val="none"/>
          <w:lang w:val="en-US" w:eastAsia="zh-CN"/>
        </w:rPr>
        <w:t>3</w:t>
      </w:r>
      <w:r>
        <w:rPr>
          <w:rFonts w:hint="eastAsia" w:asciiTheme="minorEastAsia" w:hAnsiTheme="minorEastAsia"/>
          <w:highlight w:val="none"/>
        </w:rPr>
        <w:t xml:space="preserve"> 质量要求：见投标人须知前附表。</w:t>
      </w:r>
    </w:p>
    <w:p>
      <w:pPr>
        <w:pStyle w:val="11"/>
        <w:spacing w:before="0" w:after="0" w:line="360" w:lineRule="auto"/>
        <w:rPr>
          <w:sz w:val="21"/>
          <w:highlight w:val="none"/>
        </w:rPr>
      </w:pPr>
      <w:r>
        <w:rPr>
          <w:rFonts w:hint="eastAsia"/>
          <w:sz w:val="21"/>
          <w:highlight w:val="none"/>
        </w:rPr>
        <w:t>1.4 投标人资格要求</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1.4.1 投标人应具备的资格要求见投标人须知前附表：需要提交的相关证明材料见本章第 3.5 款的规定。</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1.4.2 是否接受联合体见</w:t>
      </w:r>
      <w:r>
        <w:rPr>
          <w:rFonts w:hint="eastAsia" w:asciiTheme="minorEastAsia" w:hAnsiTheme="minorEastAsia"/>
          <w:highlight w:val="none"/>
          <w:lang w:eastAsia="zh-CN"/>
        </w:rPr>
        <w:t>投标</w:t>
      </w:r>
      <w:r>
        <w:rPr>
          <w:rFonts w:hint="eastAsia" w:asciiTheme="minorEastAsia" w:hAnsiTheme="minorEastAsia"/>
          <w:highlight w:val="none"/>
        </w:rPr>
        <w:t>人须知前附表规定。</w:t>
      </w:r>
    </w:p>
    <w:p>
      <w:pPr>
        <w:pStyle w:val="11"/>
        <w:spacing w:before="0" w:after="0" w:line="360" w:lineRule="auto"/>
        <w:rPr>
          <w:sz w:val="21"/>
          <w:highlight w:val="none"/>
        </w:rPr>
      </w:pPr>
      <w:r>
        <w:rPr>
          <w:rFonts w:hint="eastAsia"/>
          <w:sz w:val="21"/>
          <w:highlight w:val="none"/>
        </w:rPr>
        <w:t>1.5 费用承担</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投标人准备和参加投标活动发生的费用自理。</w:t>
      </w:r>
    </w:p>
    <w:p>
      <w:pPr>
        <w:pStyle w:val="11"/>
        <w:spacing w:before="0" w:after="0" w:line="360" w:lineRule="auto"/>
        <w:rPr>
          <w:sz w:val="21"/>
          <w:highlight w:val="none"/>
        </w:rPr>
      </w:pPr>
      <w:r>
        <w:rPr>
          <w:rFonts w:hint="eastAsia"/>
          <w:sz w:val="21"/>
          <w:highlight w:val="none"/>
        </w:rPr>
        <w:t>1.6 保密</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参与招标投标活动的各方应对招标文件和投标文件中的商业和技术等秘密保密，否则应承担相应的法律责任。</w:t>
      </w:r>
    </w:p>
    <w:p>
      <w:pPr>
        <w:pStyle w:val="11"/>
        <w:spacing w:before="0" w:after="0" w:line="360" w:lineRule="auto"/>
        <w:rPr>
          <w:sz w:val="21"/>
          <w:highlight w:val="none"/>
        </w:rPr>
      </w:pPr>
      <w:r>
        <w:rPr>
          <w:rFonts w:hint="eastAsia"/>
          <w:sz w:val="21"/>
          <w:highlight w:val="none"/>
        </w:rPr>
        <w:t>1.7 语言文字</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招标投标文件使用的语言文字为中文。专用术语使用外文的，应附有中文注释。</w:t>
      </w:r>
    </w:p>
    <w:p>
      <w:pPr>
        <w:pStyle w:val="11"/>
        <w:spacing w:before="0" w:after="0" w:line="360" w:lineRule="auto"/>
        <w:rPr>
          <w:sz w:val="21"/>
          <w:highlight w:val="none"/>
        </w:rPr>
      </w:pPr>
      <w:r>
        <w:rPr>
          <w:rFonts w:hint="eastAsia"/>
          <w:sz w:val="21"/>
          <w:highlight w:val="none"/>
        </w:rPr>
        <w:t>1.8 计量单位</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所有计量均采用中华人民共和国法定计量单位。</w:t>
      </w:r>
    </w:p>
    <w:p>
      <w:pPr>
        <w:pStyle w:val="11"/>
        <w:spacing w:before="0" w:after="0" w:line="360" w:lineRule="auto"/>
        <w:rPr>
          <w:sz w:val="21"/>
          <w:highlight w:val="none"/>
        </w:rPr>
      </w:pPr>
      <w:r>
        <w:rPr>
          <w:rFonts w:hint="eastAsia"/>
          <w:sz w:val="21"/>
          <w:highlight w:val="none"/>
        </w:rPr>
        <w:t>1.9 现场踏勘</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投标人须知前附表规定潜在投标人现场踏勘的，采购人或者采购代理机构人按“投标人须知前附表”规定的时间、地点组织投标人踏勘项目现场。</w:t>
      </w:r>
    </w:p>
    <w:p>
      <w:pPr>
        <w:pStyle w:val="11"/>
        <w:spacing w:before="0" w:after="0" w:line="360" w:lineRule="auto"/>
        <w:rPr>
          <w:sz w:val="21"/>
          <w:highlight w:val="none"/>
        </w:rPr>
      </w:pPr>
      <w:r>
        <w:rPr>
          <w:rFonts w:hint="eastAsia"/>
          <w:sz w:val="21"/>
          <w:highlight w:val="none"/>
        </w:rPr>
        <w:t>1.10 分包</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投标人根据投标人须知前附表的规定和采购项目的实际情况，拟在中标后将中标项目的非主体、非关键性工作分包的，应当在投标文件中载明分包承担主体，分包承担主体应当具备相应资质条件且不得再次分包及对分包项目承担责任。</w:t>
      </w:r>
    </w:p>
    <w:p>
      <w:pPr>
        <w:pStyle w:val="11"/>
        <w:spacing w:before="0" w:after="0" w:line="360" w:lineRule="auto"/>
        <w:rPr>
          <w:sz w:val="21"/>
          <w:highlight w:val="none"/>
        </w:rPr>
      </w:pPr>
      <w:r>
        <w:rPr>
          <w:rFonts w:hint="eastAsia"/>
          <w:sz w:val="21"/>
          <w:highlight w:val="none"/>
        </w:rPr>
        <w:t>1.11 响应和偏差</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1.11.1 投标文件应当对招标文件的实质性要求和条件做出满足性或更有利于采购人的响应，否则，投标人的投标将被否决。实质性要求和条件见投标人须知前附表。</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1.11.2 投标人应根据招标文件的要求提供商务、技术等内容以对招标文件作出响应。</w:t>
      </w:r>
    </w:p>
    <w:p>
      <w:pPr>
        <w:pStyle w:val="10"/>
        <w:spacing w:before="0" w:after="0" w:line="360" w:lineRule="auto"/>
        <w:rPr>
          <w:rFonts w:hint="eastAsia"/>
          <w:sz w:val="24"/>
          <w:highlight w:val="none"/>
        </w:rPr>
      </w:pPr>
      <w:bookmarkStart w:id="9" w:name="_Toc4788"/>
      <w:r>
        <w:rPr>
          <w:rFonts w:hint="eastAsia"/>
          <w:sz w:val="24"/>
          <w:highlight w:val="none"/>
        </w:rPr>
        <w:t>2. 招标文件</w:t>
      </w:r>
      <w:bookmarkEnd w:id="9"/>
    </w:p>
    <w:p>
      <w:pPr>
        <w:pStyle w:val="11"/>
        <w:spacing w:before="0" w:after="0" w:line="360" w:lineRule="auto"/>
        <w:rPr>
          <w:sz w:val="21"/>
          <w:highlight w:val="none"/>
        </w:rPr>
      </w:pPr>
      <w:r>
        <w:rPr>
          <w:rFonts w:hint="eastAsia"/>
          <w:sz w:val="21"/>
          <w:highlight w:val="none"/>
        </w:rPr>
        <w:t>2.1 招标文件的组成</w:t>
      </w:r>
    </w:p>
    <w:p>
      <w:pPr>
        <w:tabs>
          <w:tab w:val="left" w:pos="266"/>
        </w:tabs>
        <w:spacing w:line="360" w:lineRule="auto"/>
        <w:ind w:firstLine="424" w:firstLineChars="202"/>
        <w:rPr>
          <w:rFonts w:asciiTheme="minorEastAsia" w:hAnsiTheme="minorEastAsia"/>
          <w:highlight w:val="none"/>
        </w:rPr>
      </w:pPr>
      <w:r>
        <w:rPr>
          <w:rFonts w:hint="eastAsia" w:asciiTheme="minorEastAsia" w:hAnsiTheme="minorEastAsia"/>
          <w:highlight w:val="none"/>
        </w:rPr>
        <w:t>本招标文件包括：</w:t>
      </w:r>
    </w:p>
    <w:p>
      <w:pPr>
        <w:tabs>
          <w:tab w:val="left" w:pos="266"/>
        </w:tabs>
        <w:spacing w:line="360" w:lineRule="auto"/>
        <w:ind w:firstLine="424" w:firstLineChars="202"/>
        <w:rPr>
          <w:rFonts w:asciiTheme="minorEastAsia" w:hAnsiTheme="minorEastAsia"/>
          <w:highlight w:val="none"/>
        </w:rPr>
      </w:pPr>
      <w:r>
        <w:rPr>
          <w:rFonts w:hint="eastAsia" w:asciiTheme="minorEastAsia" w:hAnsiTheme="minorEastAsia"/>
          <w:highlight w:val="none"/>
        </w:rPr>
        <w:t>（1）招标公告；</w:t>
      </w:r>
    </w:p>
    <w:p>
      <w:pPr>
        <w:tabs>
          <w:tab w:val="left" w:pos="266"/>
        </w:tabs>
        <w:spacing w:line="360" w:lineRule="auto"/>
        <w:ind w:firstLine="424" w:firstLineChars="202"/>
        <w:rPr>
          <w:rFonts w:asciiTheme="minorEastAsia" w:hAnsiTheme="minorEastAsia"/>
          <w:highlight w:val="none"/>
        </w:rPr>
      </w:pPr>
      <w:r>
        <w:rPr>
          <w:rFonts w:hint="eastAsia" w:asciiTheme="minorEastAsia" w:hAnsiTheme="minorEastAsia"/>
          <w:highlight w:val="none"/>
        </w:rPr>
        <w:t>（2）投标人须知；</w:t>
      </w:r>
    </w:p>
    <w:p>
      <w:pPr>
        <w:tabs>
          <w:tab w:val="left" w:pos="266"/>
        </w:tabs>
        <w:spacing w:line="360" w:lineRule="auto"/>
        <w:ind w:firstLine="424" w:firstLineChars="202"/>
        <w:rPr>
          <w:rFonts w:asciiTheme="minorEastAsia" w:hAnsiTheme="minorEastAsia"/>
          <w:highlight w:val="none"/>
        </w:rPr>
      </w:pPr>
      <w:r>
        <w:rPr>
          <w:rFonts w:hint="eastAsia" w:asciiTheme="minorEastAsia" w:hAnsiTheme="minorEastAsia"/>
          <w:highlight w:val="none"/>
        </w:rPr>
        <w:t>（3）评标方法和标准；</w:t>
      </w:r>
    </w:p>
    <w:p>
      <w:pPr>
        <w:tabs>
          <w:tab w:val="left" w:pos="266"/>
        </w:tabs>
        <w:spacing w:line="360" w:lineRule="auto"/>
        <w:ind w:firstLine="424" w:firstLineChars="202"/>
        <w:rPr>
          <w:rFonts w:asciiTheme="minorEastAsia" w:hAnsiTheme="minorEastAsia"/>
          <w:highlight w:val="none"/>
        </w:rPr>
      </w:pPr>
      <w:r>
        <w:rPr>
          <w:rFonts w:hint="eastAsia" w:asciiTheme="minorEastAsia" w:hAnsiTheme="minorEastAsia"/>
          <w:highlight w:val="none"/>
        </w:rPr>
        <w:t>（4）合同格式；</w:t>
      </w:r>
    </w:p>
    <w:p>
      <w:pPr>
        <w:tabs>
          <w:tab w:val="left" w:pos="266"/>
        </w:tabs>
        <w:spacing w:line="360" w:lineRule="auto"/>
        <w:ind w:firstLine="424" w:firstLineChars="202"/>
        <w:rPr>
          <w:rFonts w:asciiTheme="minorEastAsia" w:hAnsiTheme="minorEastAsia"/>
          <w:highlight w:val="none"/>
        </w:rPr>
      </w:pPr>
      <w:r>
        <w:rPr>
          <w:rFonts w:hint="eastAsia" w:asciiTheme="minorEastAsia" w:hAnsiTheme="minorEastAsia"/>
          <w:highlight w:val="none"/>
        </w:rPr>
        <w:t>（5）投标文件格式；</w:t>
      </w:r>
    </w:p>
    <w:p>
      <w:pPr>
        <w:tabs>
          <w:tab w:val="left" w:pos="266"/>
        </w:tabs>
        <w:spacing w:line="360" w:lineRule="auto"/>
        <w:ind w:firstLine="424" w:firstLineChars="202"/>
        <w:rPr>
          <w:rFonts w:asciiTheme="minorEastAsia" w:hAnsiTheme="minorEastAsia"/>
          <w:highlight w:val="none"/>
        </w:rPr>
      </w:pPr>
      <w:r>
        <w:rPr>
          <w:rFonts w:hint="eastAsia" w:asciiTheme="minorEastAsia" w:hAnsiTheme="minorEastAsia"/>
          <w:highlight w:val="none"/>
        </w:rPr>
        <w:t>（6）采购需求；</w:t>
      </w:r>
    </w:p>
    <w:p>
      <w:pPr>
        <w:tabs>
          <w:tab w:val="left" w:pos="266"/>
        </w:tabs>
        <w:spacing w:line="360" w:lineRule="auto"/>
        <w:ind w:firstLine="424" w:firstLineChars="202"/>
        <w:rPr>
          <w:rFonts w:asciiTheme="minorEastAsia" w:hAnsiTheme="minorEastAsia"/>
          <w:highlight w:val="none"/>
        </w:rPr>
      </w:pPr>
      <w:r>
        <w:rPr>
          <w:rFonts w:hint="eastAsia" w:asciiTheme="minorEastAsia" w:hAnsiTheme="minorEastAsia"/>
          <w:highlight w:val="none"/>
        </w:rPr>
        <w:t>（7）投标人须知前附表规定的其他资料。</w:t>
      </w:r>
    </w:p>
    <w:p>
      <w:pPr>
        <w:tabs>
          <w:tab w:val="left" w:pos="266"/>
        </w:tabs>
        <w:spacing w:line="360" w:lineRule="auto"/>
        <w:ind w:firstLine="424" w:firstLineChars="202"/>
        <w:rPr>
          <w:rFonts w:asciiTheme="minorEastAsia" w:hAnsiTheme="minorEastAsia"/>
          <w:highlight w:val="none"/>
        </w:rPr>
      </w:pPr>
      <w:r>
        <w:rPr>
          <w:rFonts w:hint="eastAsia" w:asciiTheme="minorEastAsia" w:hAnsiTheme="minorEastAsia"/>
          <w:highlight w:val="none"/>
        </w:rPr>
        <w:t>根据本章第 2.2 款和第 2.3 款对招标文件所做的澄清、修改，构成招标文件的组成部分。</w:t>
      </w:r>
    </w:p>
    <w:p>
      <w:pPr>
        <w:pStyle w:val="11"/>
        <w:spacing w:before="0" w:after="0" w:line="360" w:lineRule="auto"/>
        <w:rPr>
          <w:sz w:val="21"/>
          <w:highlight w:val="none"/>
        </w:rPr>
      </w:pPr>
      <w:r>
        <w:rPr>
          <w:rFonts w:hint="eastAsia"/>
          <w:sz w:val="21"/>
          <w:highlight w:val="none"/>
        </w:rPr>
        <w:t>2.2 招标文件的澄清</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2.2.1 投标人应仔细阅读和检查招标文件的全部内容。如有疑问，应按投标人须知前附表规定的时间和形式送达采购人，要求</w:t>
      </w:r>
      <w:r>
        <w:rPr>
          <w:rFonts w:hint="eastAsia" w:ascii="Times New Roman" w:hAnsi="Times New Roman" w:eastAsia="宋体"/>
          <w:highlight w:val="none"/>
        </w:rPr>
        <w:t>采购人或采购代理机构</w:t>
      </w:r>
      <w:r>
        <w:rPr>
          <w:rFonts w:hint="eastAsia" w:asciiTheme="minorEastAsia" w:hAnsiTheme="minorEastAsia"/>
          <w:highlight w:val="none"/>
        </w:rPr>
        <w:t>对招标文件予以澄清。</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2.2.2 招标文件的澄清以投标人须知前附表规定的形式通知所有领取招标文件的投标人，但不指明澄清问题的来源。澄清发出的时间距本章第 4.2.1 项规定的投标截止时间不足 15 日的，并且澄清内容可能影响投标文件编制的，</w:t>
      </w:r>
      <w:r>
        <w:rPr>
          <w:rFonts w:hint="eastAsia" w:ascii="Times New Roman" w:hAnsi="Times New Roman" w:eastAsia="宋体"/>
          <w:highlight w:val="none"/>
        </w:rPr>
        <w:t>采购人、采购代理机构</w:t>
      </w:r>
      <w:r>
        <w:rPr>
          <w:rFonts w:hint="eastAsia" w:asciiTheme="minorEastAsia" w:hAnsiTheme="minorEastAsia"/>
          <w:highlight w:val="none"/>
        </w:rPr>
        <w:t>将相应延长投标截止时间。</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2.2.3澄清内容是招标文件的组成部分，澄清内容在电子交易平台发布，视作已送达所有投标人，并对投标人具有约束力。</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 xml:space="preserve">2.2.4 </w:t>
      </w:r>
      <w:r>
        <w:rPr>
          <w:rFonts w:hint="eastAsia" w:ascii="Times New Roman" w:hAnsi="Times New Roman" w:eastAsia="宋体"/>
          <w:highlight w:val="none"/>
        </w:rPr>
        <w:t>除非采购人认为确有必要答复，否则，采购人有权拒绝回复投标人在本章第2.2.1项规定的时间后的任何澄清要求</w:t>
      </w:r>
      <w:r>
        <w:rPr>
          <w:rFonts w:hint="eastAsia" w:asciiTheme="minorEastAsia" w:hAnsiTheme="minorEastAsia"/>
          <w:highlight w:val="none"/>
        </w:rPr>
        <w:t>。</w:t>
      </w:r>
    </w:p>
    <w:p>
      <w:pPr>
        <w:pStyle w:val="11"/>
        <w:spacing w:before="0" w:after="0" w:line="360" w:lineRule="auto"/>
        <w:rPr>
          <w:sz w:val="21"/>
          <w:highlight w:val="none"/>
        </w:rPr>
      </w:pPr>
      <w:r>
        <w:rPr>
          <w:rFonts w:hint="eastAsia"/>
          <w:sz w:val="21"/>
          <w:highlight w:val="none"/>
        </w:rPr>
        <w:t>2.3 招标文件的修改</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2.3.1招标文件的修改以投标人须知前附表规定的形式通知所有已领取招标文件的投标人。修改招标文件的时间距本章第 4.2.1 项规定的投标截止时间不足 15 日的，并且修改内容可能影响投标文件编制的，</w:t>
      </w:r>
      <w:r>
        <w:rPr>
          <w:rFonts w:hint="eastAsia" w:ascii="Times New Roman" w:hAnsi="Times New Roman" w:eastAsia="宋体"/>
          <w:highlight w:val="none"/>
        </w:rPr>
        <w:t>采购人、采购代理机构</w:t>
      </w:r>
      <w:r>
        <w:rPr>
          <w:rFonts w:hint="eastAsia" w:asciiTheme="minorEastAsia" w:hAnsiTheme="minorEastAsia"/>
          <w:highlight w:val="none"/>
        </w:rPr>
        <w:t>将相应延长投标截止时间。</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2.3.2 修改内容是招标文件的组成部分，修改内容在电子交易平台发布，视作已送达所有投标人，并对投标人具有约束力。</w:t>
      </w:r>
    </w:p>
    <w:p>
      <w:pPr>
        <w:pStyle w:val="10"/>
        <w:spacing w:before="0" w:after="0" w:line="360" w:lineRule="auto"/>
        <w:rPr>
          <w:rFonts w:hint="eastAsia"/>
          <w:sz w:val="24"/>
          <w:highlight w:val="none"/>
        </w:rPr>
      </w:pPr>
      <w:bookmarkStart w:id="10" w:name="_Toc27579"/>
      <w:r>
        <w:rPr>
          <w:rFonts w:hint="eastAsia"/>
          <w:sz w:val="24"/>
          <w:highlight w:val="none"/>
        </w:rPr>
        <w:t>3. 投标文件</w:t>
      </w:r>
      <w:bookmarkEnd w:id="10"/>
    </w:p>
    <w:p>
      <w:pPr>
        <w:pStyle w:val="11"/>
        <w:spacing w:before="0" w:after="0" w:line="360" w:lineRule="auto"/>
        <w:rPr>
          <w:sz w:val="21"/>
          <w:szCs w:val="21"/>
          <w:highlight w:val="none"/>
        </w:rPr>
      </w:pPr>
      <w:r>
        <w:rPr>
          <w:rFonts w:hint="eastAsia"/>
          <w:sz w:val="21"/>
          <w:szCs w:val="21"/>
          <w:highlight w:val="none"/>
        </w:rPr>
        <w:t>3.1 投标文件的组成</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投标文件应包括下列内容：</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（1）资格审查证明材料；</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（2）商务、技术文件；</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（3）投标人在评标过程中作出的符合法律法规和招标文件规定的澄清确认，构成投标文件的组成部分。</w:t>
      </w:r>
    </w:p>
    <w:p>
      <w:pPr>
        <w:pStyle w:val="11"/>
        <w:spacing w:before="0" w:after="0" w:line="360" w:lineRule="auto"/>
        <w:rPr>
          <w:sz w:val="21"/>
          <w:highlight w:val="none"/>
        </w:rPr>
      </w:pPr>
      <w:r>
        <w:rPr>
          <w:rFonts w:hint="eastAsia"/>
          <w:sz w:val="21"/>
          <w:highlight w:val="none"/>
        </w:rPr>
        <w:t>3.2 投标报价</w:t>
      </w:r>
    </w:p>
    <w:p>
      <w:pPr>
        <w:spacing w:line="360" w:lineRule="auto"/>
        <w:ind w:firstLine="424" w:firstLineChars="202"/>
        <w:rPr>
          <w:rFonts w:asciiTheme="minorEastAsia" w:hAnsiTheme="minorEastAsia"/>
          <w:highlight w:val="none"/>
        </w:rPr>
      </w:pPr>
      <w:bookmarkStart w:id="11" w:name="_Hlk66354647"/>
      <w:r>
        <w:rPr>
          <w:rFonts w:hint="eastAsia" w:asciiTheme="minorEastAsia" w:hAnsiTheme="minorEastAsia"/>
          <w:highlight w:val="none"/>
        </w:rPr>
        <w:t>3.2.1投标人应按照招标文件提供的投标报价表格式填写投标报价。</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3.2.2投标总报价应是指满足采购需求所需的全部费用。未填入报价项目评标委员会可以认定为已包含在总报价，也可能做出对投标人不利的判断，后果由投标人自行承担。</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3.2.3投标报价应完全包括招标文件规定的全部服务范围，不得任意分割或合并所规定的分项。</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3.2.</w:t>
      </w:r>
      <w:r>
        <w:rPr>
          <w:rFonts w:asciiTheme="minorEastAsia" w:hAnsiTheme="minorEastAsia"/>
          <w:highlight w:val="none"/>
        </w:rPr>
        <w:t>4</w:t>
      </w:r>
      <w:r>
        <w:rPr>
          <w:rFonts w:hint="eastAsia" w:asciiTheme="minorEastAsia" w:hAnsiTheme="minorEastAsia"/>
          <w:highlight w:val="none"/>
        </w:rPr>
        <w:t>只允许有一个报价，采购人和采购代理机构不接受有任何选择报价的投标。</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3.2.</w:t>
      </w:r>
      <w:r>
        <w:rPr>
          <w:rFonts w:asciiTheme="minorEastAsia" w:hAnsiTheme="minorEastAsia"/>
          <w:highlight w:val="none"/>
        </w:rPr>
        <w:t>5</w:t>
      </w:r>
      <w:r>
        <w:rPr>
          <w:rFonts w:hint="eastAsia" w:asciiTheme="minorEastAsia" w:hAnsiTheme="minorEastAsia"/>
          <w:highlight w:val="none"/>
        </w:rPr>
        <w:t>投标人不得以任何理由在开标后对投标报价予以修改，报价在投标有效期内是固定的，不因任何原因而改变。任何包含价格调整要求和条件的投标，将被视为非实质性响应投标而予以拒绝。最低投标报价并不意味着一定中标。</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3.2.</w:t>
      </w:r>
      <w:r>
        <w:rPr>
          <w:rFonts w:asciiTheme="minorEastAsia" w:hAnsiTheme="minorEastAsia"/>
          <w:highlight w:val="none"/>
        </w:rPr>
        <w:t>6</w:t>
      </w:r>
      <w:r>
        <w:rPr>
          <w:rFonts w:hint="eastAsia" w:asciiTheme="minorEastAsia" w:hAnsiTheme="minorEastAsia"/>
          <w:highlight w:val="none"/>
        </w:rPr>
        <w:t xml:space="preserve"> 采购人设有最高投标限价的，投标人的投标报价不得超过最高投标限价，最高投标限价在投标人须知前附表中载明。</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3.2.</w:t>
      </w:r>
      <w:r>
        <w:rPr>
          <w:rFonts w:asciiTheme="minorEastAsia" w:hAnsiTheme="minorEastAsia"/>
          <w:highlight w:val="none"/>
        </w:rPr>
        <w:t>7</w:t>
      </w:r>
      <w:r>
        <w:rPr>
          <w:rFonts w:hint="eastAsia" w:asciiTheme="minorEastAsia" w:hAnsiTheme="minorEastAsia"/>
          <w:highlight w:val="none"/>
        </w:rPr>
        <w:t>投标报价的其他要求见投标人须知前附表。</w:t>
      </w:r>
    </w:p>
    <w:bookmarkEnd w:id="11"/>
    <w:p>
      <w:pPr>
        <w:pStyle w:val="11"/>
        <w:spacing w:before="0" w:after="0" w:line="360" w:lineRule="auto"/>
        <w:rPr>
          <w:sz w:val="21"/>
          <w:highlight w:val="none"/>
        </w:rPr>
      </w:pPr>
      <w:r>
        <w:rPr>
          <w:rFonts w:hint="eastAsia"/>
          <w:sz w:val="21"/>
          <w:highlight w:val="none"/>
        </w:rPr>
        <w:t>3.3 投标有效期</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3.3.1 投标有效期要求见投标人须知前附表。</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3.3.2投标有效期从提交投标文件的截止之日起算。投标文件中承诺的投标有效期应当不少于招标文件中载明的投标有效期。投标有效期内投标人撤销投标文件的，投标文件无效。</w:t>
      </w:r>
    </w:p>
    <w:p>
      <w:pPr>
        <w:pStyle w:val="11"/>
        <w:spacing w:before="0" w:after="0" w:line="360" w:lineRule="auto"/>
        <w:rPr>
          <w:sz w:val="21"/>
          <w:highlight w:val="none"/>
        </w:rPr>
      </w:pPr>
      <w:r>
        <w:rPr>
          <w:rFonts w:hint="eastAsia"/>
          <w:sz w:val="21"/>
          <w:highlight w:val="none"/>
        </w:rPr>
        <w:t>3.4 投标保证金</w:t>
      </w:r>
    </w:p>
    <w:p>
      <w:pPr>
        <w:spacing w:line="360" w:lineRule="auto"/>
        <w:ind w:firstLine="424" w:firstLineChars="202"/>
        <w:rPr>
          <w:rFonts w:asciiTheme="minorEastAsia" w:hAnsiTheme="minorEastAsia"/>
          <w:highlight w:val="none"/>
        </w:rPr>
      </w:pPr>
      <w:r>
        <w:rPr>
          <w:rFonts w:hint="eastAsia"/>
          <w:highlight w:val="none"/>
        </w:rPr>
        <w:t>根据《河南省财政厅关于优化政府采购营商环境有关问题的通知》</w:t>
      </w:r>
      <w:r>
        <w:rPr>
          <w:rFonts w:hint="eastAsia" w:asciiTheme="minorEastAsia" w:hAnsiTheme="minorEastAsia"/>
          <w:kern w:val="0"/>
          <w:szCs w:val="21"/>
          <w:highlight w:val="none"/>
        </w:rPr>
        <w:t>（豫财购〔201</w:t>
      </w:r>
      <w:r>
        <w:rPr>
          <w:rFonts w:asciiTheme="minorEastAsia" w:hAnsiTheme="minorEastAsia"/>
          <w:kern w:val="0"/>
          <w:szCs w:val="21"/>
          <w:highlight w:val="none"/>
        </w:rPr>
        <w:t>9</w:t>
      </w:r>
      <w:r>
        <w:rPr>
          <w:rFonts w:hint="eastAsia" w:asciiTheme="minorEastAsia" w:hAnsiTheme="minorEastAsia"/>
          <w:kern w:val="0"/>
          <w:szCs w:val="21"/>
          <w:highlight w:val="none"/>
        </w:rPr>
        <w:t>〕4号）</w:t>
      </w:r>
      <w:r>
        <w:rPr>
          <w:highlight w:val="none"/>
        </w:rPr>
        <w:t>文件之规定，本项目不再要求投标人提交投标保证金</w:t>
      </w:r>
      <w:bookmarkStart w:id="12" w:name="_Hlk66355967"/>
      <w:r>
        <w:rPr>
          <w:rFonts w:hint="eastAsia"/>
          <w:highlight w:val="none"/>
        </w:rPr>
        <w:t>，</w:t>
      </w:r>
      <w:r>
        <w:rPr>
          <w:rFonts w:hint="eastAsia" w:asciiTheme="minorEastAsia" w:hAnsiTheme="minorEastAsia"/>
          <w:kern w:val="0"/>
          <w:szCs w:val="21"/>
          <w:highlight w:val="none"/>
        </w:rPr>
        <w:t>需提供投标承诺函及采购代理服务费承诺函</w:t>
      </w:r>
      <w:r>
        <w:rPr>
          <w:rFonts w:hint="eastAsia" w:asciiTheme="minorEastAsia" w:hAnsiTheme="minorEastAsia"/>
          <w:highlight w:val="none"/>
        </w:rPr>
        <w:t>。</w:t>
      </w:r>
    </w:p>
    <w:bookmarkEnd w:id="12"/>
    <w:p>
      <w:pPr>
        <w:pStyle w:val="11"/>
        <w:spacing w:before="0" w:after="0" w:line="360" w:lineRule="auto"/>
        <w:rPr>
          <w:sz w:val="21"/>
          <w:highlight w:val="none"/>
        </w:rPr>
      </w:pPr>
      <w:r>
        <w:rPr>
          <w:rFonts w:hint="eastAsia"/>
          <w:sz w:val="21"/>
          <w:highlight w:val="none"/>
        </w:rPr>
        <w:t>3.5 资格审查资料</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除投标人须知前附表另有规定外，投标人应按规定提供资格审查资料，以证明其满足本章第1.4.1款要求。</w:t>
      </w:r>
    </w:p>
    <w:p>
      <w:pPr>
        <w:pStyle w:val="11"/>
        <w:spacing w:before="0" w:after="0" w:line="360" w:lineRule="auto"/>
        <w:rPr>
          <w:sz w:val="21"/>
          <w:highlight w:val="none"/>
        </w:rPr>
      </w:pPr>
      <w:r>
        <w:rPr>
          <w:rFonts w:hint="eastAsia"/>
          <w:sz w:val="21"/>
          <w:highlight w:val="none"/>
        </w:rPr>
        <w:t>3.6 备选投标方案</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除投标人须知前附表规定允许外，投标人不得递交备选投标方案，否则其投标将被否决。</w:t>
      </w:r>
    </w:p>
    <w:p>
      <w:pPr>
        <w:pStyle w:val="11"/>
        <w:spacing w:before="0" w:after="0" w:line="360" w:lineRule="auto"/>
        <w:rPr>
          <w:sz w:val="21"/>
          <w:highlight w:val="none"/>
        </w:rPr>
      </w:pPr>
      <w:r>
        <w:rPr>
          <w:rFonts w:hint="eastAsia"/>
          <w:sz w:val="21"/>
          <w:highlight w:val="none"/>
        </w:rPr>
        <w:t>3.7 投标文件的编制</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3.7.1 投标文件应按第五章“投标文件格式”进行编写，如有必要，可以增加附页，作为投标文件的组成部分。</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3.7.2 投标文件应当对招标文件</w:t>
      </w:r>
      <w:r>
        <w:rPr>
          <w:rFonts w:hint="eastAsia" w:asciiTheme="minorEastAsia" w:hAnsiTheme="minorEastAsia"/>
          <w:highlight w:val="none"/>
          <w:lang w:eastAsia="zh-CN"/>
        </w:rPr>
        <w:t>服务期限</w:t>
      </w:r>
      <w:r>
        <w:rPr>
          <w:rFonts w:hint="eastAsia" w:asciiTheme="minorEastAsia" w:hAnsiTheme="minorEastAsia"/>
          <w:highlight w:val="none"/>
        </w:rPr>
        <w:t>、投标有效期、招标范围等实质性内容作出响应。投标文件在满足招标文件实质性要求的基础上，可以提出比招标文件要求更有利于采购人的承诺。</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3.7.3投标文件全部采用电子文档，除投标人须知前附表另有规定外，投标文件所附证书证件均为原件扫描件或复印件，并采用单位和个人数字证书，按招标文件要求在相应位置加盖电子印章。由投标人的法定代表人（单位负责人）签字或加盖电子印章的，应附法定代表人（单位负责人）身份证明，由代理人签字或加盖电子印章的，应附由法定代表人（单位负责人）签署的授权委托书。签字或盖章的具体要求见投标人须知前附表。</w:t>
      </w:r>
    </w:p>
    <w:p>
      <w:pPr>
        <w:pStyle w:val="10"/>
        <w:spacing w:before="0" w:after="0" w:line="360" w:lineRule="auto"/>
        <w:rPr>
          <w:rFonts w:hint="eastAsia"/>
          <w:sz w:val="24"/>
          <w:highlight w:val="none"/>
        </w:rPr>
      </w:pPr>
      <w:bookmarkStart w:id="13" w:name="_Toc5071"/>
      <w:r>
        <w:rPr>
          <w:rFonts w:hint="eastAsia"/>
          <w:sz w:val="24"/>
          <w:highlight w:val="none"/>
        </w:rPr>
        <w:t>4. 投标</w:t>
      </w:r>
      <w:bookmarkEnd w:id="13"/>
    </w:p>
    <w:p>
      <w:pPr>
        <w:pStyle w:val="11"/>
        <w:spacing w:before="0" w:after="0" w:line="360" w:lineRule="auto"/>
        <w:rPr>
          <w:sz w:val="21"/>
          <w:highlight w:val="none"/>
        </w:rPr>
      </w:pPr>
      <w:r>
        <w:rPr>
          <w:rFonts w:hint="eastAsia"/>
          <w:sz w:val="21"/>
          <w:highlight w:val="none"/>
        </w:rPr>
        <w:t>4.1 投标文件的加密和标记</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4.1.1投标人应当按照招标文件和电子招标投标交易平台的要求加密投标文件，具体要求见投标人须知前附表。</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4.1.2 未按本章第 4.1.1 项要求加密的投标文件，采购人将予以拒收。</w:t>
      </w:r>
    </w:p>
    <w:p>
      <w:pPr>
        <w:pStyle w:val="11"/>
        <w:spacing w:before="0" w:after="0" w:line="360" w:lineRule="auto"/>
        <w:rPr>
          <w:sz w:val="21"/>
          <w:highlight w:val="none"/>
        </w:rPr>
      </w:pPr>
      <w:r>
        <w:rPr>
          <w:rFonts w:hint="eastAsia"/>
          <w:sz w:val="21"/>
          <w:highlight w:val="none"/>
        </w:rPr>
        <w:t>4.2 投标文件的上传</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4.2.1 投标人应在投标人须知前附表规定的投标截止时间前上传投标文件。</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4.2.2投标人通过下载招标文件的电子招标投标交易平台上传电子投标文件。</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4.2.3 逾期上传的投标文件，电子招标投标交易平台将予以拒收。</w:t>
      </w:r>
    </w:p>
    <w:p>
      <w:pPr>
        <w:pStyle w:val="11"/>
        <w:spacing w:before="0" w:after="0" w:line="360" w:lineRule="auto"/>
        <w:rPr>
          <w:sz w:val="21"/>
          <w:highlight w:val="none"/>
        </w:rPr>
      </w:pPr>
      <w:r>
        <w:rPr>
          <w:rFonts w:hint="eastAsia"/>
          <w:sz w:val="21"/>
          <w:highlight w:val="none"/>
        </w:rPr>
        <w:t>4.3 投标文件的修改与撤回</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4.3.1 在本章第 4.2.1 项规定的投标截止时间前，投标人可以修改或撤回已上传的投标文件，但应在交易平台线上通知采购人。</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4.3.2投标人修改或撤回已递交投标文件的通知，应按照本章第 3.7.3项的要求加盖电子印章。</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4.3.3 修改的内容为投标文件的组成部分。修改的投标文件应按照本章第 3 条、第 4 条的规定进行编制、密封（加密）、标记和递交，并标明“修改”字样。</w:t>
      </w:r>
    </w:p>
    <w:p>
      <w:pPr>
        <w:pStyle w:val="10"/>
        <w:spacing w:before="0" w:after="0" w:line="360" w:lineRule="auto"/>
        <w:rPr>
          <w:rFonts w:hint="eastAsia"/>
          <w:sz w:val="24"/>
          <w:highlight w:val="none"/>
        </w:rPr>
      </w:pPr>
      <w:bookmarkStart w:id="14" w:name="_Toc24136"/>
      <w:r>
        <w:rPr>
          <w:rFonts w:hint="eastAsia"/>
          <w:sz w:val="24"/>
          <w:highlight w:val="none"/>
        </w:rPr>
        <w:t>5. 开标</w:t>
      </w:r>
      <w:bookmarkEnd w:id="14"/>
    </w:p>
    <w:p>
      <w:pPr>
        <w:pStyle w:val="11"/>
        <w:spacing w:before="0" w:after="0" w:line="360" w:lineRule="auto"/>
        <w:rPr>
          <w:sz w:val="21"/>
          <w:highlight w:val="none"/>
        </w:rPr>
      </w:pPr>
      <w:r>
        <w:rPr>
          <w:rFonts w:hint="eastAsia"/>
          <w:sz w:val="21"/>
          <w:highlight w:val="none"/>
        </w:rPr>
        <w:t>5.1 开标时间</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采购人在本章第 4.2.1 项规定的投标截止时间（开标时间），通过电子招标投标交易平台公开开标，所有投标人的法定代表人（单位负责人）或其委托代理人应当准时参加开标。</w:t>
      </w:r>
    </w:p>
    <w:p>
      <w:pPr>
        <w:pStyle w:val="11"/>
        <w:spacing w:before="0" w:after="0" w:line="490" w:lineRule="exact"/>
        <w:rPr>
          <w:rFonts w:ascii="Times New Roman" w:hAnsi="Times New Roman" w:eastAsia="宋体"/>
          <w:sz w:val="21"/>
          <w:highlight w:val="none"/>
        </w:rPr>
      </w:pPr>
      <w:r>
        <w:rPr>
          <w:rFonts w:hint="eastAsia"/>
          <w:sz w:val="21"/>
          <w:highlight w:val="none"/>
        </w:rPr>
        <w:t xml:space="preserve">5.2 </w:t>
      </w:r>
      <w:r>
        <w:rPr>
          <w:rFonts w:hint="eastAsia" w:ascii="Times New Roman" w:hAnsi="Times New Roman" w:eastAsia="宋体"/>
          <w:sz w:val="21"/>
          <w:highlight w:val="none"/>
        </w:rPr>
        <w:t>远程开标</w:t>
      </w:r>
    </w:p>
    <w:p>
      <w:pPr>
        <w:spacing w:line="490" w:lineRule="exact"/>
        <w:ind w:firstLine="424" w:firstLineChars="202"/>
        <w:rPr>
          <w:rFonts w:ascii="Times New Roman" w:hAnsi="Times New Roman" w:eastAsia="宋体"/>
          <w:highlight w:val="none"/>
        </w:rPr>
      </w:pPr>
      <w:bookmarkStart w:id="15" w:name="_Hlk135040142"/>
      <w:r>
        <w:rPr>
          <w:rFonts w:hint="eastAsia" w:ascii="Times New Roman" w:hAnsi="Times New Roman" w:eastAsia="宋体"/>
          <w:highlight w:val="none"/>
        </w:rPr>
        <w:t>5.2.1供应商无需到郑州市交易中心现场参加开标会议，开标采用“远程不见面”开标方式，开标大厅的网址：</w:t>
      </w:r>
      <w:r>
        <w:rPr>
          <w:rFonts w:hint="eastAsia" w:ascii="Times New Roman" w:hAnsi="Times New Roman" w:eastAsia="宋体"/>
          <w:sz w:val="24"/>
          <w:highlight w:val="none"/>
        </w:rPr>
        <w:t>https://zzggzy.zhengzhou.gov.cn/BidOpening/</w:t>
      </w:r>
      <w:r>
        <w:rPr>
          <w:rFonts w:hint="eastAsia" w:ascii="Times New Roman" w:hAnsi="Times New Roman" w:eastAsia="宋体"/>
          <w:highlight w:val="none"/>
        </w:rPr>
        <w:t>。供应商须在招标文件确定的投标文件提交截止时间前，登录远程开标大厅，在线准时参加开标活动，并在规定的时间内进行文件解密、答疑澄清等。</w:t>
      </w:r>
    </w:p>
    <w:p>
      <w:pPr>
        <w:spacing w:line="490" w:lineRule="exact"/>
        <w:ind w:firstLine="424" w:firstLineChars="202"/>
        <w:rPr>
          <w:rFonts w:asciiTheme="minorEastAsia" w:hAnsiTheme="minorEastAsia"/>
          <w:highlight w:val="none"/>
        </w:rPr>
      </w:pPr>
      <w:r>
        <w:rPr>
          <w:rFonts w:hint="eastAsia" w:ascii="Times New Roman" w:hAnsi="Times New Roman" w:eastAsia="宋体"/>
          <w:highlight w:val="none"/>
        </w:rPr>
        <w:t>5.2.2因供应商加密电子</w:t>
      </w:r>
      <w:r>
        <w:rPr>
          <w:rFonts w:hint="eastAsia" w:ascii="Times New Roman" w:hAnsi="Times New Roman" w:eastAsia="宋体"/>
          <w:highlight w:val="none"/>
          <w:lang w:val="en-US" w:eastAsia="zh-CN"/>
        </w:rPr>
        <w:t>投标</w:t>
      </w:r>
      <w:r>
        <w:rPr>
          <w:rFonts w:hint="eastAsia" w:ascii="Times New Roman" w:hAnsi="Times New Roman" w:eastAsia="宋体"/>
          <w:highlight w:val="none"/>
        </w:rPr>
        <w:t>文件未能成功上传或误传而导致的解密失败，投标将被拒绝。</w:t>
      </w:r>
      <w:bookmarkEnd w:id="15"/>
    </w:p>
    <w:p>
      <w:pPr>
        <w:pStyle w:val="11"/>
        <w:spacing w:before="0" w:after="0" w:line="360" w:lineRule="auto"/>
        <w:rPr>
          <w:sz w:val="21"/>
          <w:highlight w:val="none"/>
        </w:rPr>
      </w:pPr>
      <w:r>
        <w:rPr>
          <w:rFonts w:hint="eastAsia"/>
          <w:sz w:val="21"/>
          <w:highlight w:val="none"/>
        </w:rPr>
        <w:t>5.3 开标</w:t>
      </w:r>
      <w:r>
        <w:rPr>
          <w:rFonts w:hint="eastAsia"/>
          <w:sz w:val="21"/>
          <w:highlight w:val="none"/>
          <w:lang w:eastAsia="zh-CN"/>
        </w:rPr>
        <w:t>疑义</w:t>
      </w:r>
    </w:p>
    <w:p>
      <w:pPr>
        <w:spacing w:line="360" w:lineRule="auto"/>
        <w:ind w:firstLine="424" w:firstLineChars="202"/>
        <w:rPr>
          <w:highlight w:val="none"/>
        </w:rPr>
      </w:pPr>
      <w:r>
        <w:rPr>
          <w:rFonts w:hint="eastAsia"/>
          <w:highlight w:val="none"/>
        </w:rPr>
        <w:t>投标人代表对开标过程和开标记录有疑义，应当通过交易平台提出</w:t>
      </w:r>
      <w:r>
        <w:rPr>
          <w:rFonts w:hint="eastAsia" w:asciiTheme="minorEastAsia" w:hAnsiTheme="minorEastAsia"/>
          <w:highlight w:val="none"/>
        </w:rPr>
        <w:t>。</w:t>
      </w:r>
      <w:r>
        <w:rPr>
          <w:rFonts w:hint="eastAsia"/>
          <w:highlight w:val="none"/>
        </w:rPr>
        <w:t>投标人未参加开标的，视同认可开标结果。</w:t>
      </w:r>
    </w:p>
    <w:p>
      <w:pPr>
        <w:pStyle w:val="11"/>
        <w:spacing w:before="0" w:after="0"/>
        <w:rPr>
          <w:sz w:val="21"/>
          <w:highlight w:val="none"/>
        </w:rPr>
      </w:pPr>
      <w:r>
        <w:rPr>
          <w:rFonts w:hint="eastAsia"/>
          <w:sz w:val="21"/>
          <w:highlight w:val="none"/>
        </w:rPr>
        <w:t>5.4 资格审查</w:t>
      </w:r>
    </w:p>
    <w:p>
      <w:pPr>
        <w:spacing w:line="360" w:lineRule="auto"/>
        <w:rPr>
          <w:rFonts w:asciiTheme="minorEastAsia" w:hAnsiTheme="minorEastAsia"/>
          <w:highlight w:val="none"/>
        </w:rPr>
      </w:pPr>
      <w:r>
        <w:rPr>
          <w:rFonts w:hint="eastAsia" w:asciiTheme="minorEastAsia" w:hAnsiTheme="minorEastAsia"/>
          <w:highlight w:val="none"/>
        </w:rPr>
        <w:t xml:space="preserve">    5.4.1公开招标采购项目开标结束后，采购人或者采购代理机构将依法对投标人的资格进行审查。 </w:t>
      </w:r>
    </w:p>
    <w:p>
      <w:pPr>
        <w:spacing w:line="360" w:lineRule="auto"/>
        <w:ind w:firstLine="420" w:firstLineChars="200"/>
        <w:rPr>
          <w:rFonts w:asciiTheme="minorEastAsia" w:hAnsiTheme="minorEastAsia"/>
          <w:highlight w:val="none"/>
        </w:rPr>
      </w:pPr>
      <w:r>
        <w:rPr>
          <w:rFonts w:hint="eastAsia" w:asciiTheme="minorEastAsia" w:hAnsiTheme="minorEastAsia"/>
          <w:highlight w:val="none"/>
        </w:rPr>
        <w:t>5.4.2资格审查内容及标准</w:t>
      </w:r>
    </w:p>
    <w:p>
      <w:pPr>
        <w:spacing w:line="360" w:lineRule="auto"/>
        <w:ind w:firstLine="420" w:firstLineChars="200"/>
        <w:rPr>
          <w:rFonts w:asciiTheme="minorEastAsia" w:hAnsiTheme="minorEastAsia"/>
          <w:highlight w:val="none"/>
        </w:rPr>
      </w:pPr>
      <w:r>
        <w:rPr>
          <w:rFonts w:hint="eastAsia" w:asciiTheme="minorEastAsia" w:hAnsiTheme="minorEastAsia"/>
          <w:highlight w:val="none"/>
        </w:rPr>
        <w:t xml:space="preserve">（1）资格性检查指依据法律法规和招标文件的规定，对投标文件中的资格证明材料进行审查，以确定投标人是否具备投标资格。 </w:t>
      </w:r>
    </w:p>
    <w:p>
      <w:pPr>
        <w:spacing w:line="360" w:lineRule="auto"/>
        <w:ind w:firstLine="420" w:firstLineChars="200"/>
        <w:rPr>
          <w:rFonts w:asciiTheme="minorEastAsia" w:hAnsiTheme="minorEastAsia"/>
          <w:highlight w:val="none"/>
        </w:rPr>
      </w:pPr>
      <w:r>
        <w:rPr>
          <w:rFonts w:hint="eastAsia" w:asciiTheme="minorEastAsia" w:hAnsiTheme="minorEastAsia"/>
          <w:highlight w:val="none"/>
        </w:rPr>
        <w:t xml:space="preserve">（2）投标人须在投标文件中按招标文件要求提供资格证明材料，投标人若没有提供资格证明材料或资格证明材料不全的，其投标将被拒绝，不能进入评标。 </w:t>
      </w:r>
    </w:p>
    <w:p>
      <w:pPr>
        <w:spacing w:line="360" w:lineRule="auto"/>
        <w:rPr>
          <w:rFonts w:asciiTheme="minorEastAsia" w:hAnsiTheme="minorEastAsia"/>
          <w:highlight w:val="none"/>
        </w:rPr>
      </w:pPr>
      <w:r>
        <w:rPr>
          <w:rFonts w:hint="eastAsia" w:asciiTheme="minorEastAsia" w:hAnsiTheme="minorEastAsia"/>
          <w:highlight w:val="none"/>
        </w:rPr>
        <w:t xml:space="preserve">     5.4.3采购人或者采购代理机构对投标人的资格进行审查后，将书面记录资格审查结果并提交给评标委员会，未通过资格审查的投标人，不进入评标程序。合格投标人不足3家的，不得评标。</w:t>
      </w:r>
    </w:p>
    <w:p>
      <w:pPr>
        <w:pStyle w:val="10"/>
        <w:spacing w:before="0" w:after="0" w:line="360" w:lineRule="auto"/>
        <w:rPr>
          <w:rFonts w:hint="eastAsia"/>
          <w:sz w:val="24"/>
          <w:highlight w:val="none"/>
        </w:rPr>
      </w:pPr>
      <w:bookmarkStart w:id="16" w:name="_Toc25135"/>
      <w:r>
        <w:rPr>
          <w:rFonts w:hint="eastAsia"/>
          <w:sz w:val="24"/>
          <w:highlight w:val="none"/>
        </w:rPr>
        <w:t>6. 评标</w:t>
      </w:r>
      <w:bookmarkEnd w:id="16"/>
    </w:p>
    <w:p>
      <w:pPr>
        <w:pStyle w:val="11"/>
        <w:spacing w:before="0" w:after="0" w:line="360" w:lineRule="auto"/>
        <w:rPr>
          <w:sz w:val="21"/>
          <w:highlight w:val="none"/>
        </w:rPr>
      </w:pPr>
      <w:r>
        <w:rPr>
          <w:rFonts w:hint="eastAsia"/>
          <w:sz w:val="21"/>
          <w:highlight w:val="none"/>
        </w:rPr>
        <w:t>6.1 评标委员会</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6.1.1评标由采购人依法组建的评标委员会负责。评标委员会由采购人，以及有关技术、经济等方面的专家组成。评标委员会成员人数以及技术、经济等方面专家的确定方式见投标人须知前附表。</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6.1.2 评标委员会成员有下列情形之一的，应当回避：</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（1）投标人或投标人主要负责人的近亲属；</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（2）项目主管部门或者行政监督部门的人员；</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（3）与投标人有经济利益关系，可能影响对投标公正评审的；</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（4）曾因在招标、评标以及其他与招标投标有关活动中从事违法行为而受过行政处罚或刑事处罚的；</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（5）与投标人有其他利害关系。</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6.1.3 评标过程中，评标委员会成员有回避事由、擅离职守或者因健康等原因不能继续评标的，采购人有权更换。被更换的评标委员会成员作出的评审结论无效，由更换后的评标委员会成员重新进行评审。</w:t>
      </w:r>
    </w:p>
    <w:p>
      <w:pPr>
        <w:pStyle w:val="11"/>
        <w:spacing w:before="0" w:after="0" w:line="360" w:lineRule="auto"/>
        <w:rPr>
          <w:sz w:val="21"/>
          <w:highlight w:val="none"/>
        </w:rPr>
      </w:pPr>
      <w:r>
        <w:rPr>
          <w:rFonts w:hint="eastAsia"/>
          <w:sz w:val="21"/>
          <w:highlight w:val="none"/>
        </w:rPr>
        <w:t>6.2 评标原则</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评标委员会应当按照客观、公正、审慎的原则，根据招标文件规定的评审程序、评审方法和评审标准进行独立评审。</w:t>
      </w:r>
    </w:p>
    <w:p>
      <w:pPr>
        <w:pStyle w:val="11"/>
        <w:spacing w:before="0" w:after="0" w:line="360" w:lineRule="auto"/>
        <w:rPr>
          <w:sz w:val="21"/>
          <w:highlight w:val="none"/>
        </w:rPr>
      </w:pPr>
      <w:r>
        <w:rPr>
          <w:rFonts w:hint="eastAsia"/>
          <w:sz w:val="21"/>
          <w:highlight w:val="none"/>
        </w:rPr>
        <w:t>6.3 评标</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6.3.1 评标委员会按照第三章“评标方法和标准”规定的方法、评审因素、标准和程序对投标文件进行评审。第三章“</w:t>
      </w:r>
      <w:bookmarkStart w:id="17" w:name="_Hlk66356190"/>
      <w:r>
        <w:rPr>
          <w:rFonts w:hint="eastAsia" w:asciiTheme="minorEastAsia" w:hAnsiTheme="minorEastAsia"/>
          <w:highlight w:val="none"/>
        </w:rPr>
        <w:t>评标方法和标准</w:t>
      </w:r>
      <w:bookmarkEnd w:id="17"/>
      <w:r>
        <w:rPr>
          <w:rFonts w:hint="eastAsia" w:asciiTheme="minorEastAsia" w:hAnsiTheme="minorEastAsia"/>
          <w:highlight w:val="none"/>
        </w:rPr>
        <w:t>”没有规定的方法、评审因素和标准，不作为评审依据。</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6.3.2 符合性审查</w:t>
      </w:r>
    </w:p>
    <w:p>
      <w:pPr>
        <w:spacing w:line="360" w:lineRule="auto"/>
        <w:ind w:firstLine="424" w:firstLineChars="202"/>
        <w:rPr>
          <w:rFonts w:asciiTheme="minorEastAsia" w:hAnsiTheme="minorEastAsia"/>
          <w:highlight w:val="none"/>
        </w:rPr>
      </w:pPr>
      <w:r>
        <w:rPr>
          <w:rFonts w:hint="eastAsia"/>
          <w:highlight w:val="none"/>
        </w:rPr>
        <w:t>评标委员会应当对符合资格的投标人的投标文件进行符合性审查，以确定其是否满足招标文件的实质性要求。</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6.3.3投标文件的澄清</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在评标期间，评标委员会将以书面形式要求投标人对其投标文件中含义不明确、对同类问题表述不一致或者有明显文字和计算错误的内容，以及评标委员会认为投标人的报价明显低于其他通过符合性审查投标人的报价，有可能影响履约的情况做必要的澄清、说明或补正。投标人的澄清、说明或补正应在评标委员会规定的时间内以书面方式进行，并不得超出投标文件范围或者改变投标文件的实质性内容。投标人的澄清、说明或补正将作为投标文件的一部分。</w:t>
      </w:r>
    </w:p>
    <w:p>
      <w:pPr>
        <w:spacing w:line="360" w:lineRule="auto"/>
        <w:ind w:firstLine="424" w:firstLineChars="202"/>
        <w:rPr>
          <w:rFonts w:ascii="宋体" w:hAnsi="宋体"/>
          <w:highlight w:val="none"/>
        </w:rPr>
      </w:pPr>
      <w:r>
        <w:rPr>
          <w:rFonts w:hint="eastAsia" w:asciiTheme="minorEastAsia" w:hAnsiTheme="minorEastAsia"/>
          <w:highlight w:val="none"/>
        </w:rPr>
        <w:t xml:space="preserve">6.3.4 </w:t>
      </w:r>
      <w:r>
        <w:rPr>
          <w:rFonts w:hint="eastAsia" w:ascii="宋体" w:hAnsi="宋体"/>
          <w:highlight w:val="none"/>
        </w:rPr>
        <w:t>一个分包（标段）内包含多种产品的，采购人或采购代理机构将在投标须知前附表中载明核心产品。投标人提供的核心产品中若有一个核心产品的品牌相同，相关投标人将被认定为属于提供相同品牌产品。</w:t>
      </w:r>
    </w:p>
    <w:p>
      <w:pPr>
        <w:spacing w:line="360" w:lineRule="auto"/>
        <w:ind w:firstLine="420" w:firstLineChars="200"/>
        <w:rPr>
          <w:rFonts w:ascii="宋体" w:hAnsi="宋体"/>
          <w:highlight w:val="none"/>
        </w:rPr>
      </w:pPr>
      <w:r>
        <w:rPr>
          <w:rFonts w:hint="eastAsia" w:ascii="宋体" w:hAnsi="宋体"/>
          <w:highlight w:val="none"/>
        </w:rPr>
        <w:t>提供相同品牌产品且通过资格审查、符合性审查的不同投标人，按一家投标人计算，评审后得分最高的同品牌投标人获得</w:t>
      </w:r>
      <w:r>
        <w:rPr>
          <w:rFonts w:hint="eastAsia" w:ascii="宋体" w:hAnsi="宋体"/>
          <w:highlight w:val="none"/>
          <w:lang w:eastAsia="zh-CN"/>
        </w:rPr>
        <w:t>中标人</w:t>
      </w:r>
      <w:r>
        <w:rPr>
          <w:rFonts w:hint="eastAsia" w:ascii="宋体" w:hAnsi="宋体"/>
          <w:highlight w:val="none"/>
        </w:rPr>
        <w:t>推荐资格；评审得分相同的，由采购人或者采购人委托评标委员会按照招标文件中评标方法和标准规定的方式确定一个投标人获得</w:t>
      </w:r>
      <w:r>
        <w:rPr>
          <w:rFonts w:hint="eastAsia" w:ascii="宋体" w:hAnsi="宋体"/>
          <w:highlight w:val="none"/>
          <w:lang w:eastAsia="zh-CN"/>
        </w:rPr>
        <w:t>中标人</w:t>
      </w:r>
      <w:r>
        <w:rPr>
          <w:rFonts w:hint="eastAsia" w:ascii="宋体" w:hAnsi="宋体"/>
          <w:highlight w:val="none"/>
        </w:rPr>
        <w:t>推荐资格；未规定的采取随机抽取方式确定，其他同品牌投标人不作为中标候选人。</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6.3.5 评标完成后，评标委员会应当向采购人提交书面评标报告和中标候选人名单。评标委员会推荐中标候选人数量见投标人须知前附表。</w:t>
      </w:r>
    </w:p>
    <w:p>
      <w:pPr>
        <w:pStyle w:val="11"/>
        <w:spacing w:before="0" w:after="0"/>
        <w:rPr>
          <w:sz w:val="21"/>
          <w:highlight w:val="none"/>
        </w:rPr>
      </w:pPr>
      <w:r>
        <w:rPr>
          <w:rFonts w:hint="eastAsia"/>
          <w:sz w:val="21"/>
          <w:highlight w:val="none"/>
        </w:rPr>
        <w:t>6.4 投标无效</w:t>
      </w:r>
    </w:p>
    <w:p>
      <w:pPr>
        <w:spacing w:line="360" w:lineRule="auto"/>
        <w:ind w:firstLine="315" w:firstLineChars="150"/>
        <w:rPr>
          <w:highlight w:val="none"/>
        </w:rPr>
      </w:pPr>
      <w:r>
        <w:rPr>
          <w:rFonts w:hint="eastAsia"/>
          <w:highlight w:val="none"/>
        </w:rPr>
        <w:t>如发现下列情况之一的，其投标将被认定为投标无效：</w:t>
      </w:r>
    </w:p>
    <w:p>
      <w:pPr>
        <w:numPr>
          <w:ilvl w:val="0"/>
          <w:numId w:val="4"/>
        </w:numPr>
        <w:spacing w:line="360" w:lineRule="auto"/>
        <w:rPr>
          <w:highlight w:val="none"/>
        </w:rPr>
      </w:pPr>
      <w:r>
        <w:rPr>
          <w:rFonts w:hint="eastAsia"/>
          <w:highlight w:val="none"/>
        </w:rPr>
        <w:t>投标文件未按照招标文件规定要求签署、盖章的；</w:t>
      </w:r>
    </w:p>
    <w:p>
      <w:pPr>
        <w:numPr>
          <w:ilvl w:val="0"/>
          <w:numId w:val="4"/>
        </w:numPr>
        <w:spacing w:line="360" w:lineRule="auto"/>
        <w:rPr>
          <w:highlight w:val="none"/>
        </w:rPr>
      </w:pPr>
      <w:r>
        <w:rPr>
          <w:rFonts w:hint="eastAsia"/>
          <w:highlight w:val="none"/>
        </w:rPr>
        <w:t>不具备招标文件中规定的资格要求的；</w:t>
      </w:r>
    </w:p>
    <w:p>
      <w:pPr>
        <w:numPr>
          <w:ilvl w:val="0"/>
          <w:numId w:val="4"/>
        </w:numPr>
        <w:spacing w:line="360" w:lineRule="auto"/>
        <w:rPr>
          <w:highlight w:val="none"/>
        </w:rPr>
      </w:pPr>
      <w:r>
        <w:rPr>
          <w:rFonts w:hint="eastAsia"/>
          <w:highlight w:val="none"/>
        </w:rPr>
        <w:t>报价超过招标文件中规定的预算金额或者最高限价的；</w:t>
      </w:r>
    </w:p>
    <w:p>
      <w:pPr>
        <w:numPr>
          <w:ilvl w:val="0"/>
          <w:numId w:val="4"/>
        </w:numPr>
        <w:spacing w:line="360" w:lineRule="auto"/>
        <w:rPr>
          <w:highlight w:val="none"/>
        </w:rPr>
      </w:pPr>
      <w:r>
        <w:rPr>
          <w:rFonts w:hint="eastAsia"/>
          <w:highlight w:val="none"/>
        </w:rPr>
        <w:t>投标文件含有采购人不能接受的附加条件的；</w:t>
      </w:r>
    </w:p>
    <w:p>
      <w:pPr>
        <w:numPr>
          <w:ilvl w:val="0"/>
          <w:numId w:val="4"/>
        </w:numPr>
        <w:spacing w:line="360" w:lineRule="auto"/>
        <w:rPr>
          <w:highlight w:val="none"/>
        </w:rPr>
      </w:pPr>
      <w:r>
        <w:rPr>
          <w:rFonts w:hint="eastAsia"/>
          <w:highlight w:val="none"/>
        </w:rPr>
        <w:t>属于串通投标，或者依法被视为串通投标；</w:t>
      </w:r>
    </w:p>
    <w:p>
      <w:pPr>
        <w:numPr>
          <w:ilvl w:val="0"/>
          <w:numId w:val="4"/>
        </w:numPr>
        <w:spacing w:line="360" w:lineRule="auto"/>
        <w:rPr>
          <w:highlight w:val="none"/>
        </w:rPr>
      </w:pPr>
      <w:r>
        <w:rPr>
          <w:rFonts w:hint="eastAsia"/>
          <w:highlight w:val="none"/>
        </w:rPr>
        <w:t>评标委员会认为投标人的报价明显低于其他通过符合性审查投标人的报价，有可能影响履约的，且投标人未按照规定证明其报价合理性的；</w:t>
      </w:r>
    </w:p>
    <w:p>
      <w:pPr>
        <w:numPr>
          <w:ilvl w:val="0"/>
          <w:numId w:val="4"/>
        </w:numPr>
        <w:spacing w:line="360" w:lineRule="auto"/>
        <w:rPr>
          <w:rFonts w:hint="eastAsia"/>
          <w:highlight w:val="none"/>
        </w:rPr>
      </w:pPr>
      <w:r>
        <w:rPr>
          <w:rFonts w:hint="eastAsia"/>
          <w:highlight w:val="none"/>
        </w:rPr>
        <w:t>投标文件制作机器码与其他投标人的投标文件制作机器码一致；</w:t>
      </w:r>
    </w:p>
    <w:p>
      <w:pPr>
        <w:numPr>
          <w:ilvl w:val="0"/>
          <w:numId w:val="4"/>
        </w:numPr>
        <w:spacing w:line="360" w:lineRule="auto"/>
        <w:rPr>
          <w:rFonts w:hint="eastAsia"/>
          <w:highlight w:val="none"/>
        </w:rPr>
      </w:pPr>
      <w:r>
        <w:rPr>
          <w:rFonts w:hint="eastAsia"/>
          <w:highlight w:val="none"/>
        </w:rPr>
        <w:t>法律、法规和招标文件规定的其他无效情形。</w:t>
      </w:r>
    </w:p>
    <w:p>
      <w:pPr>
        <w:pStyle w:val="10"/>
        <w:spacing w:before="0" w:after="0" w:line="360" w:lineRule="auto"/>
        <w:rPr>
          <w:rFonts w:hint="eastAsia"/>
          <w:sz w:val="24"/>
          <w:highlight w:val="none"/>
          <w:lang w:val="en-US" w:eastAsia="zh-CN"/>
        </w:rPr>
      </w:pPr>
      <w:bookmarkStart w:id="18" w:name="_Toc27183"/>
      <w:r>
        <w:rPr>
          <w:rFonts w:hint="eastAsia"/>
          <w:sz w:val="24"/>
          <w:highlight w:val="none"/>
          <w:lang w:val="en-US" w:eastAsia="zh-CN"/>
        </w:rPr>
        <w:t>7. 合同授予</w:t>
      </w:r>
      <w:bookmarkEnd w:id="18"/>
    </w:p>
    <w:p>
      <w:pPr>
        <w:pStyle w:val="11"/>
        <w:spacing w:before="0" w:after="0" w:line="360" w:lineRule="auto"/>
        <w:rPr>
          <w:rFonts w:hint="eastAsia"/>
          <w:sz w:val="21"/>
          <w:highlight w:val="none"/>
        </w:rPr>
      </w:pPr>
      <w:r>
        <w:rPr>
          <w:rFonts w:hint="eastAsia"/>
          <w:sz w:val="21"/>
          <w:highlight w:val="none"/>
        </w:rPr>
        <w:t>7.1 中标公告</w:t>
      </w:r>
    </w:p>
    <w:p>
      <w:pPr>
        <w:spacing w:line="360" w:lineRule="auto"/>
        <w:ind w:firstLine="424" w:firstLineChars="202"/>
        <w:rPr>
          <w:rFonts w:hint="eastAsia" w:asciiTheme="minorEastAsia" w:hAnsiTheme="minorEastAsia"/>
          <w:highlight w:val="none"/>
        </w:rPr>
      </w:pPr>
      <w:r>
        <w:rPr>
          <w:rFonts w:hint="eastAsia" w:asciiTheme="minorEastAsia" w:hAnsiTheme="minorEastAsia"/>
          <w:highlight w:val="none"/>
        </w:rPr>
        <w:t>7.1.1采购人应当自收到评标报告之日起 5 个工作日内，在评标报告确定的中标候选人名单中，选定第一中标候选人为中标人；中标候选人并列的，按投标报价由低到高顺序确定中标人；投标报价也相同的，按技术部分得分由高到低顺序确定中标人。两者都相同的，采取随机抽取的方式确定。</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 xml:space="preserve">采购人在收到评标报告 5 个工作日内未按评标报告推荐的中标候选人顺序确定中标人，又不能说明合法理由的，视同按评标报告推荐的顺序确定排名第一的中标候选人为中标人。 </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7</w:t>
      </w:r>
      <w:r>
        <w:rPr>
          <w:rFonts w:asciiTheme="minorEastAsia" w:hAnsiTheme="minorEastAsia"/>
          <w:highlight w:val="none"/>
        </w:rPr>
        <w:t>.1.2</w:t>
      </w:r>
      <w:r>
        <w:rPr>
          <w:rFonts w:hint="eastAsia" w:asciiTheme="minorEastAsia" w:hAnsiTheme="minorEastAsia"/>
          <w:highlight w:val="none"/>
        </w:rPr>
        <w:t>采购代理机构自中标人确定之日起2个工作日内，在《河南省政府采购网</w:t>
      </w:r>
      <w:r>
        <w:rPr>
          <w:rFonts w:hint="eastAsia" w:asciiTheme="minorEastAsia" w:hAnsiTheme="minorEastAsia"/>
          <w:highlight w:val="none"/>
          <w:lang w:eastAsia="zh-CN"/>
        </w:rPr>
        <w:t>》《</w:t>
      </w:r>
      <w:r>
        <w:rPr>
          <w:rFonts w:hint="eastAsia" w:asciiTheme="minorEastAsia" w:hAnsiTheme="minorEastAsia"/>
          <w:highlight w:val="none"/>
        </w:rPr>
        <w:t>郑州市政府采购网</w:t>
      </w:r>
      <w:r>
        <w:rPr>
          <w:rFonts w:hint="eastAsia" w:asciiTheme="minorEastAsia" w:hAnsiTheme="minorEastAsia"/>
          <w:highlight w:val="none"/>
          <w:lang w:eastAsia="zh-CN"/>
        </w:rPr>
        <w:t>》《</w:t>
      </w:r>
      <w:r>
        <w:rPr>
          <w:rFonts w:hint="eastAsia" w:asciiTheme="minorEastAsia" w:hAnsiTheme="minorEastAsia"/>
          <w:highlight w:val="none"/>
        </w:rPr>
        <w:t>郑州市公共资源交易中心网》公告中标结果，招标文件随中标结果同时公告。中标公告期限为1个工作日。</w:t>
      </w:r>
    </w:p>
    <w:p>
      <w:pPr>
        <w:pStyle w:val="11"/>
        <w:spacing w:before="0" w:after="0" w:line="360" w:lineRule="auto"/>
        <w:rPr>
          <w:sz w:val="21"/>
          <w:highlight w:val="none"/>
        </w:rPr>
      </w:pPr>
      <w:r>
        <w:rPr>
          <w:rFonts w:hint="eastAsia"/>
          <w:sz w:val="21"/>
          <w:highlight w:val="none"/>
        </w:rPr>
        <w:t>7.2 质疑与投诉</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7.2.1投标人认为招标文件、采购过程和中标、成交结果使自己的权益受到损害的，可以在知道或者应知其权益受到损害之日起七个工作日内，以书面形式向采购代理机构提出质疑。（格式见本章附件1）</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7.2.2投标人应知其权益受到损害之日，是指：</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（1）对可以质疑的招标文件提出质疑的，为收到采购文件之日或者采购文件公告期限届满之日；</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（2）对采购过程提出质疑的，为各采购程序环节结束之日；</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（3）对中标或者成交结果提出质疑的，为中标或者成交结果公告期限届满之日。</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7.2.3质疑投标人应按照财政部制定的《政府采购质疑函范本》格式（可从财政部官方网站下载）或本章附件1格式及《政府采购质疑和投诉办法》的要求，在本章7.2.1、7.2.2款要求时间内以书面形式提出质疑，针对同一采购程序环节的质疑次数应符合投标须知前附表的规定。</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7.2.4超出法定质疑期提交的质疑将被拒绝。重复或分次提出的、内容或形式不符合《政府采购质疑和投诉办法》的，质疑投标人将依法承担不利后果。</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7.2.5质疑函接收部门、联系电话和通讯地址，见投标须知前附表。</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7.2.6采购人或采购代理机构在收到投标人的书面质疑后七个工作日内作出答复，并以书面形式通知质疑投标人和其他有关投标人，答复内容不涉及商业秘密。</w:t>
      </w:r>
    </w:p>
    <w:p>
      <w:pPr>
        <w:pStyle w:val="11"/>
        <w:spacing w:before="0" w:after="0" w:line="360" w:lineRule="auto"/>
        <w:rPr>
          <w:sz w:val="21"/>
          <w:highlight w:val="none"/>
        </w:rPr>
      </w:pPr>
      <w:r>
        <w:rPr>
          <w:rFonts w:hint="eastAsia"/>
          <w:sz w:val="21"/>
          <w:highlight w:val="none"/>
        </w:rPr>
        <w:t>7.3 中标通知书</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在公告中标结果的同时，采购人或者采购代理机构向中标人发出中标通知书</w:t>
      </w:r>
      <w:r>
        <w:rPr>
          <w:rFonts w:hint="eastAsia" w:asciiTheme="minorEastAsia" w:hAnsiTheme="minorEastAsia"/>
          <w:highlight w:val="none"/>
          <w:lang w:eastAsia="zh-CN"/>
        </w:rPr>
        <w:t>。</w:t>
      </w:r>
      <w:r>
        <w:rPr>
          <w:rFonts w:hint="eastAsia" w:asciiTheme="minorEastAsia" w:hAnsiTheme="minorEastAsia"/>
          <w:highlight w:val="none"/>
        </w:rPr>
        <w:t>中标通知书发出后，采购人不得违法改变中标结果，中标人无正当理由不得放弃中标。</w:t>
      </w:r>
    </w:p>
    <w:p>
      <w:pPr>
        <w:pStyle w:val="11"/>
        <w:spacing w:before="0" w:after="0" w:line="360" w:lineRule="auto"/>
        <w:rPr>
          <w:sz w:val="21"/>
          <w:highlight w:val="none"/>
        </w:rPr>
      </w:pPr>
      <w:r>
        <w:rPr>
          <w:rFonts w:hint="eastAsia"/>
          <w:sz w:val="21"/>
          <w:highlight w:val="none"/>
        </w:rPr>
        <w:t>7.4 签订合同</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7.4.1采购人和中标人应当在中标通知书发出之日起2个工作日内，根据招标文件和中标人的投标文件订立书面合同。所签订的合同不得对招标文件确定的事项和中标人投标文件作实质性修改。</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7.4.2中标人无正当理由拒签合同、</w:t>
      </w:r>
      <w:r>
        <w:rPr>
          <w:rFonts w:hint="eastAsia" w:asciiTheme="minorEastAsia" w:hAnsiTheme="minorEastAsia"/>
          <w:highlight w:val="none"/>
          <w:lang w:val="en-US" w:eastAsia="zh-CN"/>
        </w:rPr>
        <w:t>或</w:t>
      </w:r>
      <w:r>
        <w:rPr>
          <w:rFonts w:hint="eastAsia" w:asciiTheme="minorEastAsia" w:hAnsiTheme="minorEastAsia"/>
          <w:highlight w:val="none"/>
        </w:rPr>
        <w:t>在签订合同时向采购人提出附加条件的，采购人有权取消其中标资格</w:t>
      </w:r>
      <w:r>
        <w:rPr>
          <w:rFonts w:hint="eastAsia" w:asciiTheme="minorEastAsia" w:hAnsiTheme="minorEastAsia"/>
          <w:highlight w:val="none"/>
          <w:lang w:eastAsia="zh-CN"/>
        </w:rPr>
        <w:t>，</w:t>
      </w:r>
      <w:r>
        <w:rPr>
          <w:rFonts w:hint="eastAsia" w:asciiTheme="minorEastAsia" w:hAnsiTheme="minorEastAsia"/>
          <w:highlight w:val="none"/>
        </w:rPr>
        <w:t>采购人可以按照评标报告推荐的中标候选人排序，确定排名下一位的中标候选人为</w:t>
      </w:r>
      <w:r>
        <w:rPr>
          <w:rFonts w:hint="eastAsia" w:asciiTheme="minorEastAsia" w:hAnsiTheme="minorEastAsia"/>
          <w:highlight w:val="none"/>
          <w:lang w:eastAsia="zh-CN"/>
        </w:rPr>
        <w:t>中标人</w:t>
      </w:r>
      <w:r>
        <w:rPr>
          <w:rFonts w:hint="eastAsia" w:asciiTheme="minorEastAsia" w:hAnsiTheme="minorEastAsia"/>
          <w:highlight w:val="none"/>
        </w:rPr>
        <w:t>，也可以重新开展采购活动。当出现法规规定的中标无效或中标结果无效情形时，采购人可与排名下一位的中标候选人另行签订合同，或依法重新开展采购活动。</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7.4.3采购人不得向中标人提出任何不合理的要求作为签订合同的条件。</w:t>
      </w:r>
    </w:p>
    <w:p>
      <w:pPr>
        <w:pStyle w:val="10"/>
        <w:spacing w:before="0" w:after="0" w:line="360" w:lineRule="auto"/>
        <w:rPr>
          <w:rFonts w:hint="eastAsia"/>
          <w:sz w:val="24"/>
          <w:highlight w:val="none"/>
        </w:rPr>
      </w:pPr>
      <w:bookmarkStart w:id="19" w:name="_Toc7681"/>
      <w:r>
        <w:rPr>
          <w:rFonts w:hint="eastAsia"/>
          <w:sz w:val="24"/>
          <w:highlight w:val="none"/>
        </w:rPr>
        <w:t>8. 纪律和监督</w:t>
      </w:r>
      <w:bookmarkEnd w:id="19"/>
    </w:p>
    <w:p>
      <w:pPr>
        <w:pStyle w:val="11"/>
        <w:spacing w:before="0" w:after="0" w:line="360" w:lineRule="auto"/>
        <w:rPr>
          <w:sz w:val="21"/>
          <w:highlight w:val="none"/>
        </w:rPr>
      </w:pPr>
      <w:r>
        <w:rPr>
          <w:rFonts w:hint="eastAsia"/>
          <w:sz w:val="21"/>
          <w:highlight w:val="none"/>
        </w:rPr>
        <w:t>8.1 对采购人的纪律要求</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采购人不得泄露招标投标活动中应当保密的情况和资料，不得与投标人串通损害国家利益、社会公共利益或者他人合法权益。</w:t>
      </w:r>
    </w:p>
    <w:p>
      <w:pPr>
        <w:pStyle w:val="11"/>
        <w:spacing w:before="0" w:after="0" w:line="360" w:lineRule="auto"/>
        <w:rPr>
          <w:sz w:val="21"/>
          <w:highlight w:val="none"/>
        </w:rPr>
      </w:pPr>
      <w:r>
        <w:rPr>
          <w:rFonts w:hint="eastAsia"/>
          <w:sz w:val="21"/>
          <w:highlight w:val="none"/>
        </w:rPr>
        <w:t>8.2 对投标人的纪律要求</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投标人不得相互串通投标或者与采购人串通投标，不得向采购人或者评标委员会成员行贿谋取中标，不得以他人名义投标或者以其他方式弄虚作假骗取中标；投标人不得以任何方式干扰、影响评标工作。</w:t>
      </w:r>
    </w:p>
    <w:p>
      <w:pPr>
        <w:pStyle w:val="11"/>
        <w:spacing w:before="0" w:after="0" w:line="360" w:lineRule="auto"/>
        <w:rPr>
          <w:sz w:val="21"/>
          <w:highlight w:val="none"/>
        </w:rPr>
      </w:pPr>
      <w:r>
        <w:rPr>
          <w:rFonts w:hint="eastAsia"/>
          <w:sz w:val="21"/>
          <w:highlight w:val="none"/>
        </w:rPr>
        <w:t>8.3 对评标委员会成员的纪律要求</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方法和标准”没有规定的评审因素和标准进行评标。</w:t>
      </w:r>
    </w:p>
    <w:p>
      <w:pPr>
        <w:pStyle w:val="11"/>
        <w:spacing w:before="0" w:after="0" w:line="360" w:lineRule="auto"/>
        <w:rPr>
          <w:sz w:val="21"/>
          <w:highlight w:val="none"/>
        </w:rPr>
      </w:pPr>
      <w:r>
        <w:rPr>
          <w:rFonts w:hint="eastAsia"/>
          <w:sz w:val="21"/>
          <w:highlight w:val="none"/>
        </w:rPr>
        <w:t>8.4 对与评标活动有关的工作人员的纪律要求</w:t>
      </w:r>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pPr>
        <w:pStyle w:val="10"/>
        <w:spacing w:before="0" w:after="0" w:line="360" w:lineRule="auto"/>
        <w:rPr>
          <w:rFonts w:hint="eastAsia"/>
          <w:sz w:val="24"/>
          <w:highlight w:val="none"/>
        </w:rPr>
      </w:pPr>
      <w:bookmarkStart w:id="20" w:name="_Toc19017"/>
      <w:r>
        <w:rPr>
          <w:rFonts w:hint="eastAsia"/>
          <w:sz w:val="24"/>
          <w:highlight w:val="none"/>
        </w:rPr>
        <w:t>9. 需要补充的其他内容</w:t>
      </w:r>
      <w:bookmarkEnd w:id="20"/>
    </w:p>
    <w:p>
      <w:pPr>
        <w:spacing w:line="360" w:lineRule="auto"/>
        <w:ind w:firstLine="424" w:firstLineChars="202"/>
        <w:rPr>
          <w:rFonts w:asciiTheme="minorEastAsia" w:hAnsiTheme="minorEastAsia"/>
          <w:highlight w:val="none"/>
        </w:rPr>
      </w:pPr>
      <w:r>
        <w:rPr>
          <w:rFonts w:hint="eastAsia" w:asciiTheme="minorEastAsia" w:hAnsiTheme="minorEastAsia"/>
          <w:highlight w:val="none"/>
        </w:rPr>
        <w:t>需要补充的其他内容：见投标人须知前附表。</w:t>
      </w:r>
    </w:p>
    <w:p>
      <w:pPr>
        <w:rPr>
          <w:sz w:val="24"/>
          <w:highlight w:val="none"/>
        </w:rPr>
      </w:pPr>
      <w:r>
        <w:rPr>
          <w:rFonts w:hint="eastAsia"/>
          <w:sz w:val="24"/>
          <w:highlight w:val="none"/>
        </w:rPr>
        <w:br w:type="page"/>
      </w:r>
    </w:p>
    <w:p>
      <w:pPr>
        <w:pStyle w:val="10"/>
        <w:spacing w:before="0" w:after="0"/>
        <w:rPr>
          <w:sz w:val="24"/>
          <w:highlight w:val="none"/>
        </w:rPr>
      </w:pPr>
      <w:bookmarkStart w:id="21" w:name="_Toc11435"/>
      <w:r>
        <w:rPr>
          <w:rFonts w:hint="eastAsia"/>
          <w:sz w:val="24"/>
          <w:highlight w:val="none"/>
        </w:rPr>
        <w:t>附件：质疑函格式（统一格式，需提供原件）</w:t>
      </w:r>
      <w:bookmarkEnd w:id="21"/>
    </w:p>
    <w:p>
      <w:pPr>
        <w:pStyle w:val="34"/>
        <w:jc w:val="center"/>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质 疑 函</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一、质疑投标人基本信息</w:t>
      </w:r>
    </w:p>
    <w:p>
      <w:pPr>
        <w:pStyle w:val="34"/>
        <w:spacing w:line="360" w:lineRule="auto"/>
        <w:rPr>
          <w:rFonts w:asciiTheme="minorEastAsia" w:hAnsiTheme="minorEastAsia" w:eastAsiaTheme="minorEastAsia"/>
          <w:color w:val="auto"/>
          <w:szCs w:val="23"/>
          <w:highlight w:val="none"/>
        </w:rPr>
      </w:pP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质疑投标人：</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地址：邮编：</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联系人：联系电话：</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授权代表：</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联系电话：</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地址：邮编：</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二、质疑项目基本信息</w:t>
      </w:r>
    </w:p>
    <w:p>
      <w:pPr>
        <w:pStyle w:val="34"/>
        <w:spacing w:line="360" w:lineRule="auto"/>
        <w:rPr>
          <w:rFonts w:asciiTheme="minorEastAsia" w:hAnsiTheme="minorEastAsia" w:eastAsiaTheme="minorEastAsia"/>
          <w:color w:val="auto"/>
          <w:szCs w:val="23"/>
          <w:highlight w:val="none"/>
        </w:rPr>
      </w:pP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质疑项目的名称：</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质疑项目的编号：</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包号：</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采购人名称：</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采购文件获取日期：</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三、质疑事项具体内容</w:t>
      </w:r>
    </w:p>
    <w:p>
      <w:pPr>
        <w:pStyle w:val="34"/>
        <w:spacing w:line="360" w:lineRule="auto"/>
        <w:rPr>
          <w:rFonts w:asciiTheme="minorEastAsia" w:hAnsiTheme="minorEastAsia" w:eastAsiaTheme="minorEastAsia"/>
          <w:color w:val="auto"/>
          <w:szCs w:val="23"/>
          <w:highlight w:val="none"/>
        </w:rPr>
      </w:pP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质疑事项</w:t>
      </w:r>
      <w:r>
        <w:rPr>
          <w:rFonts w:asciiTheme="minorEastAsia" w:hAnsiTheme="minorEastAsia" w:eastAsiaTheme="minorEastAsia"/>
          <w:color w:val="auto"/>
          <w:szCs w:val="23"/>
          <w:highlight w:val="none"/>
        </w:rPr>
        <w:t>1</w:t>
      </w:r>
      <w:r>
        <w:rPr>
          <w:rFonts w:hint="eastAsia" w:asciiTheme="minorEastAsia" w:hAnsiTheme="minorEastAsia" w:eastAsiaTheme="minorEastAsia"/>
          <w:color w:val="auto"/>
          <w:szCs w:val="23"/>
          <w:highlight w:val="none"/>
        </w:rPr>
        <w:t>：</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事实依据：</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法律依据：</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质疑事项</w:t>
      </w:r>
      <w:r>
        <w:rPr>
          <w:rFonts w:asciiTheme="minorEastAsia" w:hAnsiTheme="minorEastAsia" w:eastAsiaTheme="minorEastAsia"/>
          <w:color w:val="auto"/>
          <w:szCs w:val="23"/>
          <w:highlight w:val="none"/>
        </w:rPr>
        <w:t>2</w:t>
      </w:r>
      <w:r>
        <w:rPr>
          <w:rFonts w:hint="eastAsia" w:asciiTheme="minorEastAsia" w:hAnsiTheme="minorEastAsia" w:eastAsiaTheme="minorEastAsia"/>
          <w:color w:val="auto"/>
          <w:szCs w:val="23"/>
          <w:highlight w:val="none"/>
        </w:rPr>
        <w:t>：</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四、与质疑事项相关的质疑请求：</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签字（签章）：</w:t>
      </w:r>
    </w:p>
    <w:p>
      <w:pPr>
        <w:pStyle w:val="34"/>
        <w:spacing w:line="360" w:lineRule="auto"/>
        <w:rPr>
          <w:rFonts w:asciiTheme="minorEastAsia" w:hAnsiTheme="minorEastAsia" w:eastAsiaTheme="minorEastAsia"/>
          <w:color w:val="auto"/>
          <w:szCs w:val="23"/>
          <w:highlight w:val="none"/>
        </w:rPr>
      </w:pPr>
      <w:r>
        <w:rPr>
          <w:rFonts w:hint="eastAsia" w:asciiTheme="minorEastAsia" w:hAnsiTheme="minorEastAsia" w:eastAsiaTheme="minorEastAsia"/>
          <w:color w:val="auto"/>
          <w:szCs w:val="23"/>
          <w:highlight w:val="none"/>
        </w:rPr>
        <w:t>公章：</w:t>
      </w:r>
    </w:p>
    <w:p>
      <w:pPr>
        <w:spacing w:line="360" w:lineRule="auto"/>
        <w:rPr>
          <w:rFonts w:asciiTheme="minorEastAsia" w:hAnsiTheme="minorEastAsia"/>
          <w:sz w:val="24"/>
          <w:szCs w:val="23"/>
          <w:highlight w:val="none"/>
        </w:rPr>
      </w:pPr>
      <w:r>
        <w:rPr>
          <w:rFonts w:hint="eastAsia" w:asciiTheme="minorEastAsia" w:hAnsiTheme="minorEastAsia"/>
          <w:sz w:val="24"/>
          <w:szCs w:val="23"/>
          <w:highlight w:val="none"/>
        </w:rPr>
        <w:t>日期：</w:t>
      </w:r>
    </w:p>
    <w:p>
      <w:pPr>
        <w:spacing w:line="360" w:lineRule="auto"/>
        <w:rPr>
          <w:rFonts w:asciiTheme="minorEastAsia" w:hAnsiTheme="minorEastAsia"/>
          <w:sz w:val="23"/>
          <w:szCs w:val="23"/>
          <w:highlight w:val="none"/>
        </w:rPr>
      </w:pPr>
    </w:p>
    <w:p>
      <w:pPr>
        <w:spacing w:line="480" w:lineRule="auto"/>
        <w:rPr>
          <w:rFonts w:asciiTheme="minorEastAsia" w:hAnsiTheme="minorEastAsia"/>
          <w:b/>
          <w:sz w:val="24"/>
          <w:highlight w:val="none"/>
        </w:rPr>
      </w:pPr>
      <w:r>
        <w:rPr>
          <w:rFonts w:hint="eastAsia" w:asciiTheme="minorEastAsia" w:hAnsiTheme="minorEastAsia"/>
          <w:b/>
          <w:sz w:val="24"/>
          <w:highlight w:val="none"/>
        </w:rPr>
        <w:t>质疑函制作说明：</w:t>
      </w:r>
    </w:p>
    <w:p>
      <w:pPr>
        <w:spacing w:line="480" w:lineRule="auto"/>
        <w:rPr>
          <w:rFonts w:asciiTheme="minorEastAsia" w:hAnsiTheme="minorEastAsia"/>
          <w:b/>
          <w:sz w:val="24"/>
          <w:highlight w:val="none"/>
        </w:rPr>
      </w:pPr>
      <w:r>
        <w:rPr>
          <w:rFonts w:hint="eastAsia" w:asciiTheme="minorEastAsia" w:hAnsiTheme="minorEastAsia"/>
          <w:b/>
          <w:sz w:val="24"/>
          <w:highlight w:val="none"/>
        </w:rPr>
        <w:t>1. 投标人提出质疑时，应提交质疑函和必要的证明材料。</w:t>
      </w:r>
    </w:p>
    <w:p>
      <w:pPr>
        <w:spacing w:line="480" w:lineRule="auto"/>
        <w:rPr>
          <w:rFonts w:asciiTheme="minorEastAsia" w:hAnsiTheme="minorEastAsia"/>
          <w:b/>
          <w:sz w:val="24"/>
          <w:highlight w:val="none"/>
        </w:rPr>
      </w:pPr>
      <w:r>
        <w:rPr>
          <w:rFonts w:hint="eastAsia" w:asciiTheme="minorEastAsia" w:hAnsiTheme="minorEastAsia"/>
          <w:b/>
          <w:sz w:val="24"/>
          <w:highlight w:val="none"/>
        </w:rPr>
        <w:t>2. 质疑投标人若委托代理人进行质疑的，质疑函应按要求列明授权代表的有关内容，并在附件中提交由质疑投标人签署的授权委托书。授权委托书应载明代理人的姓名或者名称，代理事项、具体权限、期限和相关事项。</w:t>
      </w:r>
    </w:p>
    <w:p>
      <w:pPr>
        <w:spacing w:line="480" w:lineRule="auto"/>
        <w:rPr>
          <w:rFonts w:asciiTheme="minorEastAsia" w:hAnsiTheme="minorEastAsia"/>
          <w:b/>
          <w:sz w:val="24"/>
          <w:highlight w:val="none"/>
        </w:rPr>
      </w:pPr>
      <w:r>
        <w:rPr>
          <w:rFonts w:hint="eastAsia" w:asciiTheme="minorEastAsia" w:hAnsiTheme="minorEastAsia"/>
          <w:b/>
          <w:sz w:val="24"/>
          <w:highlight w:val="none"/>
        </w:rPr>
        <w:t>3. 质疑函的质疑事项应具体、明确，并有必要的事实依据和法律依据。</w:t>
      </w:r>
    </w:p>
    <w:p>
      <w:pPr>
        <w:spacing w:line="480" w:lineRule="auto"/>
        <w:rPr>
          <w:rFonts w:asciiTheme="minorEastAsia" w:hAnsiTheme="minorEastAsia"/>
          <w:b/>
          <w:sz w:val="24"/>
          <w:highlight w:val="none"/>
        </w:rPr>
      </w:pPr>
      <w:r>
        <w:rPr>
          <w:rFonts w:hint="eastAsia" w:asciiTheme="minorEastAsia" w:hAnsiTheme="minorEastAsia"/>
          <w:b/>
          <w:sz w:val="24"/>
          <w:highlight w:val="none"/>
        </w:rPr>
        <w:t>4. 质疑函的质疑请求应与质疑事项相关。</w:t>
      </w:r>
    </w:p>
    <w:p>
      <w:pPr>
        <w:spacing w:line="480" w:lineRule="auto"/>
        <w:rPr>
          <w:rFonts w:asciiTheme="minorEastAsia" w:hAnsiTheme="minorEastAsia"/>
          <w:b/>
          <w:sz w:val="24"/>
          <w:highlight w:val="none"/>
        </w:rPr>
      </w:pPr>
      <w:r>
        <w:rPr>
          <w:rFonts w:hint="eastAsia" w:asciiTheme="minorEastAsia" w:hAnsiTheme="minorEastAsia"/>
          <w:b/>
          <w:sz w:val="24"/>
          <w:highlight w:val="none"/>
        </w:rPr>
        <w:t>5. 质疑投标人为自然人的，质疑函应由本人签字；质疑投标人为法人或者其他组织的，质疑函应由法定代表人、主要负责人或者他授权代表签字或者盖章，并加盖公章。</w:t>
      </w:r>
    </w:p>
    <w:p>
      <w:pPr>
        <w:widowControl/>
        <w:jc w:val="left"/>
        <w:rPr>
          <w:rFonts w:asciiTheme="minorEastAsia" w:hAnsiTheme="minorEastAsia"/>
          <w:b/>
          <w:sz w:val="24"/>
          <w:highlight w:val="none"/>
        </w:rPr>
      </w:pPr>
      <w:r>
        <w:rPr>
          <w:rFonts w:asciiTheme="minorEastAsia" w:hAnsiTheme="minorEastAsia"/>
          <w:b/>
          <w:sz w:val="24"/>
          <w:highlight w:val="none"/>
        </w:rPr>
        <w:br w:type="page"/>
      </w:r>
    </w:p>
    <w:p>
      <w:pPr>
        <w:pStyle w:val="8"/>
        <w:numPr>
          <w:ilvl w:val="0"/>
          <w:numId w:val="1"/>
        </w:numPr>
        <w:spacing w:before="0" w:after="0"/>
        <w:jc w:val="center"/>
        <w:rPr>
          <w:rFonts w:hint="eastAsia" w:asciiTheme="minorEastAsia" w:hAnsiTheme="minorEastAsia"/>
          <w:sz w:val="32"/>
          <w:highlight w:val="none"/>
        </w:rPr>
      </w:pPr>
      <w:bookmarkStart w:id="22" w:name="_Toc21640"/>
      <w:r>
        <w:rPr>
          <w:rFonts w:hint="eastAsia" w:asciiTheme="minorEastAsia" w:hAnsiTheme="minorEastAsia"/>
          <w:sz w:val="32"/>
          <w:highlight w:val="none"/>
          <w:lang w:eastAsia="zh-CN"/>
        </w:rPr>
        <w:t>评标方法和标准</w:t>
      </w:r>
      <w:bookmarkEnd w:id="22"/>
    </w:p>
    <w:p>
      <w:pPr>
        <w:pStyle w:val="11"/>
        <w:spacing w:before="0" w:after="0"/>
        <w:jc w:val="center"/>
        <w:rPr>
          <w:rFonts w:hint="eastAsia"/>
          <w:sz w:val="24"/>
          <w:highlight w:val="none"/>
          <w:lang w:val="en-US" w:eastAsia="zh-CN"/>
        </w:rPr>
      </w:pPr>
      <w:bookmarkStart w:id="23" w:name="_Toc13052730"/>
      <w:bookmarkStart w:id="24" w:name="_Toc14946168"/>
      <w:bookmarkStart w:id="25" w:name="_Toc11072948"/>
      <w:bookmarkStart w:id="26" w:name="_Toc26445303"/>
      <w:bookmarkStart w:id="27" w:name="_Toc13053543"/>
      <w:bookmarkStart w:id="28" w:name="_Toc13068789"/>
      <w:r>
        <w:rPr>
          <w:rFonts w:hint="eastAsia"/>
          <w:sz w:val="24"/>
          <w:highlight w:val="none"/>
          <w:lang w:val="en-US" w:eastAsia="zh-CN"/>
        </w:rPr>
        <w:t>评审因素及评审标准</w:t>
      </w:r>
    </w:p>
    <w:tbl>
      <w:tblPr>
        <w:tblStyle w:val="28"/>
        <w:tblW w:w="8316" w:type="dxa"/>
        <w:tblInd w:w="0" w:type="dxa"/>
        <w:tblLayout w:type="fixed"/>
        <w:tblCellMar>
          <w:top w:w="0" w:type="dxa"/>
          <w:left w:w="108" w:type="dxa"/>
          <w:bottom w:w="0" w:type="dxa"/>
          <w:right w:w="108" w:type="dxa"/>
        </w:tblCellMar>
      </w:tblPr>
      <w:tblGrid>
        <w:gridCol w:w="714"/>
        <w:gridCol w:w="2731"/>
        <w:gridCol w:w="4871"/>
      </w:tblGrid>
      <w:tr>
        <w:tblPrEx>
          <w:tblCellMar>
            <w:top w:w="0" w:type="dxa"/>
            <w:left w:w="108" w:type="dxa"/>
            <w:bottom w:w="0" w:type="dxa"/>
            <w:right w:w="108" w:type="dxa"/>
          </w:tblCellMar>
        </w:tblPrEx>
        <w:trPr>
          <w:trHeight w:val="476" w:hRule="atLeast"/>
        </w:trPr>
        <w:tc>
          <w:tcPr>
            <w:tcW w:w="714"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名称</w:t>
            </w: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asciiTheme="minorEastAsia" w:hAnsiTheme="minorEastAsia"/>
                <w:kern w:val="0"/>
                <w:szCs w:val="21"/>
                <w:highlight w:val="none"/>
              </w:rPr>
              <w:t>评审因素</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asciiTheme="minorEastAsia" w:hAnsiTheme="minorEastAsia"/>
                <w:kern w:val="0"/>
                <w:szCs w:val="21"/>
                <w:highlight w:val="none"/>
              </w:rPr>
              <w:t>评审标准</w:t>
            </w:r>
          </w:p>
        </w:tc>
      </w:tr>
      <w:tr>
        <w:tblPrEx>
          <w:tblCellMar>
            <w:top w:w="0" w:type="dxa"/>
            <w:left w:w="108" w:type="dxa"/>
            <w:bottom w:w="0" w:type="dxa"/>
            <w:right w:w="108" w:type="dxa"/>
          </w:tblCellMar>
        </w:tblPrEx>
        <w:trPr>
          <w:trHeight w:val="476" w:hRule="atLeast"/>
        </w:trPr>
        <w:tc>
          <w:tcPr>
            <w:tcW w:w="714" w:type="dxa"/>
            <w:vMerge w:val="restart"/>
            <w:tcBorders>
              <w:top w:val="single" w:color="000000" w:sz="4" w:space="0"/>
              <w:left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asciiTheme="minorEastAsia" w:hAnsiTheme="minorEastAsia"/>
                <w:kern w:val="0"/>
                <w:szCs w:val="21"/>
                <w:highlight w:val="none"/>
              </w:rPr>
              <w:t>资格</w:t>
            </w:r>
            <w:r>
              <w:rPr>
                <w:rFonts w:hint="eastAsia" w:asciiTheme="minorEastAsia" w:hAnsiTheme="minorEastAsia"/>
                <w:kern w:val="0"/>
                <w:szCs w:val="21"/>
                <w:highlight w:val="none"/>
              </w:rPr>
              <w:t>审查标准</w:t>
            </w: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资格承诺声明函</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在投标文件中按招标文件格式提供</w:t>
            </w:r>
            <w:r>
              <w:rPr>
                <w:rFonts w:hint="eastAsia" w:asciiTheme="minorEastAsia" w:hAnsiTheme="minorEastAsia"/>
                <w:kern w:val="0"/>
                <w:szCs w:val="21"/>
                <w:highlight w:val="none"/>
                <w:lang w:val="en-US" w:eastAsia="zh-CN"/>
              </w:rPr>
              <w:t>声明</w:t>
            </w:r>
            <w:r>
              <w:rPr>
                <w:rFonts w:hint="eastAsia" w:asciiTheme="minorEastAsia" w:hAnsiTheme="minorEastAsia"/>
                <w:kern w:val="0"/>
                <w:szCs w:val="21"/>
                <w:highlight w:val="none"/>
              </w:rPr>
              <w:t>函</w:t>
            </w:r>
          </w:p>
        </w:tc>
      </w:tr>
      <w:tr>
        <w:tblPrEx>
          <w:tblCellMar>
            <w:top w:w="0" w:type="dxa"/>
            <w:left w:w="108" w:type="dxa"/>
            <w:bottom w:w="0" w:type="dxa"/>
            <w:right w:w="108" w:type="dxa"/>
          </w:tblCellMar>
        </w:tblPrEx>
        <w:trPr>
          <w:trHeight w:val="476" w:hRule="atLeas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lang w:val="en-US" w:eastAsia="zh-CN"/>
              </w:rPr>
              <w:t>信用记录</w:t>
            </w:r>
            <w:r>
              <w:rPr>
                <w:rFonts w:hint="eastAsia" w:asciiTheme="minorEastAsia" w:hAnsiTheme="minorEastAsia"/>
                <w:kern w:val="0"/>
                <w:szCs w:val="21"/>
                <w:highlight w:val="none"/>
              </w:rPr>
              <w:t>查询</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采购人或采购代理机构开标后对所有投标人信用记录进行查询，并将查询结果网页打印并存档。投标人不良信用记录以开标后查询结果为准</w:t>
            </w:r>
          </w:p>
        </w:tc>
      </w:tr>
      <w:tr>
        <w:tblPrEx>
          <w:tblCellMar>
            <w:top w:w="0" w:type="dxa"/>
            <w:left w:w="108" w:type="dxa"/>
            <w:bottom w:w="0" w:type="dxa"/>
            <w:right w:w="108" w:type="dxa"/>
          </w:tblCellMar>
        </w:tblPrEx>
        <w:trPr>
          <w:trHeight w:val="476" w:hRule="atLeast"/>
        </w:trPr>
        <w:tc>
          <w:tcPr>
            <w:tcW w:w="714" w:type="dxa"/>
            <w:vMerge w:val="continue"/>
            <w:tcBorders>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单位负责人为同一人或者存在直接控股、管理关系的不同</w:t>
            </w:r>
            <w:r>
              <w:rPr>
                <w:rFonts w:asciiTheme="minorEastAsia" w:hAnsiTheme="minorEastAsia"/>
                <w:kern w:val="0"/>
                <w:szCs w:val="21"/>
                <w:highlight w:val="none"/>
              </w:rPr>
              <w:t>供应商</w:t>
            </w:r>
            <w:r>
              <w:rPr>
                <w:rFonts w:hint="eastAsia" w:asciiTheme="minorEastAsia" w:hAnsiTheme="minorEastAsia"/>
                <w:kern w:val="0"/>
                <w:szCs w:val="21"/>
                <w:highlight w:val="none"/>
              </w:rPr>
              <w:t>，不得参加同一合同项下的政府采购活动</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针对是否存在“单位负责人为同一人或者存在直接控股、管理关系的不同</w:t>
            </w:r>
            <w:r>
              <w:rPr>
                <w:rFonts w:asciiTheme="minorEastAsia" w:hAnsiTheme="minorEastAsia"/>
                <w:kern w:val="0"/>
                <w:szCs w:val="21"/>
                <w:highlight w:val="none"/>
              </w:rPr>
              <w:t>供应商</w:t>
            </w:r>
            <w:r>
              <w:rPr>
                <w:rFonts w:hint="eastAsia" w:asciiTheme="minorEastAsia" w:hAnsiTheme="minorEastAsia"/>
                <w:kern w:val="0"/>
                <w:szCs w:val="21"/>
                <w:highlight w:val="none"/>
              </w:rPr>
              <w:t>，同时参加本项目同一合同项下的政府采购活动”情形的声明函</w:t>
            </w:r>
          </w:p>
        </w:tc>
      </w:tr>
      <w:tr>
        <w:tblPrEx>
          <w:tblCellMar>
            <w:top w:w="0" w:type="dxa"/>
            <w:left w:w="108" w:type="dxa"/>
            <w:bottom w:w="0" w:type="dxa"/>
            <w:right w:w="108" w:type="dxa"/>
          </w:tblCellMar>
        </w:tblPrEx>
        <w:trPr>
          <w:trHeight w:val="420" w:hRule="exact"/>
        </w:trPr>
        <w:tc>
          <w:tcPr>
            <w:tcW w:w="714" w:type="dxa"/>
            <w:vMerge w:val="restart"/>
            <w:tcBorders>
              <w:top w:val="single" w:color="000000" w:sz="4" w:space="0"/>
              <w:left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符合性审查标准</w:t>
            </w: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投标人名称</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与营业执照一致</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签字盖章</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符合招标文件第二章须知前附表3.7.3条要求</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投标有效期</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符合招标文件第二章须知前附表3.3.1条要求</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int="eastAsia" w:asciiTheme="minorEastAsia" w:hAnsiTheme="minorEastAsia" w:eastAsiaTheme="minorEastAsia"/>
                <w:kern w:val="0"/>
                <w:szCs w:val="21"/>
                <w:highlight w:val="none"/>
                <w:lang w:eastAsia="zh-CN"/>
              </w:rPr>
            </w:pPr>
            <w:r>
              <w:rPr>
                <w:rFonts w:hint="eastAsia" w:asciiTheme="minorEastAsia" w:hAnsiTheme="minorEastAsia"/>
                <w:kern w:val="0"/>
                <w:szCs w:val="21"/>
                <w:highlight w:val="none"/>
                <w:lang w:eastAsia="zh-CN"/>
              </w:rPr>
              <w:t>服务期限</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符合招标文件第二章须知前附表1.3.2条要求</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质量要求</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符合招标文件第二章须知前附表1.3.</w:t>
            </w:r>
            <w:r>
              <w:rPr>
                <w:rFonts w:hint="eastAsia" w:asciiTheme="minorEastAsia" w:hAnsiTheme="minorEastAsia"/>
                <w:kern w:val="0"/>
                <w:szCs w:val="21"/>
                <w:highlight w:val="none"/>
                <w:lang w:val="en-US" w:eastAsia="zh-CN"/>
              </w:rPr>
              <w:t>3</w:t>
            </w:r>
            <w:r>
              <w:rPr>
                <w:rFonts w:hint="eastAsia" w:asciiTheme="minorEastAsia" w:hAnsiTheme="minorEastAsia"/>
                <w:kern w:val="0"/>
                <w:szCs w:val="21"/>
                <w:highlight w:val="none"/>
              </w:rPr>
              <w:t>条要求</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投标报价</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投标报价不得高于本项目最高限价</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报价唯一</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只有一个有效报价</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其他实质性要求</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未违反招标文件中规定的其他实质性要求</w:t>
            </w:r>
          </w:p>
        </w:tc>
      </w:tr>
      <w:tr>
        <w:tblPrEx>
          <w:tblCellMar>
            <w:top w:w="0" w:type="dxa"/>
            <w:left w:w="108" w:type="dxa"/>
            <w:bottom w:w="0" w:type="dxa"/>
            <w:right w:w="108" w:type="dxa"/>
          </w:tblCellMar>
        </w:tblPrEx>
        <w:trPr>
          <w:trHeight w:val="420" w:hRule="exact"/>
        </w:trPr>
        <w:tc>
          <w:tcPr>
            <w:tcW w:w="714" w:type="dxa"/>
            <w:vMerge w:val="continue"/>
            <w:tcBorders>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p>
        </w:tc>
        <w:tc>
          <w:tcPr>
            <w:tcW w:w="273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投标文件制作机器码</w:t>
            </w:r>
          </w:p>
        </w:tc>
        <w:tc>
          <w:tcPr>
            <w:tcW w:w="4871"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kern w:val="0"/>
                <w:szCs w:val="21"/>
                <w:highlight w:val="none"/>
              </w:rPr>
            </w:pPr>
            <w:r>
              <w:rPr>
                <w:rFonts w:hint="eastAsia" w:asciiTheme="minorEastAsia" w:hAnsiTheme="minorEastAsia"/>
                <w:kern w:val="0"/>
                <w:szCs w:val="21"/>
                <w:highlight w:val="none"/>
              </w:rPr>
              <w:t>未与其他投标人的投标文件制作机器码一致</w:t>
            </w:r>
          </w:p>
        </w:tc>
      </w:tr>
    </w:tbl>
    <w:p>
      <w:pPr>
        <w:widowControl/>
        <w:jc w:val="left"/>
        <w:rPr>
          <w:sz w:val="24"/>
          <w:szCs w:val="24"/>
          <w:highlight w:val="none"/>
        </w:rPr>
      </w:pPr>
      <w:r>
        <w:rPr>
          <w:sz w:val="24"/>
          <w:szCs w:val="24"/>
          <w:highlight w:val="none"/>
        </w:rPr>
        <w:br w:type="page"/>
      </w:r>
    </w:p>
    <w:tbl>
      <w:tblPr>
        <w:tblStyle w:val="28"/>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8"/>
        <w:gridCol w:w="1193"/>
        <w:gridCol w:w="61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51" w:type="dxa"/>
            <w:gridSpan w:val="2"/>
            <w:noWrap w:val="0"/>
            <w:vAlign w:val="center"/>
          </w:tcPr>
          <w:p>
            <w:pPr>
              <w:spacing w:line="360" w:lineRule="auto"/>
              <w:jc w:val="center"/>
              <w:rPr>
                <w:rFonts w:hint="eastAsia" w:ascii="宋体" w:hAnsi="宋体" w:eastAsia="宋体" w:cs="宋体"/>
                <w:sz w:val="20"/>
                <w:szCs w:val="20"/>
                <w:highlight w:val="none"/>
                <w:lang w:val="en-US" w:eastAsia="zh-CN"/>
              </w:rPr>
            </w:pPr>
            <w:r>
              <w:rPr>
                <w:rFonts w:asciiTheme="minorEastAsia" w:hAnsiTheme="minorEastAsia"/>
                <w:kern w:val="0"/>
                <w:szCs w:val="21"/>
                <w:highlight w:val="none"/>
              </w:rPr>
              <w:t>评审因素</w:t>
            </w:r>
          </w:p>
        </w:tc>
        <w:tc>
          <w:tcPr>
            <w:tcW w:w="6171" w:type="dxa"/>
            <w:noWrap w:val="0"/>
            <w:vAlign w:val="center"/>
          </w:tcPr>
          <w:p>
            <w:pPr>
              <w:spacing w:line="360" w:lineRule="auto"/>
              <w:jc w:val="center"/>
              <w:rPr>
                <w:rFonts w:hint="eastAsia" w:ascii="宋体" w:hAnsi="宋体" w:eastAsia="宋体" w:cs="宋体"/>
                <w:sz w:val="20"/>
                <w:szCs w:val="20"/>
                <w:highlight w:val="none"/>
              </w:rPr>
            </w:pPr>
            <w:r>
              <w:rPr>
                <w:rFonts w:asciiTheme="minorEastAsia" w:hAnsiTheme="minorEastAsia"/>
                <w:kern w:val="0"/>
                <w:szCs w:val="21"/>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8" w:type="dxa"/>
            <w:noWrap w:val="0"/>
            <w:vAlign w:val="center"/>
          </w:tcPr>
          <w:p>
            <w:pPr>
              <w:spacing w:line="36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价格部分</w:t>
            </w:r>
          </w:p>
          <w:p>
            <w:pPr>
              <w:spacing w:line="36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（2</w:t>
            </w:r>
            <w:r>
              <w:rPr>
                <w:rFonts w:hint="eastAsia" w:ascii="宋体" w:hAnsi="宋体" w:eastAsia="宋体" w:cs="宋体"/>
                <w:sz w:val="20"/>
                <w:szCs w:val="20"/>
                <w:highlight w:val="none"/>
                <w:lang w:val="en-US" w:eastAsia="zh-CN"/>
              </w:rPr>
              <w:t>5</w:t>
            </w:r>
            <w:r>
              <w:rPr>
                <w:rFonts w:hint="eastAsia" w:ascii="宋体" w:hAnsi="宋体" w:eastAsia="宋体" w:cs="宋体"/>
                <w:sz w:val="20"/>
                <w:szCs w:val="20"/>
                <w:highlight w:val="none"/>
              </w:rPr>
              <w:t>分）</w:t>
            </w:r>
          </w:p>
        </w:tc>
        <w:tc>
          <w:tcPr>
            <w:tcW w:w="1193" w:type="dxa"/>
            <w:noWrap w:val="0"/>
            <w:vAlign w:val="center"/>
          </w:tcPr>
          <w:p>
            <w:pPr>
              <w:tabs>
                <w:tab w:val="center" w:pos="4153"/>
                <w:tab w:val="right" w:pos="8306"/>
              </w:tabs>
              <w:snapToGrid w:val="0"/>
              <w:spacing w:line="36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投标报价</w:t>
            </w:r>
            <w:r>
              <w:rPr>
                <w:rFonts w:hint="eastAsia" w:ascii="宋体" w:hAnsi="宋体" w:eastAsia="宋体" w:cs="宋体"/>
                <w:sz w:val="20"/>
                <w:szCs w:val="20"/>
                <w:highlight w:val="none"/>
              </w:rPr>
              <w:t>（2</w:t>
            </w:r>
            <w:r>
              <w:rPr>
                <w:rFonts w:hint="eastAsia" w:ascii="宋体" w:hAnsi="宋体" w:eastAsia="宋体" w:cs="宋体"/>
                <w:sz w:val="20"/>
                <w:szCs w:val="20"/>
                <w:highlight w:val="none"/>
                <w:lang w:val="en-US" w:eastAsia="zh-CN"/>
              </w:rPr>
              <w:t>5</w:t>
            </w:r>
            <w:r>
              <w:rPr>
                <w:rFonts w:hint="eastAsia" w:ascii="宋体" w:hAnsi="宋体" w:eastAsia="宋体" w:cs="宋体"/>
                <w:sz w:val="20"/>
                <w:szCs w:val="20"/>
                <w:highlight w:val="none"/>
              </w:rPr>
              <w:t>分）</w:t>
            </w:r>
          </w:p>
        </w:tc>
        <w:tc>
          <w:tcPr>
            <w:tcW w:w="6171" w:type="dxa"/>
            <w:noWrap w:val="0"/>
            <w:vAlign w:val="center"/>
          </w:tcPr>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价格分统一采用低价优先法计算，即</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评标基准价=有效投标人的最低报价，其价格分为满分。其他投标人的价格分统一按照下列公式计算： </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投标报价得分=评标基准价/投标报价×</w:t>
            </w:r>
            <w:r>
              <w:rPr>
                <w:rFonts w:hint="eastAsia" w:ascii="宋体" w:hAnsi="宋体" w:eastAsia="宋体" w:cs="宋体"/>
                <w:sz w:val="20"/>
                <w:szCs w:val="20"/>
                <w:highlight w:val="none"/>
                <w:lang w:val="en-US" w:eastAsia="zh-CN"/>
              </w:rPr>
              <w:t>25</w:t>
            </w:r>
            <w:r>
              <w:rPr>
                <w:rFonts w:hint="eastAsia" w:ascii="宋体" w:hAnsi="宋体" w:eastAsia="宋体" w:cs="宋体"/>
                <w:sz w:val="20"/>
                <w:szCs w:val="20"/>
                <w:highlight w:val="none"/>
              </w:rPr>
              <w:t>×100%</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因落实政府采购政策进行价格调整的，以调整后的价格计算</w:t>
            </w:r>
            <w:r>
              <w:rPr>
                <w:rFonts w:hint="eastAsia" w:ascii="宋体" w:hAnsi="宋体" w:eastAsia="宋体" w:cs="宋体"/>
                <w:sz w:val="20"/>
                <w:szCs w:val="20"/>
                <w:highlight w:val="none"/>
                <w:lang w:val="en-US" w:eastAsia="zh-CN"/>
              </w:rPr>
              <w:t>评标</w:t>
            </w:r>
            <w:r>
              <w:rPr>
                <w:rFonts w:hint="eastAsia" w:ascii="宋体" w:hAnsi="宋体" w:eastAsia="宋体" w:cs="宋体"/>
                <w:sz w:val="20"/>
                <w:szCs w:val="20"/>
                <w:highlight w:val="none"/>
              </w:rPr>
              <w:t>基准价。</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备注：</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1.关于报价评分中给予小微企业优惠的说明：评审时给予小型或微型企业10%的价格扣除，用扣除后的价格参与评审。投标人须提供中小企业声明函，否则不予认可。</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2.评标委员会认为投标人的报价明显低于其他通过符合性审查投标人的报价，有可能影响服务质量或者不能诚信履约的，应当要求其在评标现场合理的时间内提供书面说明，并提交相关证明材料；投标人不能合理说明或不能提交有力证明材料证明其报价合理性的，评标委员会应当将其作为无效投标处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3.按四舍五入，保留小数点后二位。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9" w:hRule="atLeast"/>
          <w:jc w:val="center"/>
        </w:trPr>
        <w:tc>
          <w:tcPr>
            <w:tcW w:w="1158" w:type="dxa"/>
            <w:noWrap w:val="0"/>
            <w:vAlign w:val="center"/>
          </w:tcPr>
          <w:p>
            <w:pPr>
              <w:tabs>
                <w:tab w:val="left" w:pos="0"/>
                <w:tab w:val="left" w:pos="360"/>
              </w:tabs>
              <w:spacing w:line="36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商务部分</w:t>
            </w:r>
          </w:p>
          <w:p>
            <w:pPr>
              <w:spacing w:line="36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w:t>
            </w:r>
            <w:r>
              <w:rPr>
                <w:rFonts w:hint="eastAsia" w:ascii="宋体" w:hAnsi="宋体" w:eastAsia="宋体" w:cs="宋体"/>
                <w:sz w:val="20"/>
                <w:szCs w:val="20"/>
                <w:highlight w:val="none"/>
                <w:lang w:val="en-US" w:eastAsia="zh-CN"/>
              </w:rPr>
              <w:t>1</w:t>
            </w:r>
            <w:r>
              <w:rPr>
                <w:rFonts w:hint="eastAsia" w:ascii="宋体" w:hAnsi="宋体" w:cs="宋体"/>
                <w:sz w:val="20"/>
                <w:szCs w:val="20"/>
                <w:highlight w:val="none"/>
                <w:lang w:val="en-US" w:eastAsia="zh-CN"/>
              </w:rPr>
              <w:t>0</w:t>
            </w:r>
            <w:r>
              <w:rPr>
                <w:rFonts w:hint="eastAsia" w:ascii="宋体" w:hAnsi="宋体" w:eastAsia="宋体" w:cs="宋体"/>
                <w:sz w:val="20"/>
                <w:szCs w:val="20"/>
                <w:highlight w:val="none"/>
              </w:rPr>
              <w:t>分）</w:t>
            </w:r>
          </w:p>
        </w:tc>
        <w:tc>
          <w:tcPr>
            <w:tcW w:w="1193" w:type="dxa"/>
            <w:noWrap w:val="0"/>
            <w:vAlign w:val="center"/>
          </w:tcPr>
          <w:p>
            <w:pPr>
              <w:pageBreakBefore w:val="0"/>
              <w:widowControl w:val="0"/>
              <w:tabs>
                <w:tab w:val="center" w:pos="4153"/>
                <w:tab w:val="right" w:pos="8306"/>
              </w:tabs>
              <w:kinsoku/>
              <w:wordWrap/>
              <w:overflowPunct/>
              <w:topLinePunct w:val="0"/>
              <w:bidi w:val="0"/>
              <w:snapToGrid w:val="0"/>
              <w:spacing w:line="440" w:lineRule="exact"/>
              <w:jc w:val="center"/>
              <w:textAlignment w:val="auto"/>
              <w:rPr>
                <w:rFonts w:hint="eastAsia" w:ascii="宋体" w:hAnsi="宋体" w:eastAsia="宋体" w:cs="宋体"/>
                <w:sz w:val="20"/>
                <w:szCs w:val="20"/>
                <w:highlight w:val="none"/>
                <w:lang w:val="en-GB"/>
              </w:rPr>
            </w:pPr>
            <w:r>
              <w:rPr>
                <w:rFonts w:hint="eastAsia" w:ascii="宋体" w:hAnsi="宋体" w:eastAsia="宋体" w:cs="宋体"/>
                <w:sz w:val="20"/>
                <w:szCs w:val="20"/>
                <w:highlight w:val="none"/>
                <w:lang w:val="en-GB"/>
              </w:rPr>
              <w:t>服务承诺</w:t>
            </w:r>
          </w:p>
          <w:p>
            <w:pPr>
              <w:pageBreakBefore w:val="0"/>
              <w:widowControl w:val="0"/>
              <w:tabs>
                <w:tab w:val="center" w:pos="4153"/>
                <w:tab w:val="right" w:pos="8306"/>
              </w:tabs>
              <w:kinsoku/>
              <w:wordWrap/>
              <w:overflowPunct/>
              <w:topLinePunct w:val="0"/>
              <w:bidi w:val="0"/>
              <w:snapToGrid w:val="0"/>
              <w:spacing w:line="440" w:lineRule="exact"/>
              <w:jc w:val="center"/>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GB"/>
              </w:rPr>
              <w:t>(</w:t>
            </w:r>
            <w:r>
              <w:rPr>
                <w:rFonts w:hint="eastAsia" w:ascii="宋体" w:hAnsi="宋体" w:cs="宋体"/>
                <w:sz w:val="20"/>
                <w:szCs w:val="20"/>
                <w:highlight w:val="none"/>
                <w:lang w:val="en-US" w:eastAsia="zh-CN"/>
              </w:rPr>
              <w:t>10</w:t>
            </w:r>
            <w:r>
              <w:rPr>
                <w:rFonts w:hint="eastAsia" w:ascii="宋体" w:hAnsi="宋体" w:eastAsia="宋体" w:cs="宋体"/>
                <w:sz w:val="20"/>
                <w:szCs w:val="20"/>
                <w:highlight w:val="none"/>
                <w:lang w:val="en-GB"/>
              </w:rPr>
              <w:t>分）</w:t>
            </w:r>
          </w:p>
        </w:tc>
        <w:tc>
          <w:tcPr>
            <w:tcW w:w="6171" w:type="dxa"/>
            <w:noWrap w:val="0"/>
            <w:vAlign w:val="center"/>
          </w:tcPr>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根据</w:t>
            </w:r>
            <w:r>
              <w:rPr>
                <w:rFonts w:hint="eastAsia" w:ascii="宋体" w:hAnsi="宋体" w:eastAsia="宋体" w:cs="宋体"/>
                <w:sz w:val="20"/>
                <w:szCs w:val="20"/>
                <w:highlight w:val="none"/>
                <w:lang w:val="en-US" w:eastAsia="zh-CN"/>
              </w:rPr>
              <w:t>投标人</w:t>
            </w:r>
            <w:r>
              <w:rPr>
                <w:rFonts w:hint="eastAsia" w:ascii="宋体" w:hAnsi="宋体" w:eastAsia="宋体" w:cs="宋体"/>
                <w:sz w:val="20"/>
                <w:szCs w:val="20"/>
                <w:highlight w:val="none"/>
              </w:rPr>
              <w:t>提供的服务承诺、对本项目的合理化建议、工作对接及</w:t>
            </w:r>
            <w:r>
              <w:rPr>
                <w:rFonts w:hint="eastAsia" w:ascii="宋体" w:hAnsi="宋体" w:eastAsia="宋体" w:cs="宋体"/>
                <w:sz w:val="20"/>
                <w:szCs w:val="20"/>
                <w:highlight w:val="none"/>
                <w:lang w:val="en-US" w:eastAsia="zh-CN"/>
              </w:rPr>
              <w:t>中标</w:t>
            </w:r>
            <w:r>
              <w:rPr>
                <w:rFonts w:hint="eastAsia" w:ascii="宋体" w:hAnsi="宋体" w:eastAsia="宋体" w:cs="宋体"/>
                <w:sz w:val="20"/>
                <w:szCs w:val="20"/>
                <w:highlight w:val="none"/>
              </w:rPr>
              <w:t>后做出的优惠条件、优惠承诺和</w:t>
            </w:r>
            <w:r>
              <w:rPr>
                <w:rFonts w:hint="eastAsia" w:ascii="宋体" w:hAnsi="宋体" w:eastAsia="宋体" w:cs="宋体"/>
                <w:sz w:val="20"/>
                <w:szCs w:val="20"/>
                <w:highlight w:val="none"/>
                <w:lang w:val="en-US" w:eastAsia="zh-CN"/>
              </w:rPr>
              <w:t>中标</w:t>
            </w:r>
            <w:r>
              <w:rPr>
                <w:rFonts w:hint="eastAsia" w:ascii="宋体" w:hAnsi="宋体" w:eastAsia="宋体" w:cs="宋体"/>
                <w:sz w:val="20"/>
                <w:szCs w:val="20"/>
                <w:highlight w:val="none"/>
              </w:rPr>
              <w:t>后履约承诺、服务质量等情况</w:t>
            </w:r>
            <w:r>
              <w:rPr>
                <w:rFonts w:hint="eastAsia" w:ascii="宋体" w:hAnsi="宋体" w:eastAsia="宋体" w:cs="宋体"/>
                <w:sz w:val="20"/>
                <w:szCs w:val="20"/>
                <w:highlight w:val="none"/>
                <w:lang w:eastAsia="zh-CN"/>
              </w:rPr>
              <w:t>进行评审</w:t>
            </w:r>
            <w:r>
              <w:rPr>
                <w:rFonts w:hint="eastAsia" w:ascii="宋体" w:hAnsi="宋体" w:eastAsia="宋体" w:cs="宋体"/>
                <w:sz w:val="20"/>
                <w:szCs w:val="20"/>
                <w:highlight w:val="none"/>
              </w:rPr>
              <w:t>。</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1.方案</w:t>
            </w:r>
            <w:r>
              <w:rPr>
                <w:rFonts w:hint="eastAsia" w:ascii="宋体" w:hAnsi="宋体" w:eastAsia="宋体" w:cs="宋体"/>
                <w:sz w:val="20"/>
                <w:szCs w:val="20"/>
                <w:highlight w:val="none"/>
                <w:lang w:val="en-US" w:eastAsia="zh-CN"/>
              </w:rPr>
              <w:t>完整</w:t>
            </w:r>
            <w:r>
              <w:rPr>
                <w:rFonts w:hint="eastAsia" w:ascii="宋体" w:hAnsi="宋体" w:eastAsia="宋体" w:cs="宋体"/>
                <w:sz w:val="20"/>
                <w:szCs w:val="20"/>
                <w:highlight w:val="none"/>
              </w:rPr>
              <w:t>全面，切实可行得</w:t>
            </w:r>
            <w:r>
              <w:rPr>
                <w:rFonts w:hint="eastAsia" w:ascii="宋体" w:hAnsi="宋体" w:eastAsia="宋体" w:cs="宋体"/>
                <w:sz w:val="20"/>
                <w:szCs w:val="20"/>
                <w:highlight w:val="none"/>
                <w:lang w:val="en-US" w:eastAsia="zh-CN"/>
              </w:rPr>
              <w:t>10</w:t>
            </w:r>
            <w:r>
              <w:rPr>
                <w:rFonts w:hint="eastAsia" w:ascii="宋体" w:hAnsi="宋体" w:eastAsia="宋体" w:cs="宋体"/>
                <w:sz w:val="20"/>
                <w:szCs w:val="20"/>
                <w:highlight w:val="none"/>
              </w:rPr>
              <w:t>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2.方案较全面，可</w:t>
            </w:r>
            <w:r>
              <w:rPr>
                <w:rFonts w:hint="eastAsia" w:ascii="宋体" w:hAnsi="宋体" w:eastAsia="宋体" w:cs="宋体"/>
                <w:sz w:val="20"/>
                <w:szCs w:val="20"/>
                <w:highlight w:val="none"/>
                <w:lang w:val="en-US" w:eastAsia="zh-CN"/>
              </w:rPr>
              <w:t>执行性较好</w:t>
            </w:r>
            <w:r>
              <w:rPr>
                <w:rFonts w:hint="eastAsia" w:ascii="宋体" w:hAnsi="宋体" w:eastAsia="宋体" w:cs="宋体"/>
                <w:sz w:val="20"/>
                <w:szCs w:val="20"/>
                <w:highlight w:val="none"/>
              </w:rPr>
              <w:t>得</w:t>
            </w:r>
            <w:r>
              <w:rPr>
                <w:rFonts w:hint="eastAsia" w:ascii="宋体" w:hAnsi="宋体" w:eastAsia="宋体" w:cs="宋体"/>
                <w:sz w:val="20"/>
                <w:szCs w:val="20"/>
                <w:highlight w:val="none"/>
                <w:lang w:val="en-US" w:eastAsia="zh-CN"/>
              </w:rPr>
              <w:t>7</w:t>
            </w:r>
            <w:r>
              <w:rPr>
                <w:rFonts w:hint="eastAsia" w:ascii="宋体" w:hAnsi="宋体" w:eastAsia="宋体" w:cs="宋体"/>
                <w:sz w:val="20"/>
                <w:szCs w:val="20"/>
                <w:highlight w:val="none"/>
              </w:rPr>
              <w:t>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3.方案基本全面，</w:t>
            </w:r>
            <w:r>
              <w:rPr>
                <w:rFonts w:hint="eastAsia" w:ascii="宋体" w:hAnsi="宋体" w:eastAsia="宋体" w:cs="宋体"/>
                <w:sz w:val="20"/>
                <w:szCs w:val="20"/>
                <w:highlight w:val="none"/>
                <w:lang w:eastAsia="zh-CN"/>
              </w:rPr>
              <w:t>可</w:t>
            </w:r>
            <w:r>
              <w:rPr>
                <w:rFonts w:hint="eastAsia" w:ascii="宋体" w:hAnsi="宋体" w:eastAsia="宋体" w:cs="宋体"/>
                <w:sz w:val="20"/>
                <w:szCs w:val="20"/>
                <w:highlight w:val="none"/>
                <w:lang w:val="en-US" w:eastAsia="zh-CN"/>
              </w:rPr>
              <w:t>执行性一般</w:t>
            </w:r>
            <w:r>
              <w:rPr>
                <w:rFonts w:hint="eastAsia" w:ascii="宋体" w:hAnsi="宋体" w:eastAsia="宋体" w:cs="宋体"/>
                <w:sz w:val="20"/>
                <w:szCs w:val="20"/>
                <w:highlight w:val="none"/>
              </w:rPr>
              <w:t>得</w:t>
            </w:r>
            <w:r>
              <w:rPr>
                <w:rFonts w:hint="eastAsia" w:ascii="宋体" w:hAnsi="宋体" w:eastAsia="宋体" w:cs="宋体"/>
                <w:sz w:val="20"/>
                <w:szCs w:val="20"/>
                <w:highlight w:val="none"/>
                <w:lang w:val="en-US" w:eastAsia="zh-CN"/>
              </w:rPr>
              <w:t>4</w:t>
            </w:r>
            <w:r>
              <w:rPr>
                <w:rFonts w:hint="eastAsia" w:ascii="宋体" w:hAnsi="宋体" w:eastAsia="宋体" w:cs="宋体"/>
                <w:sz w:val="20"/>
                <w:szCs w:val="20"/>
                <w:highlight w:val="none"/>
              </w:rPr>
              <w:t>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4.方案</w:t>
            </w:r>
            <w:r>
              <w:rPr>
                <w:rFonts w:hint="eastAsia" w:ascii="宋体" w:hAnsi="宋体" w:eastAsia="宋体" w:cs="宋体"/>
                <w:sz w:val="20"/>
                <w:szCs w:val="20"/>
                <w:highlight w:val="none"/>
                <w:lang w:val="en-US" w:eastAsia="zh-CN"/>
              </w:rPr>
              <w:t>较差</w:t>
            </w:r>
            <w:r>
              <w:rPr>
                <w:rFonts w:hint="eastAsia" w:ascii="宋体" w:hAnsi="宋体" w:eastAsia="宋体" w:cs="宋体"/>
                <w:sz w:val="20"/>
                <w:szCs w:val="20"/>
                <w:highlight w:val="none"/>
              </w:rPr>
              <w:t>，</w:t>
            </w:r>
            <w:r>
              <w:rPr>
                <w:rFonts w:hint="eastAsia" w:ascii="宋体" w:hAnsi="宋体" w:eastAsia="宋体" w:cs="宋体"/>
                <w:sz w:val="20"/>
                <w:szCs w:val="20"/>
                <w:highlight w:val="none"/>
                <w:lang w:eastAsia="zh-CN"/>
              </w:rPr>
              <w:t>可</w:t>
            </w:r>
            <w:r>
              <w:rPr>
                <w:rFonts w:hint="eastAsia" w:ascii="宋体" w:hAnsi="宋体" w:eastAsia="宋体" w:cs="宋体"/>
                <w:sz w:val="20"/>
                <w:szCs w:val="20"/>
                <w:highlight w:val="none"/>
              </w:rPr>
              <w:t>执行</w:t>
            </w:r>
            <w:r>
              <w:rPr>
                <w:rFonts w:hint="eastAsia" w:ascii="宋体" w:hAnsi="宋体" w:eastAsia="宋体" w:cs="宋体"/>
                <w:sz w:val="20"/>
                <w:szCs w:val="20"/>
                <w:highlight w:val="none"/>
                <w:lang w:val="en-US" w:eastAsia="zh-CN"/>
              </w:rPr>
              <w:t>性较差</w:t>
            </w:r>
            <w:r>
              <w:rPr>
                <w:rFonts w:hint="eastAsia" w:ascii="宋体" w:hAnsi="宋体" w:eastAsia="宋体" w:cs="宋体"/>
                <w:sz w:val="20"/>
                <w:szCs w:val="20"/>
                <w:highlight w:val="none"/>
              </w:rPr>
              <w:t>得1分；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5.</w:t>
            </w:r>
            <w:r>
              <w:rPr>
                <w:rFonts w:hint="eastAsia" w:ascii="宋体" w:hAnsi="宋体" w:eastAsia="宋体" w:cs="宋体"/>
                <w:sz w:val="20"/>
                <w:szCs w:val="20"/>
                <w:highlight w:val="none"/>
              </w:rPr>
              <w:t>未提供或不符合采购需求不得分。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58" w:type="dxa"/>
            <w:vMerge w:val="restart"/>
            <w:noWrap w:val="0"/>
            <w:vAlign w:val="center"/>
          </w:tcPr>
          <w:p>
            <w:pPr>
              <w:spacing w:line="36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技术部分（</w:t>
            </w:r>
            <w:r>
              <w:rPr>
                <w:rFonts w:hint="eastAsia" w:ascii="宋体" w:hAnsi="宋体" w:eastAsia="宋体" w:cs="宋体"/>
                <w:sz w:val="20"/>
                <w:szCs w:val="20"/>
                <w:highlight w:val="none"/>
                <w:lang w:val="en-US" w:eastAsia="zh-CN"/>
              </w:rPr>
              <w:t>6</w:t>
            </w:r>
            <w:r>
              <w:rPr>
                <w:rFonts w:hint="eastAsia" w:ascii="宋体" w:hAnsi="宋体" w:cs="宋体"/>
                <w:sz w:val="20"/>
                <w:szCs w:val="20"/>
                <w:highlight w:val="none"/>
                <w:lang w:val="en-US" w:eastAsia="zh-CN"/>
              </w:rPr>
              <w:t>5</w:t>
            </w:r>
            <w:r>
              <w:rPr>
                <w:rFonts w:hint="eastAsia" w:ascii="宋体" w:hAnsi="宋体" w:eastAsia="宋体" w:cs="宋体"/>
                <w:sz w:val="20"/>
                <w:szCs w:val="20"/>
                <w:highlight w:val="none"/>
              </w:rPr>
              <w:t>分）</w:t>
            </w:r>
          </w:p>
        </w:tc>
        <w:tc>
          <w:tcPr>
            <w:tcW w:w="1193" w:type="dxa"/>
            <w:noWrap w:val="0"/>
            <w:vAlign w:val="center"/>
          </w:tcPr>
          <w:p>
            <w:pPr>
              <w:spacing w:line="36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策划方案</w:t>
            </w:r>
          </w:p>
          <w:p>
            <w:pPr>
              <w:spacing w:line="36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w:t>
            </w:r>
            <w:r>
              <w:rPr>
                <w:rFonts w:hint="eastAsia" w:ascii="宋体" w:hAnsi="宋体" w:eastAsia="宋体" w:cs="宋体"/>
                <w:sz w:val="20"/>
                <w:szCs w:val="20"/>
                <w:highlight w:val="none"/>
                <w:lang w:val="en-US" w:eastAsia="zh-CN"/>
              </w:rPr>
              <w:t>25</w:t>
            </w:r>
            <w:r>
              <w:rPr>
                <w:rFonts w:hint="eastAsia" w:ascii="宋体" w:hAnsi="宋体" w:eastAsia="宋体" w:cs="宋体"/>
                <w:sz w:val="20"/>
                <w:szCs w:val="20"/>
                <w:highlight w:val="none"/>
              </w:rPr>
              <w:t>分）</w:t>
            </w:r>
          </w:p>
        </w:tc>
        <w:tc>
          <w:tcPr>
            <w:tcW w:w="6171" w:type="dxa"/>
            <w:noWrap w:val="0"/>
            <w:vAlign w:val="center"/>
          </w:tcPr>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根据项目需求针对本项目提供完整策划方案、</w:t>
            </w:r>
            <w:r>
              <w:rPr>
                <w:rFonts w:hint="eastAsia" w:ascii="宋体" w:hAnsi="宋体" w:eastAsia="宋体" w:cs="宋体"/>
                <w:sz w:val="20"/>
                <w:szCs w:val="20"/>
                <w:highlight w:val="none"/>
                <w:lang w:val="en-US" w:eastAsia="zh-CN"/>
              </w:rPr>
              <w:t>节目方案、</w:t>
            </w:r>
            <w:r>
              <w:rPr>
                <w:rFonts w:hint="eastAsia" w:ascii="宋体" w:hAnsi="宋体" w:eastAsia="宋体" w:cs="宋体"/>
                <w:sz w:val="20"/>
                <w:szCs w:val="20"/>
                <w:highlight w:val="none"/>
              </w:rPr>
              <w:t>会场氛围设计方案等，方案应能深刻理解活动的重大意义和主题思想。</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一、整体策划设计理念（</w:t>
            </w:r>
            <w:r>
              <w:rPr>
                <w:rFonts w:hint="eastAsia" w:ascii="宋体" w:hAnsi="宋体" w:eastAsia="宋体" w:cs="宋体"/>
                <w:sz w:val="20"/>
                <w:szCs w:val="20"/>
                <w:highlight w:val="none"/>
                <w:lang w:val="en-US" w:eastAsia="zh-CN"/>
              </w:rPr>
              <w:t>10</w:t>
            </w:r>
            <w:r>
              <w:rPr>
                <w:rFonts w:hint="eastAsia" w:ascii="宋体" w:hAnsi="宋体" w:eastAsia="宋体" w:cs="宋体"/>
                <w:sz w:val="20"/>
                <w:szCs w:val="20"/>
                <w:highlight w:val="none"/>
              </w:rPr>
              <w:t>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1.设计理念</w:t>
            </w:r>
            <w:r>
              <w:rPr>
                <w:rFonts w:hint="eastAsia" w:ascii="宋体" w:hAnsi="宋体" w:eastAsia="宋体" w:cs="宋体"/>
                <w:sz w:val="20"/>
                <w:szCs w:val="20"/>
                <w:highlight w:val="none"/>
                <w:lang w:val="en-US" w:eastAsia="zh-CN"/>
              </w:rPr>
              <w:t>新颖，创新性强，</w:t>
            </w:r>
            <w:r>
              <w:rPr>
                <w:rFonts w:hint="eastAsia" w:ascii="宋体" w:hAnsi="宋体" w:eastAsia="宋体" w:cs="宋体"/>
                <w:sz w:val="20"/>
                <w:szCs w:val="20"/>
                <w:highlight w:val="none"/>
              </w:rPr>
              <w:t>主题突出</w:t>
            </w:r>
            <w:r>
              <w:rPr>
                <w:rFonts w:hint="eastAsia" w:ascii="宋体" w:hAnsi="宋体" w:eastAsia="宋体" w:cs="宋体"/>
                <w:sz w:val="20"/>
                <w:szCs w:val="20"/>
                <w:highlight w:val="none"/>
                <w:lang w:val="en-US" w:eastAsia="zh-CN"/>
              </w:rPr>
              <w:t>的，</w:t>
            </w:r>
            <w:r>
              <w:rPr>
                <w:rFonts w:hint="eastAsia" w:ascii="宋体" w:hAnsi="宋体" w:eastAsia="宋体" w:cs="宋体"/>
                <w:sz w:val="20"/>
                <w:szCs w:val="20"/>
                <w:highlight w:val="none"/>
              </w:rPr>
              <w:t>得</w:t>
            </w:r>
            <w:r>
              <w:rPr>
                <w:rFonts w:hint="eastAsia" w:ascii="宋体" w:hAnsi="宋体" w:eastAsia="宋体" w:cs="宋体"/>
                <w:sz w:val="20"/>
                <w:szCs w:val="20"/>
                <w:highlight w:val="none"/>
                <w:lang w:val="en-US" w:eastAsia="zh-CN"/>
              </w:rPr>
              <w:t>10</w:t>
            </w:r>
            <w:r>
              <w:rPr>
                <w:rFonts w:hint="eastAsia" w:ascii="宋体" w:hAnsi="宋体" w:eastAsia="宋体" w:cs="宋体"/>
                <w:sz w:val="20"/>
                <w:szCs w:val="20"/>
                <w:highlight w:val="none"/>
              </w:rPr>
              <w:t>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2.设计理念</w:t>
            </w:r>
            <w:r>
              <w:rPr>
                <w:rFonts w:hint="eastAsia" w:ascii="宋体" w:hAnsi="宋体" w:eastAsia="宋体" w:cs="宋体"/>
                <w:sz w:val="20"/>
                <w:szCs w:val="20"/>
                <w:highlight w:val="none"/>
                <w:lang w:val="en-US" w:eastAsia="zh-CN"/>
              </w:rPr>
              <w:t>较新颖，创新性较强，</w:t>
            </w:r>
            <w:r>
              <w:rPr>
                <w:rFonts w:hint="eastAsia" w:ascii="宋体" w:hAnsi="宋体" w:eastAsia="宋体" w:cs="宋体"/>
                <w:sz w:val="20"/>
                <w:szCs w:val="20"/>
                <w:highlight w:val="none"/>
              </w:rPr>
              <w:t>主题</w:t>
            </w:r>
            <w:r>
              <w:rPr>
                <w:rFonts w:hint="eastAsia" w:ascii="宋体" w:hAnsi="宋体" w:eastAsia="宋体" w:cs="宋体"/>
                <w:sz w:val="20"/>
                <w:szCs w:val="20"/>
                <w:highlight w:val="none"/>
                <w:lang w:val="en-US" w:eastAsia="zh-CN"/>
              </w:rPr>
              <w:t>较</w:t>
            </w:r>
            <w:r>
              <w:rPr>
                <w:rFonts w:hint="eastAsia" w:ascii="宋体" w:hAnsi="宋体" w:eastAsia="宋体" w:cs="宋体"/>
                <w:sz w:val="20"/>
                <w:szCs w:val="20"/>
                <w:highlight w:val="none"/>
              </w:rPr>
              <w:t>突出</w:t>
            </w:r>
            <w:r>
              <w:rPr>
                <w:rFonts w:hint="eastAsia" w:ascii="宋体" w:hAnsi="宋体" w:eastAsia="宋体" w:cs="宋体"/>
                <w:sz w:val="20"/>
                <w:szCs w:val="20"/>
                <w:highlight w:val="none"/>
                <w:lang w:val="en-US" w:eastAsia="zh-CN"/>
              </w:rPr>
              <w:t>的</w:t>
            </w:r>
            <w:r>
              <w:rPr>
                <w:rFonts w:hint="eastAsia" w:ascii="宋体" w:hAnsi="宋体" w:eastAsia="宋体" w:cs="宋体"/>
                <w:sz w:val="20"/>
                <w:szCs w:val="20"/>
                <w:highlight w:val="none"/>
              </w:rPr>
              <w:t>，得</w:t>
            </w:r>
            <w:r>
              <w:rPr>
                <w:rFonts w:hint="eastAsia" w:ascii="宋体" w:hAnsi="宋体" w:eastAsia="宋体" w:cs="宋体"/>
                <w:sz w:val="20"/>
                <w:szCs w:val="20"/>
                <w:highlight w:val="none"/>
                <w:lang w:val="en-US" w:eastAsia="zh-CN"/>
              </w:rPr>
              <w:t>7</w:t>
            </w:r>
            <w:r>
              <w:rPr>
                <w:rFonts w:hint="eastAsia" w:ascii="宋体" w:hAnsi="宋体" w:eastAsia="宋体" w:cs="宋体"/>
                <w:sz w:val="20"/>
                <w:szCs w:val="20"/>
                <w:highlight w:val="none"/>
              </w:rPr>
              <w:t>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3.设计</w:t>
            </w:r>
            <w:r>
              <w:rPr>
                <w:rFonts w:hint="eastAsia" w:ascii="宋体" w:hAnsi="宋体" w:eastAsia="宋体" w:cs="宋体"/>
                <w:sz w:val="20"/>
                <w:szCs w:val="20"/>
                <w:highlight w:val="none"/>
                <w:lang w:val="en-US" w:eastAsia="zh-CN"/>
              </w:rPr>
              <w:t>理念一般，创新性一般，</w:t>
            </w:r>
            <w:r>
              <w:rPr>
                <w:rFonts w:hint="eastAsia" w:ascii="宋体" w:hAnsi="宋体" w:eastAsia="宋体" w:cs="宋体"/>
                <w:sz w:val="20"/>
                <w:szCs w:val="20"/>
                <w:highlight w:val="none"/>
              </w:rPr>
              <w:t>主题</w:t>
            </w:r>
            <w:r>
              <w:rPr>
                <w:rFonts w:hint="eastAsia" w:ascii="宋体" w:hAnsi="宋体" w:eastAsia="宋体" w:cs="宋体"/>
                <w:sz w:val="20"/>
                <w:szCs w:val="20"/>
                <w:highlight w:val="none"/>
                <w:lang w:val="en-US" w:eastAsia="zh-CN"/>
              </w:rPr>
              <w:t>不</w:t>
            </w:r>
            <w:r>
              <w:rPr>
                <w:rFonts w:hint="eastAsia" w:ascii="宋体" w:hAnsi="宋体" w:eastAsia="宋体" w:cs="宋体"/>
                <w:sz w:val="20"/>
                <w:szCs w:val="20"/>
                <w:highlight w:val="none"/>
              </w:rPr>
              <w:t>突出</w:t>
            </w:r>
            <w:r>
              <w:rPr>
                <w:rFonts w:hint="eastAsia" w:ascii="宋体" w:hAnsi="宋体" w:eastAsia="宋体" w:cs="宋体"/>
                <w:sz w:val="20"/>
                <w:szCs w:val="20"/>
                <w:highlight w:val="none"/>
                <w:lang w:val="en-US" w:eastAsia="zh-CN"/>
              </w:rPr>
              <w:t>的，</w:t>
            </w:r>
            <w:r>
              <w:rPr>
                <w:rFonts w:hint="eastAsia" w:ascii="宋体" w:hAnsi="宋体" w:eastAsia="宋体" w:cs="宋体"/>
                <w:sz w:val="20"/>
                <w:szCs w:val="20"/>
                <w:highlight w:val="none"/>
              </w:rPr>
              <w:t>得</w:t>
            </w:r>
            <w:r>
              <w:rPr>
                <w:rFonts w:hint="eastAsia" w:ascii="宋体" w:hAnsi="宋体" w:eastAsia="宋体" w:cs="宋体"/>
                <w:sz w:val="20"/>
                <w:szCs w:val="20"/>
                <w:highlight w:val="none"/>
                <w:lang w:val="en-US" w:eastAsia="zh-CN"/>
              </w:rPr>
              <w:t>4</w:t>
            </w:r>
            <w:r>
              <w:rPr>
                <w:rFonts w:hint="eastAsia" w:ascii="宋体" w:hAnsi="宋体" w:eastAsia="宋体" w:cs="宋体"/>
                <w:sz w:val="20"/>
                <w:szCs w:val="20"/>
                <w:highlight w:val="none"/>
              </w:rPr>
              <w:t>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4.设计理念</w:t>
            </w:r>
            <w:r>
              <w:rPr>
                <w:rFonts w:hint="eastAsia" w:ascii="宋体" w:hAnsi="宋体" w:eastAsia="宋体" w:cs="宋体"/>
                <w:sz w:val="20"/>
                <w:szCs w:val="20"/>
                <w:highlight w:val="none"/>
                <w:lang w:val="en-US" w:eastAsia="zh-CN"/>
              </w:rPr>
              <w:t>较差</w:t>
            </w:r>
            <w:r>
              <w:rPr>
                <w:rFonts w:hint="eastAsia" w:ascii="宋体" w:hAnsi="宋体" w:eastAsia="宋体" w:cs="宋体"/>
                <w:sz w:val="20"/>
                <w:szCs w:val="20"/>
                <w:highlight w:val="none"/>
              </w:rPr>
              <w:t>，</w:t>
            </w:r>
            <w:r>
              <w:rPr>
                <w:rFonts w:hint="eastAsia" w:ascii="宋体" w:hAnsi="宋体" w:eastAsia="宋体" w:cs="宋体"/>
                <w:sz w:val="20"/>
                <w:szCs w:val="20"/>
                <w:highlight w:val="none"/>
                <w:lang w:val="en-US" w:eastAsia="zh-CN"/>
              </w:rPr>
              <w:t>无创新性的</w:t>
            </w:r>
            <w:r>
              <w:rPr>
                <w:rFonts w:hint="eastAsia" w:ascii="宋体" w:hAnsi="宋体" w:eastAsia="宋体" w:cs="宋体"/>
                <w:sz w:val="20"/>
                <w:szCs w:val="20"/>
                <w:highlight w:val="none"/>
              </w:rPr>
              <w:t>，得1分；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5.</w:t>
            </w:r>
            <w:r>
              <w:rPr>
                <w:rFonts w:hint="eastAsia" w:ascii="宋体" w:hAnsi="宋体" w:eastAsia="宋体" w:cs="宋体"/>
                <w:sz w:val="20"/>
                <w:szCs w:val="20"/>
                <w:highlight w:val="none"/>
              </w:rPr>
              <w:t>未提供或不符合采购需求不得分。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u w:val="none"/>
              </w:rPr>
              <w:t>二</w:t>
            </w:r>
            <w:r>
              <w:rPr>
                <w:rFonts w:hint="eastAsia" w:ascii="宋体" w:hAnsi="宋体" w:eastAsia="宋体" w:cs="宋体"/>
                <w:sz w:val="20"/>
                <w:szCs w:val="20"/>
                <w:highlight w:val="none"/>
              </w:rPr>
              <w:t>、</w:t>
            </w:r>
            <w:r>
              <w:rPr>
                <w:rFonts w:hint="eastAsia" w:ascii="宋体" w:hAnsi="宋体" w:eastAsia="宋体" w:cs="宋体"/>
                <w:sz w:val="20"/>
                <w:szCs w:val="20"/>
                <w:highlight w:val="none"/>
                <w:lang w:val="en-US" w:eastAsia="zh-CN"/>
              </w:rPr>
              <w:t>节目方案（10分）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1.节目方案完整、详细，创新性强，得10分； </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2.节目方案较完整、较详细，创新性较强，得7分；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3.有节目方案，但完整性、创新性一般，得4分；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4.有节目方案，但完整性、创新性较差，得1分；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5.</w:t>
            </w:r>
            <w:r>
              <w:rPr>
                <w:rFonts w:hint="eastAsia" w:ascii="宋体" w:hAnsi="宋体" w:eastAsia="宋体" w:cs="宋体"/>
                <w:sz w:val="20"/>
                <w:szCs w:val="20"/>
                <w:highlight w:val="none"/>
              </w:rPr>
              <w:t>未提供或不符合采购需求不得分。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三、</w:t>
            </w:r>
            <w:r>
              <w:rPr>
                <w:rFonts w:hint="eastAsia" w:ascii="宋体" w:hAnsi="宋体" w:eastAsia="宋体" w:cs="宋体"/>
                <w:sz w:val="20"/>
                <w:szCs w:val="20"/>
                <w:highlight w:val="none"/>
              </w:rPr>
              <w:t>会场氛围设计方案（</w:t>
            </w:r>
            <w:r>
              <w:rPr>
                <w:rFonts w:hint="eastAsia" w:ascii="宋体" w:hAnsi="宋体" w:eastAsia="宋体" w:cs="宋体"/>
                <w:sz w:val="20"/>
                <w:szCs w:val="20"/>
                <w:highlight w:val="none"/>
                <w:lang w:val="en-US" w:eastAsia="zh-CN"/>
              </w:rPr>
              <w:t>5</w:t>
            </w:r>
            <w:r>
              <w:rPr>
                <w:rFonts w:hint="eastAsia" w:ascii="宋体" w:hAnsi="宋体" w:eastAsia="宋体" w:cs="宋体"/>
                <w:sz w:val="20"/>
                <w:szCs w:val="20"/>
                <w:highlight w:val="none"/>
              </w:rPr>
              <w:t>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1.会场设置布局合理，各类造型设计贴合主题，</w:t>
            </w:r>
            <w:r>
              <w:rPr>
                <w:rFonts w:hint="eastAsia" w:ascii="宋体" w:hAnsi="宋体" w:eastAsia="宋体" w:cs="宋体"/>
                <w:sz w:val="20"/>
                <w:szCs w:val="20"/>
                <w:highlight w:val="none"/>
                <w:lang w:val="en-US" w:eastAsia="zh-CN"/>
              </w:rPr>
              <w:t>强烈突出本地特色</w:t>
            </w:r>
            <w:r>
              <w:rPr>
                <w:rFonts w:hint="eastAsia" w:ascii="宋体" w:hAnsi="宋体" w:eastAsia="宋体" w:cs="宋体"/>
                <w:sz w:val="20"/>
                <w:szCs w:val="20"/>
                <w:highlight w:val="none"/>
              </w:rPr>
              <w:t>得</w:t>
            </w:r>
            <w:r>
              <w:rPr>
                <w:rFonts w:hint="eastAsia" w:ascii="宋体" w:hAnsi="宋体" w:eastAsia="宋体" w:cs="宋体"/>
                <w:sz w:val="20"/>
                <w:szCs w:val="20"/>
                <w:highlight w:val="none"/>
                <w:lang w:val="en-US" w:eastAsia="zh-CN"/>
              </w:rPr>
              <w:t>5</w:t>
            </w:r>
            <w:r>
              <w:rPr>
                <w:rFonts w:hint="eastAsia" w:ascii="宋体" w:hAnsi="宋体" w:eastAsia="宋体" w:cs="宋体"/>
                <w:sz w:val="20"/>
                <w:szCs w:val="20"/>
                <w:highlight w:val="none"/>
              </w:rPr>
              <w:t>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2.会场设置布局较为合理，各类造型设计</w:t>
            </w:r>
            <w:r>
              <w:rPr>
                <w:rFonts w:hint="eastAsia" w:ascii="宋体" w:hAnsi="宋体" w:eastAsia="宋体" w:cs="宋体"/>
                <w:sz w:val="20"/>
                <w:szCs w:val="20"/>
                <w:highlight w:val="none"/>
                <w:lang w:val="en-US" w:eastAsia="zh-CN"/>
              </w:rPr>
              <w:t>比较</w:t>
            </w:r>
            <w:r>
              <w:rPr>
                <w:rFonts w:hint="eastAsia" w:ascii="宋体" w:hAnsi="宋体" w:eastAsia="宋体" w:cs="宋体"/>
                <w:sz w:val="20"/>
                <w:szCs w:val="20"/>
                <w:highlight w:val="none"/>
              </w:rPr>
              <w:t>贴合主题，</w:t>
            </w:r>
            <w:r>
              <w:rPr>
                <w:rFonts w:hint="eastAsia" w:ascii="宋体" w:hAnsi="宋体" w:eastAsia="宋体" w:cs="宋体"/>
                <w:sz w:val="20"/>
                <w:szCs w:val="20"/>
                <w:highlight w:val="none"/>
                <w:lang w:val="en-US" w:eastAsia="zh-CN"/>
              </w:rPr>
              <w:t>突出本地特色</w:t>
            </w:r>
            <w:r>
              <w:rPr>
                <w:rFonts w:hint="eastAsia" w:ascii="宋体" w:hAnsi="宋体" w:eastAsia="宋体" w:cs="宋体"/>
                <w:sz w:val="20"/>
                <w:szCs w:val="20"/>
                <w:highlight w:val="none"/>
              </w:rPr>
              <w:t>得</w:t>
            </w:r>
            <w:r>
              <w:rPr>
                <w:rFonts w:hint="eastAsia" w:ascii="宋体" w:hAnsi="宋体" w:eastAsia="宋体" w:cs="宋体"/>
                <w:sz w:val="20"/>
                <w:szCs w:val="20"/>
                <w:highlight w:val="none"/>
                <w:lang w:val="en-US" w:eastAsia="zh-CN"/>
              </w:rPr>
              <w:t>3</w:t>
            </w:r>
            <w:r>
              <w:rPr>
                <w:rFonts w:hint="eastAsia" w:ascii="宋体" w:hAnsi="宋体" w:eastAsia="宋体" w:cs="宋体"/>
                <w:sz w:val="20"/>
                <w:szCs w:val="20"/>
                <w:highlight w:val="none"/>
              </w:rPr>
              <w:t>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3.会场设置布局一般，各类造型设计</w:t>
            </w:r>
            <w:r>
              <w:rPr>
                <w:rFonts w:hint="eastAsia" w:ascii="宋体" w:hAnsi="宋体" w:eastAsia="宋体" w:cs="宋体"/>
                <w:sz w:val="20"/>
                <w:szCs w:val="20"/>
                <w:highlight w:val="none"/>
                <w:lang w:val="en-US" w:eastAsia="zh-CN"/>
              </w:rPr>
              <w:t>基本</w:t>
            </w:r>
            <w:r>
              <w:rPr>
                <w:rFonts w:hint="eastAsia" w:ascii="宋体" w:hAnsi="宋体" w:eastAsia="宋体" w:cs="宋体"/>
                <w:sz w:val="20"/>
                <w:szCs w:val="20"/>
                <w:highlight w:val="none"/>
              </w:rPr>
              <w:t>贴合主题，</w:t>
            </w:r>
            <w:r>
              <w:rPr>
                <w:rFonts w:hint="eastAsia" w:ascii="宋体" w:hAnsi="宋体" w:eastAsia="宋体" w:cs="宋体"/>
                <w:sz w:val="20"/>
                <w:szCs w:val="20"/>
                <w:highlight w:val="none"/>
                <w:lang w:val="en-US" w:eastAsia="zh-CN"/>
              </w:rPr>
              <w:t>部分突出本地特色</w:t>
            </w:r>
            <w:r>
              <w:rPr>
                <w:rFonts w:hint="eastAsia" w:ascii="宋体" w:hAnsi="宋体" w:eastAsia="宋体" w:cs="宋体"/>
                <w:sz w:val="20"/>
                <w:szCs w:val="20"/>
                <w:highlight w:val="none"/>
              </w:rPr>
              <w:t>得1分；</w:t>
            </w:r>
          </w:p>
          <w:p>
            <w:pPr>
              <w:pageBreakBefore w:val="0"/>
              <w:widowControl w:val="0"/>
              <w:kinsoku/>
              <w:wordWrap/>
              <w:overflowPunct/>
              <w:topLinePunct w:val="0"/>
              <w:bidi w:val="0"/>
              <w:spacing w:line="440" w:lineRule="exact"/>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4.未提供或不符合采购需求不得分。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8" w:type="dxa"/>
            <w:vMerge w:val="continue"/>
            <w:noWrap w:val="0"/>
            <w:vAlign w:val="center"/>
          </w:tcPr>
          <w:p>
            <w:pPr>
              <w:spacing w:line="360" w:lineRule="auto"/>
              <w:jc w:val="distribute"/>
              <w:rPr>
                <w:rFonts w:hint="eastAsia" w:ascii="宋体" w:hAnsi="宋体" w:eastAsia="宋体" w:cs="宋体"/>
                <w:sz w:val="20"/>
                <w:szCs w:val="20"/>
                <w:highlight w:val="none"/>
              </w:rPr>
            </w:pPr>
          </w:p>
        </w:tc>
        <w:tc>
          <w:tcPr>
            <w:tcW w:w="1193" w:type="dxa"/>
            <w:noWrap w:val="0"/>
            <w:vAlign w:val="center"/>
          </w:tcPr>
          <w:p>
            <w:pPr>
              <w:spacing w:line="36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实施方案（</w:t>
            </w:r>
            <w:r>
              <w:rPr>
                <w:rFonts w:hint="eastAsia" w:ascii="宋体" w:hAnsi="宋体" w:eastAsia="宋体" w:cs="宋体"/>
                <w:sz w:val="20"/>
                <w:szCs w:val="20"/>
                <w:highlight w:val="none"/>
                <w:lang w:val="en-US" w:eastAsia="zh-CN"/>
              </w:rPr>
              <w:t>30</w:t>
            </w:r>
            <w:r>
              <w:rPr>
                <w:rFonts w:hint="eastAsia" w:ascii="宋体" w:hAnsi="宋体" w:eastAsia="宋体" w:cs="宋体"/>
                <w:sz w:val="20"/>
                <w:szCs w:val="20"/>
                <w:highlight w:val="none"/>
              </w:rPr>
              <w:t>分）</w:t>
            </w:r>
          </w:p>
        </w:tc>
        <w:tc>
          <w:tcPr>
            <w:tcW w:w="6171" w:type="dxa"/>
            <w:noWrap w:val="0"/>
            <w:vAlign w:val="center"/>
          </w:tcPr>
          <w:p>
            <w:pPr>
              <w:tabs>
                <w:tab w:val="center" w:pos="4153"/>
                <w:tab w:val="right" w:pos="8306"/>
              </w:tabs>
              <w:snapToGrid w:val="0"/>
              <w:spacing w:line="360" w:lineRule="auto"/>
              <w:jc w:val="left"/>
              <w:rPr>
                <w:rFonts w:hint="eastAsia" w:ascii="宋体" w:hAnsi="宋体" w:eastAsia="宋体" w:cs="宋体"/>
                <w:sz w:val="20"/>
                <w:szCs w:val="20"/>
                <w:highlight w:val="none"/>
              </w:rPr>
            </w:pPr>
            <w:r>
              <w:rPr>
                <w:rFonts w:hint="eastAsia" w:ascii="宋体" w:hAnsi="宋体" w:eastAsia="宋体" w:cs="宋体"/>
                <w:sz w:val="20"/>
                <w:szCs w:val="20"/>
                <w:highlight w:val="none"/>
              </w:rPr>
              <w:t>根据</w:t>
            </w:r>
            <w:r>
              <w:rPr>
                <w:rFonts w:hint="eastAsia" w:ascii="宋体" w:hAnsi="宋体" w:cs="宋体"/>
                <w:sz w:val="20"/>
                <w:szCs w:val="20"/>
                <w:highlight w:val="none"/>
                <w:lang w:eastAsia="zh-CN"/>
              </w:rPr>
              <w:t>投标人</w:t>
            </w:r>
            <w:r>
              <w:rPr>
                <w:rFonts w:hint="eastAsia" w:ascii="宋体" w:hAnsi="宋体" w:eastAsia="宋体" w:cs="宋体"/>
                <w:sz w:val="20"/>
                <w:szCs w:val="20"/>
                <w:highlight w:val="none"/>
              </w:rPr>
              <w:t>提供的实施方案</w:t>
            </w:r>
            <w:r>
              <w:rPr>
                <w:rFonts w:hint="eastAsia" w:ascii="宋体" w:hAnsi="宋体" w:eastAsia="宋体" w:cs="宋体"/>
                <w:sz w:val="20"/>
                <w:szCs w:val="20"/>
                <w:highlight w:val="none"/>
                <w:lang w:eastAsia="zh-CN"/>
              </w:rPr>
              <w:t>进行评审</w:t>
            </w:r>
            <w:r>
              <w:rPr>
                <w:rFonts w:hint="eastAsia" w:ascii="宋体" w:hAnsi="宋体" w:eastAsia="宋体" w:cs="宋体"/>
                <w:sz w:val="20"/>
                <w:szCs w:val="20"/>
                <w:highlight w:val="none"/>
              </w:rPr>
              <w:t>。</w:t>
            </w:r>
          </w:p>
          <w:p>
            <w:pPr>
              <w:numPr>
                <w:ilvl w:val="0"/>
                <w:numId w:val="5"/>
              </w:numPr>
              <w:tabs>
                <w:tab w:val="center" w:pos="4153"/>
                <w:tab w:val="right" w:pos="8306"/>
              </w:tabs>
              <w:snapToGrid w:val="0"/>
              <w:spacing w:line="360" w:lineRule="auto"/>
              <w:jc w:val="both"/>
              <w:rPr>
                <w:rFonts w:hint="eastAsia" w:ascii="宋体" w:hAnsi="宋体" w:eastAsia="宋体" w:cs="宋体"/>
                <w:sz w:val="20"/>
                <w:szCs w:val="20"/>
                <w:highlight w:val="none"/>
                <w:lang w:val="en-GB"/>
              </w:rPr>
            </w:pPr>
            <w:r>
              <w:rPr>
                <w:rFonts w:hint="eastAsia" w:ascii="宋体" w:hAnsi="宋体" w:eastAsia="宋体" w:cs="宋体"/>
                <w:sz w:val="20"/>
                <w:szCs w:val="20"/>
                <w:highlight w:val="none"/>
                <w:lang w:val="en-GB"/>
              </w:rPr>
              <w:t>会场</w:t>
            </w:r>
            <w:r>
              <w:rPr>
                <w:rFonts w:hint="eastAsia" w:ascii="宋体" w:hAnsi="宋体" w:eastAsia="宋体" w:cs="宋体"/>
                <w:sz w:val="20"/>
                <w:szCs w:val="20"/>
                <w:highlight w:val="none"/>
                <w:lang w:val="en-US" w:eastAsia="zh-CN"/>
              </w:rPr>
              <w:t>布置</w:t>
            </w:r>
            <w:r>
              <w:rPr>
                <w:rFonts w:hint="eastAsia" w:ascii="宋体" w:hAnsi="宋体" w:eastAsia="宋体" w:cs="宋体"/>
                <w:sz w:val="20"/>
                <w:szCs w:val="20"/>
                <w:highlight w:val="none"/>
                <w:lang w:val="en-GB"/>
              </w:rPr>
              <w:t>配套设施设备（</w:t>
            </w:r>
            <w:r>
              <w:rPr>
                <w:rFonts w:hint="eastAsia" w:ascii="宋体" w:hAnsi="宋体" w:cs="宋体"/>
                <w:sz w:val="20"/>
                <w:szCs w:val="20"/>
                <w:highlight w:val="none"/>
                <w:lang w:val="en-US" w:eastAsia="zh-CN"/>
              </w:rPr>
              <w:t>10</w:t>
            </w:r>
            <w:r>
              <w:rPr>
                <w:rFonts w:hint="eastAsia" w:ascii="宋体" w:hAnsi="宋体" w:eastAsia="宋体" w:cs="宋体"/>
                <w:sz w:val="20"/>
                <w:szCs w:val="20"/>
                <w:highlight w:val="none"/>
                <w:lang w:val="en-GB"/>
              </w:rPr>
              <w:t>分）</w:t>
            </w:r>
          </w:p>
          <w:p>
            <w:pPr>
              <w:numPr>
                <w:ilvl w:val="0"/>
                <w:numId w:val="0"/>
              </w:numPr>
              <w:tabs>
                <w:tab w:val="center" w:pos="4153"/>
                <w:tab w:val="right" w:pos="8306"/>
              </w:tabs>
              <w:snapToGrid w:val="0"/>
              <w:spacing w:line="360" w:lineRule="auto"/>
              <w:jc w:val="both"/>
              <w:rPr>
                <w:rFonts w:hint="eastAsia" w:ascii="宋体" w:hAnsi="宋体" w:eastAsia="宋体" w:cs="宋体"/>
                <w:sz w:val="20"/>
                <w:szCs w:val="20"/>
                <w:highlight w:val="none"/>
                <w:lang w:val="en-GB" w:eastAsia="zh-CN"/>
              </w:rPr>
            </w:pPr>
            <w:r>
              <w:rPr>
                <w:rFonts w:hint="eastAsia" w:ascii="宋体" w:hAnsi="宋体" w:eastAsia="宋体" w:cs="宋体"/>
                <w:sz w:val="20"/>
                <w:szCs w:val="20"/>
                <w:highlight w:val="none"/>
                <w:lang w:val="en-GB"/>
              </w:rPr>
              <w:t>根据</w:t>
            </w:r>
            <w:r>
              <w:rPr>
                <w:rFonts w:hint="eastAsia" w:ascii="宋体" w:hAnsi="宋体" w:cs="宋体"/>
                <w:sz w:val="20"/>
                <w:szCs w:val="20"/>
                <w:highlight w:val="none"/>
                <w:lang w:val="en-GB" w:eastAsia="zh-CN"/>
              </w:rPr>
              <w:t>投标人</w:t>
            </w:r>
            <w:r>
              <w:rPr>
                <w:rFonts w:hint="eastAsia" w:ascii="宋体" w:hAnsi="宋体" w:eastAsia="宋体" w:cs="宋体"/>
                <w:sz w:val="20"/>
                <w:szCs w:val="20"/>
                <w:highlight w:val="none"/>
                <w:lang w:val="en-GB"/>
              </w:rPr>
              <w:t>针对本项目拟投入配套设施设备情况</w:t>
            </w:r>
            <w:r>
              <w:rPr>
                <w:rFonts w:hint="eastAsia" w:ascii="宋体" w:hAnsi="宋体" w:eastAsia="宋体" w:cs="宋体"/>
                <w:sz w:val="20"/>
                <w:szCs w:val="20"/>
                <w:highlight w:val="none"/>
                <w:lang w:val="en-GB" w:eastAsia="zh-CN"/>
              </w:rPr>
              <w:t>进行评审。</w:t>
            </w:r>
          </w:p>
          <w:p>
            <w:pPr>
              <w:tabs>
                <w:tab w:val="center" w:pos="4153"/>
                <w:tab w:val="right" w:pos="8306"/>
              </w:tabs>
              <w:snapToGrid w:val="0"/>
              <w:spacing w:line="360" w:lineRule="auto"/>
              <w:jc w:val="left"/>
              <w:rPr>
                <w:rFonts w:hint="eastAsia" w:ascii="宋体" w:hAnsi="宋体" w:eastAsia="宋体" w:cs="宋体"/>
                <w:sz w:val="20"/>
                <w:szCs w:val="20"/>
                <w:highlight w:val="none"/>
                <w:lang w:val="en-GB"/>
              </w:rPr>
            </w:pPr>
            <w:r>
              <w:rPr>
                <w:rFonts w:hint="eastAsia" w:ascii="宋体" w:hAnsi="宋体" w:eastAsia="宋体" w:cs="宋体"/>
                <w:sz w:val="20"/>
                <w:szCs w:val="20"/>
                <w:highlight w:val="none"/>
                <w:lang w:val="en-GB"/>
              </w:rPr>
              <w:t>1.拟投入本项目装备齐全、技术先进、配置合理、数量充足得</w:t>
            </w:r>
            <w:r>
              <w:rPr>
                <w:rFonts w:hint="eastAsia" w:ascii="宋体" w:hAnsi="宋体" w:cs="宋体"/>
                <w:sz w:val="20"/>
                <w:szCs w:val="20"/>
                <w:highlight w:val="none"/>
                <w:lang w:val="en-US" w:eastAsia="zh-CN"/>
              </w:rPr>
              <w:t>10</w:t>
            </w:r>
            <w:r>
              <w:rPr>
                <w:rFonts w:hint="eastAsia" w:ascii="宋体" w:hAnsi="宋体" w:eastAsia="宋体" w:cs="宋体"/>
                <w:sz w:val="20"/>
                <w:szCs w:val="20"/>
                <w:highlight w:val="none"/>
                <w:lang w:val="en-GB"/>
              </w:rPr>
              <w:t>分；</w:t>
            </w:r>
          </w:p>
          <w:p>
            <w:pPr>
              <w:tabs>
                <w:tab w:val="center" w:pos="4153"/>
                <w:tab w:val="right" w:pos="8306"/>
              </w:tabs>
              <w:snapToGrid w:val="0"/>
              <w:spacing w:line="360" w:lineRule="auto"/>
              <w:jc w:val="left"/>
              <w:rPr>
                <w:rFonts w:hint="eastAsia" w:ascii="宋体" w:hAnsi="宋体" w:eastAsia="宋体" w:cs="宋体"/>
                <w:sz w:val="20"/>
                <w:szCs w:val="20"/>
                <w:highlight w:val="none"/>
                <w:lang w:val="en-GB"/>
              </w:rPr>
            </w:pPr>
            <w:r>
              <w:rPr>
                <w:rFonts w:hint="eastAsia" w:ascii="宋体" w:hAnsi="宋体" w:eastAsia="宋体" w:cs="宋体"/>
                <w:sz w:val="20"/>
                <w:szCs w:val="20"/>
                <w:highlight w:val="none"/>
                <w:lang w:val="en-GB"/>
              </w:rPr>
              <w:t>2.拟投入本项目装备较齐全、技术较先进、配置较合理得</w:t>
            </w:r>
            <w:r>
              <w:rPr>
                <w:rFonts w:hint="eastAsia" w:ascii="宋体" w:hAnsi="宋体" w:cs="宋体"/>
                <w:sz w:val="20"/>
                <w:szCs w:val="20"/>
                <w:highlight w:val="none"/>
                <w:lang w:val="en-US" w:eastAsia="zh-CN"/>
              </w:rPr>
              <w:t>7</w:t>
            </w:r>
            <w:r>
              <w:rPr>
                <w:rFonts w:hint="eastAsia" w:ascii="宋体" w:hAnsi="宋体" w:eastAsia="宋体" w:cs="宋体"/>
                <w:sz w:val="20"/>
                <w:szCs w:val="20"/>
                <w:highlight w:val="none"/>
                <w:lang w:val="en-GB"/>
              </w:rPr>
              <w:t>分；</w:t>
            </w:r>
          </w:p>
          <w:p>
            <w:pPr>
              <w:tabs>
                <w:tab w:val="center" w:pos="4153"/>
                <w:tab w:val="right" w:pos="8306"/>
              </w:tabs>
              <w:snapToGrid w:val="0"/>
              <w:spacing w:line="360" w:lineRule="auto"/>
              <w:jc w:val="left"/>
              <w:rPr>
                <w:rFonts w:hint="eastAsia" w:ascii="宋体" w:hAnsi="宋体" w:eastAsia="宋体" w:cs="宋体"/>
                <w:sz w:val="20"/>
                <w:szCs w:val="20"/>
                <w:highlight w:val="none"/>
                <w:lang w:val="en-GB"/>
              </w:rPr>
            </w:pPr>
            <w:r>
              <w:rPr>
                <w:rFonts w:hint="eastAsia" w:ascii="宋体" w:hAnsi="宋体" w:eastAsia="宋体" w:cs="宋体"/>
                <w:sz w:val="20"/>
                <w:szCs w:val="20"/>
                <w:highlight w:val="none"/>
                <w:lang w:val="en-GB"/>
              </w:rPr>
              <w:t>3.拟投入本项目装备</w:t>
            </w:r>
            <w:r>
              <w:rPr>
                <w:rFonts w:hint="eastAsia" w:ascii="宋体" w:hAnsi="宋体" w:eastAsia="宋体" w:cs="宋体"/>
                <w:sz w:val="20"/>
                <w:szCs w:val="20"/>
                <w:highlight w:val="none"/>
                <w:lang w:val="en-US" w:eastAsia="zh-CN"/>
              </w:rPr>
              <w:t>一般</w:t>
            </w:r>
            <w:r>
              <w:rPr>
                <w:rFonts w:hint="eastAsia" w:ascii="宋体" w:hAnsi="宋体" w:eastAsia="宋体" w:cs="宋体"/>
                <w:sz w:val="20"/>
                <w:szCs w:val="20"/>
                <w:highlight w:val="none"/>
                <w:lang w:val="en-GB"/>
              </w:rPr>
              <w:t>、技术</w:t>
            </w:r>
            <w:r>
              <w:rPr>
                <w:rFonts w:hint="eastAsia" w:ascii="宋体" w:hAnsi="宋体" w:eastAsia="宋体" w:cs="宋体"/>
                <w:sz w:val="20"/>
                <w:szCs w:val="20"/>
                <w:highlight w:val="none"/>
                <w:lang w:val="en-US" w:eastAsia="zh-CN"/>
              </w:rPr>
              <w:t>一般</w:t>
            </w:r>
            <w:r>
              <w:rPr>
                <w:rFonts w:hint="eastAsia" w:ascii="宋体" w:hAnsi="宋体" w:eastAsia="宋体" w:cs="宋体"/>
                <w:sz w:val="20"/>
                <w:szCs w:val="20"/>
                <w:highlight w:val="none"/>
                <w:lang w:val="en-GB"/>
              </w:rPr>
              <w:t>、配置</w:t>
            </w:r>
            <w:r>
              <w:rPr>
                <w:rFonts w:hint="eastAsia" w:ascii="宋体" w:hAnsi="宋体" w:eastAsia="宋体" w:cs="宋体"/>
                <w:sz w:val="20"/>
                <w:szCs w:val="20"/>
                <w:highlight w:val="none"/>
                <w:lang w:val="en-US" w:eastAsia="zh-CN"/>
              </w:rPr>
              <w:t>一般</w:t>
            </w:r>
            <w:r>
              <w:rPr>
                <w:rFonts w:hint="eastAsia" w:ascii="宋体" w:hAnsi="宋体" w:eastAsia="宋体" w:cs="宋体"/>
                <w:sz w:val="20"/>
                <w:szCs w:val="20"/>
                <w:highlight w:val="none"/>
                <w:lang w:val="en-GB"/>
              </w:rPr>
              <w:t>得</w:t>
            </w:r>
            <w:r>
              <w:rPr>
                <w:rFonts w:hint="eastAsia" w:ascii="宋体" w:hAnsi="宋体" w:cs="宋体"/>
                <w:sz w:val="20"/>
                <w:szCs w:val="20"/>
                <w:highlight w:val="none"/>
                <w:lang w:val="en-US" w:eastAsia="zh-CN"/>
              </w:rPr>
              <w:t>4</w:t>
            </w:r>
            <w:r>
              <w:rPr>
                <w:rFonts w:hint="eastAsia" w:ascii="宋体" w:hAnsi="宋体" w:eastAsia="宋体" w:cs="宋体"/>
                <w:sz w:val="20"/>
                <w:szCs w:val="20"/>
                <w:highlight w:val="none"/>
                <w:lang w:val="en-GB"/>
              </w:rPr>
              <w:t>分；</w:t>
            </w:r>
          </w:p>
          <w:p>
            <w:pPr>
              <w:tabs>
                <w:tab w:val="center" w:pos="4153"/>
                <w:tab w:val="right" w:pos="8306"/>
              </w:tabs>
              <w:snapToGrid w:val="0"/>
              <w:spacing w:line="360" w:lineRule="auto"/>
              <w:jc w:val="left"/>
              <w:rPr>
                <w:rFonts w:hint="eastAsia" w:ascii="宋体" w:hAnsi="宋体" w:eastAsia="宋体" w:cs="宋体"/>
                <w:sz w:val="20"/>
                <w:szCs w:val="20"/>
                <w:highlight w:val="none"/>
                <w:lang w:val="en-GB"/>
              </w:rPr>
            </w:pPr>
            <w:r>
              <w:rPr>
                <w:rFonts w:hint="eastAsia" w:ascii="宋体" w:hAnsi="宋体" w:cs="宋体"/>
                <w:sz w:val="20"/>
                <w:szCs w:val="20"/>
                <w:highlight w:val="none"/>
                <w:lang w:val="en-US" w:eastAsia="zh-CN"/>
              </w:rPr>
              <w:t>4.</w:t>
            </w:r>
            <w:r>
              <w:rPr>
                <w:rFonts w:hint="eastAsia" w:ascii="宋体" w:hAnsi="宋体" w:eastAsia="宋体" w:cs="宋体"/>
                <w:sz w:val="20"/>
                <w:szCs w:val="20"/>
                <w:highlight w:val="none"/>
                <w:lang w:val="en-GB"/>
              </w:rPr>
              <w:t>拟投入本项目装备齐全、技术落后、不能满足本项目需求，得</w:t>
            </w:r>
            <w:r>
              <w:rPr>
                <w:rFonts w:hint="eastAsia" w:ascii="宋体" w:hAnsi="宋体" w:eastAsia="宋体" w:cs="宋体"/>
                <w:sz w:val="20"/>
                <w:szCs w:val="20"/>
                <w:highlight w:val="none"/>
              </w:rPr>
              <w:t>1</w:t>
            </w:r>
            <w:r>
              <w:rPr>
                <w:rFonts w:hint="eastAsia" w:ascii="宋体" w:hAnsi="宋体" w:eastAsia="宋体" w:cs="宋体"/>
                <w:sz w:val="20"/>
                <w:szCs w:val="20"/>
                <w:highlight w:val="none"/>
                <w:lang w:val="en-GB"/>
              </w:rPr>
              <w:t>分；</w:t>
            </w:r>
          </w:p>
          <w:p>
            <w:pPr>
              <w:tabs>
                <w:tab w:val="center" w:pos="4153"/>
                <w:tab w:val="right" w:pos="8306"/>
              </w:tabs>
              <w:snapToGrid w:val="0"/>
              <w:spacing w:line="360" w:lineRule="auto"/>
              <w:jc w:val="left"/>
              <w:rPr>
                <w:rFonts w:hint="eastAsia" w:ascii="宋体" w:hAnsi="宋体" w:eastAsia="宋体" w:cs="宋体"/>
                <w:sz w:val="20"/>
                <w:szCs w:val="20"/>
                <w:highlight w:val="none"/>
              </w:rPr>
            </w:pPr>
            <w:r>
              <w:rPr>
                <w:rFonts w:hint="eastAsia" w:ascii="宋体" w:hAnsi="宋体" w:cs="宋体"/>
                <w:sz w:val="20"/>
                <w:szCs w:val="20"/>
                <w:highlight w:val="none"/>
                <w:lang w:val="en-US" w:eastAsia="zh-CN"/>
              </w:rPr>
              <w:t>5</w:t>
            </w:r>
            <w:r>
              <w:rPr>
                <w:rFonts w:hint="eastAsia" w:ascii="宋体" w:hAnsi="宋体" w:eastAsia="宋体" w:cs="宋体"/>
                <w:sz w:val="20"/>
                <w:szCs w:val="20"/>
                <w:highlight w:val="none"/>
              </w:rPr>
              <w:t>.未提供或不符合采购需求不得分。</w:t>
            </w:r>
          </w:p>
          <w:p>
            <w:pPr>
              <w:tabs>
                <w:tab w:val="center" w:pos="4153"/>
                <w:tab w:val="right" w:pos="8306"/>
              </w:tabs>
              <w:snapToGrid w:val="0"/>
              <w:spacing w:line="360" w:lineRule="auto"/>
              <w:jc w:val="left"/>
              <w:rPr>
                <w:rFonts w:hint="eastAsia" w:ascii="宋体" w:hAnsi="宋体" w:eastAsia="宋体" w:cs="宋体"/>
                <w:sz w:val="20"/>
                <w:szCs w:val="20"/>
                <w:highlight w:val="none"/>
                <w:lang w:val="en-GB"/>
              </w:rPr>
            </w:pPr>
            <w:r>
              <w:rPr>
                <w:rFonts w:hint="eastAsia" w:ascii="宋体" w:hAnsi="宋体" w:eastAsia="宋体" w:cs="宋体"/>
                <w:sz w:val="20"/>
                <w:szCs w:val="20"/>
                <w:highlight w:val="none"/>
                <w:lang w:val="en-US" w:eastAsia="zh-CN"/>
              </w:rPr>
              <w:t>二</w:t>
            </w:r>
            <w:r>
              <w:rPr>
                <w:rFonts w:hint="eastAsia" w:ascii="宋体" w:hAnsi="宋体" w:eastAsia="宋体" w:cs="宋体"/>
                <w:sz w:val="20"/>
                <w:szCs w:val="20"/>
                <w:highlight w:val="none"/>
              </w:rPr>
              <w:t>、</w:t>
            </w:r>
            <w:r>
              <w:rPr>
                <w:rFonts w:hint="eastAsia" w:ascii="宋体" w:hAnsi="宋体" w:eastAsia="宋体" w:cs="宋体"/>
                <w:sz w:val="20"/>
                <w:szCs w:val="20"/>
                <w:highlight w:val="none"/>
                <w:lang w:val="en-GB"/>
              </w:rPr>
              <w:t>安全管理及保障措施（</w:t>
            </w:r>
            <w:r>
              <w:rPr>
                <w:rFonts w:hint="eastAsia" w:ascii="宋体" w:hAnsi="宋体" w:eastAsia="宋体" w:cs="宋体"/>
                <w:sz w:val="20"/>
                <w:szCs w:val="20"/>
                <w:highlight w:val="none"/>
                <w:lang w:val="en-US" w:eastAsia="zh-CN"/>
              </w:rPr>
              <w:t>10</w:t>
            </w:r>
            <w:r>
              <w:rPr>
                <w:rFonts w:hint="eastAsia" w:ascii="宋体" w:hAnsi="宋体" w:eastAsia="宋体" w:cs="宋体"/>
                <w:sz w:val="20"/>
                <w:szCs w:val="20"/>
                <w:highlight w:val="none"/>
                <w:lang w:val="en-GB"/>
              </w:rPr>
              <w:t>分）</w:t>
            </w:r>
          </w:p>
          <w:p>
            <w:pPr>
              <w:tabs>
                <w:tab w:val="center" w:pos="4153"/>
                <w:tab w:val="right" w:pos="8306"/>
              </w:tabs>
              <w:snapToGrid w:val="0"/>
              <w:spacing w:line="360" w:lineRule="auto"/>
              <w:jc w:val="left"/>
              <w:rPr>
                <w:rFonts w:hint="eastAsia" w:ascii="宋体" w:hAnsi="宋体" w:eastAsia="宋体" w:cs="宋体"/>
                <w:sz w:val="20"/>
                <w:szCs w:val="20"/>
                <w:highlight w:val="none"/>
              </w:rPr>
            </w:pPr>
            <w:r>
              <w:rPr>
                <w:rFonts w:hint="eastAsia" w:ascii="宋体" w:hAnsi="宋体" w:eastAsia="宋体" w:cs="宋体"/>
                <w:sz w:val="20"/>
                <w:szCs w:val="20"/>
                <w:highlight w:val="none"/>
              </w:rPr>
              <w:t>根据</w:t>
            </w:r>
            <w:r>
              <w:rPr>
                <w:rFonts w:hint="eastAsia" w:ascii="宋体" w:hAnsi="宋体" w:cs="宋体"/>
                <w:sz w:val="20"/>
                <w:szCs w:val="20"/>
                <w:highlight w:val="none"/>
                <w:lang w:eastAsia="zh-CN"/>
              </w:rPr>
              <w:t>投标人</w:t>
            </w:r>
            <w:r>
              <w:rPr>
                <w:rFonts w:hint="eastAsia" w:ascii="宋体" w:hAnsi="宋体" w:eastAsia="宋体" w:cs="宋体"/>
                <w:sz w:val="20"/>
                <w:szCs w:val="20"/>
                <w:highlight w:val="none"/>
              </w:rPr>
              <w:t>提供的安全管理及保障措施方案（包括：总体方案的实现过程中实施的安全管理及保障措施方案、消防及安防应急、火灾、恐暴、极端天气等突发事件的处理和预警等应急预案等）</w:t>
            </w:r>
            <w:r>
              <w:rPr>
                <w:rFonts w:hint="eastAsia" w:ascii="宋体" w:hAnsi="宋体" w:eastAsia="宋体" w:cs="宋体"/>
                <w:sz w:val="20"/>
                <w:szCs w:val="20"/>
                <w:highlight w:val="none"/>
                <w:lang w:eastAsia="zh-CN"/>
              </w:rPr>
              <w:t>进行评审</w:t>
            </w:r>
            <w:r>
              <w:rPr>
                <w:rFonts w:hint="eastAsia" w:ascii="宋体" w:hAnsi="宋体" w:eastAsia="宋体" w:cs="宋体"/>
                <w:sz w:val="20"/>
                <w:szCs w:val="20"/>
                <w:highlight w:val="none"/>
              </w:rPr>
              <w:t>。</w:t>
            </w:r>
          </w:p>
          <w:p>
            <w:pPr>
              <w:tabs>
                <w:tab w:val="center" w:pos="4153"/>
                <w:tab w:val="right" w:pos="8306"/>
              </w:tabs>
              <w:snapToGrid w:val="0"/>
              <w:spacing w:line="360" w:lineRule="auto"/>
              <w:jc w:val="left"/>
              <w:rPr>
                <w:rFonts w:hint="eastAsia" w:ascii="宋体" w:hAnsi="宋体" w:eastAsia="宋体" w:cs="宋体"/>
                <w:sz w:val="20"/>
                <w:szCs w:val="20"/>
                <w:highlight w:val="none"/>
              </w:rPr>
            </w:pPr>
            <w:r>
              <w:rPr>
                <w:rFonts w:hint="eastAsia" w:ascii="宋体" w:hAnsi="宋体" w:eastAsia="宋体" w:cs="宋体"/>
                <w:sz w:val="20"/>
                <w:szCs w:val="20"/>
                <w:highlight w:val="none"/>
              </w:rPr>
              <w:t>1.安全管理及保障措施方案科学、完善、切实可行，有利于项目顺利实施的得</w:t>
            </w:r>
            <w:r>
              <w:rPr>
                <w:rFonts w:hint="eastAsia" w:ascii="宋体" w:hAnsi="宋体" w:eastAsia="宋体" w:cs="宋体"/>
                <w:sz w:val="20"/>
                <w:szCs w:val="20"/>
                <w:highlight w:val="none"/>
                <w:lang w:val="en-US" w:eastAsia="zh-CN"/>
              </w:rPr>
              <w:t>10</w:t>
            </w:r>
            <w:r>
              <w:rPr>
                <w:rFonts w:hint="eastAsia" w:ascii="宋体" w:hAnsi="宋体" w:eastAsia="宋体" w:cs="宋体"/>
                <w:sz w:val="20"/>
                <w:szCs w:val="20"/>
                <w:highlight w:val="none"/>
              </w:rPr>
              <w:t>分；</w:t>
            </w:r>
          </w:p>
          <w:p>
            <w:pPr>
              <w:tabs>
                <w:tab w:val="center" w:pos="4153"/>
                <w:tab w:val="right" w:pos="8306"/>
              </w:tabs>
              <w:snapToGrid w:val="0"/>
              <w:spacing w:line="360" w:lineRule="auto"/>
              <w:jc w:val="left"/>
              <w:rPr>
                <w:rFonts w:hint="eastAsia" w:ascii="宋体" w:hAnsi="宋体" w:eastAsia="宋体" w:cs="宋体"/>
                <w:sz w:val="20"/>
                <w:szCs w:val="20"/>
                <w:highlight w:val="none"/>
              </w:rPr>
            </w:pPr>
            <w:r>
              <w:rPr>
                <w:rFonts w:hint="eastAsia" w:ascii="宋体" w:hAnsi="宋体" w:eastAsia="宋体" w:cs="宋体"/>
                <w:sz w:val="20"/>
                <w:szCs w:val="20"/>
                <w:highlight w:val="none"/>
              </w:rPr>
              <w:t>2.安全管理及保障措施方案科学、较为完善，具有较好的可执行性的得</w:t>
            </w:r>
            <w:r>
              <w:rPr>
                <w:rFonts w:hint="eastAsia" w:ascii="宋体" w:hAnsi="宋体" w:eastAsia="宋体" w:cs="宋体"/>
                <w:sz w:val="20"/>
                <w:szCs w:val="20"/>
                <w:highlight w:val="none"/>
                <w:lang w:val="en-US" w:eastAsia="zh-CN"/>
              </w:rPr>
              <w:t>7</w:t>
            </w:r>
            <w:r>
              <w:rPr>
                <w:rFonts w:hint="eastAsia" w:ascii="宋体" w:hAnsi="宋体" w:eastAsia="宋体" w:cs="宋体"/>
                <w:sz w:val="20"/>
                <w:szCs w:val="20"/>
                <w:highlight w:val="none"/>
              </w:rPr>
              <w:t>分；</w:t>
            </w:r>
          </w:p>
          <w:p>
            <w:pPr>
              <w:tabs>
                <w:tab w:val="center" w:pos="4153"/>
                <w:tab w:val="right" w:pos="8306"/>
              </w:tabs>
              <w:snapToGrid w:val="0"/>
              <w:spacing w:line="360" w:lineRule="auto"/>
              <w:jc w:val="left"/>
              <w:rPr>
                <w:rFonts w:hint="eastAsia" w:ascii="宋体" w:hAnsi="宋体" w:eastAsia="宋体" w:cs="宋体"/>
                <w:sz w:val="20"/>
                <w:szCs w:val="20"/>
                <w:highlight w:val="none"/>
              </w:rPr>
            </w:pPr>
            <w:r>
              <w:rPr>
                <w:rFonts w:hint="eastAsia" w:ascii="宋体" w:hAnsi="宋体" w:eastAsia="宋体" w:cs="宋体"/>
                <w:sz w:val="20"/>
                <w:szCs w:val="20"/>
                <w:highlight w:val="none"/>
              </w:rPr>
              <w:t>3.安全管理及保障措施方案一般、可执行性</w:t>
            </w:r>
            <w:r>
              <w:rPr>
                <w:rFonts w:hint="eastAsia" w:ascii="宋体" w:hAnsi="宋体" w:eastAsia="宋体" w:cs="宋体"/>
                <w:sz w:val="20"/>
                <w:szCs w:val="20"/>
                <w:highlight w:val="none"/>
                <w:lang w:val="en-US" w:eastAsia="zh-CN"/>
              </w:rPr>
              <w:t>一般</w:t>
            </w:r>
            <w:r>
              <w:rPr>
                <w:rFonts w:hint="eastAsia" w:ascii="宋体" w:hAnsi="宋体" w:eastAsia="宋体" w:cs="宋体"/>
                <w:sz w:val="20"/>
                <w:szCs w:val="20"/>
                <w:highlight w:val="none"/>
              </w:rPr>
              <w:t>的得</w:t>
            </w:r>
            <w:r>
              <w:rPr>
                <w:rFonts w:hint="eastAsia" w:ascii="宋体" w:hAnsi="宋体" w:eastAsia="宋体" w:cs="宋体"/>
                <w:sz w:val="20"/>
                <w:szCs w:val="20"/>
                <w:highlight w:val="none"/>
                <w:lang w:val="en-US" w:eastAsia="zh-CN"/>
              </w:rPr>
              <w:t>4</w:t>
            </w:r>
            <w:r>
              <w:rPr>
                <w:rFonts w:hint="eastAsia" w:ascii="宋体" w:hAnsi="宋体" w:eastAsia="宋体" w:cs="宋体"/>
                <w:sz w:val="20"/>
                <w:szCs w:val="20"/>
                <w:highlight w:val="none"/>
              </w:rPr>
              <w:t>分；</w:t>
            </w:r>
          </w:p>
          <w:p>
            <w:pPr>
              <w:tabs>
                <w:tab w:val="center" w:pos="4153"/>
                <w:tab w:val="right" w:pos="8306"/>
              </w:tabs>
              <w:snapToGrid w:val="0"/>
              <w:spacing w:line="360" w:lineRule="auto"/>
              <w:jc w:val="left"/>
              <w:rPr>
                <w:rFonts w:hint="eastAsia" w:ascii="宋体" w:hAnsi="宋体" w:eastAsia="宋体" w:cs="宋体"/>
                <w:sz w:val="20"/>
                <w:szCs w:val="20"/>
                <w:highlight w:val="none"/>
              </w:rPr>
            </w:pPr>
            <w:r>
              <w:rPr>
                <w:rFonts w:hint="eastAsia" w:ascii="宋体" w:hAnsi="宋体" w:eastAsia="宋体" w:cs="宋体"/>
                <w:sz w:val="20"/>
                <w:szCs w:val="20"/>
                <w:highlight w:val="none"/>
              </w:rPr>
              <w:t>4.安全管理及保障措施方案</w:t>
            </w:r>
            <w:r>
              <w:rPr>
                <w:rFonts w:hint="eastAsia" w:ascii="宋体" w:hAnsi="宋体" w:eastAsia="宋体" w:cs="宋体"/>
                <w:sz w:val="20"/>
                <w:szCs w:val="20"/>
                <w:highlight w:val="none"/>
                <w:lang w:val="en-US" w:eastAsia="zh-CN"/>
              </w:rPr>
              <w:t>较差</w:t>
            </w:r>
            <w:r>
              <w:rPr>
                <w:rFonts w:hint="eastAsia" w:ascii="宋体" w:hAnsi="宋体" w:eastAsia="宋体" w:cs="宋体"/>
                <w:sz w:val="20"/>
                <w:szCs w:val="20"/>
                <w:highlight w:val="none"/>
              </w:rPr>
              <w:t>，可执行性较差的得</w:t>
            </w:r>
            <w:r>
              <w:rPr>
                <w:rFonts w:hint="eastAsia" w:ascii="宋体" w:hAnsi="宋体" w:eastAsia="宋体" w:cs="宋体"/>
                <w:sz w:val="20"/>
                <w:szCs w:val="20"/>
                <w:highlight w:val="none"/>
                <w:lang w:val="en-US" w:eastAsia="zh-CN"/>
              </w:rPr>
              <w:t>1</w:t>
            </w:r>
            <w:r>
              <w:rPr>
                <w:rFonts w:hint="eastAsia" w:ascii="宋体" w:hAnsi="宋体" w:eastAsia="宋体" w:cs="宋体"/>
                <w:sz w:val="20"/>
                <w:szCs w:val="20"/>
                <w:highlight w:val="none"/>
              </w:rPr>
              <w:t>分；</w:t>
            </w:r>
          </w:p>
          <w:p>
            <w:pPr>
              <w:tabs>
                <w:tab w:val="center" w:pos="4153"/>
                <w:tab w:val="right" w:pos="8306"/>
              </w:tabs>
              <w:snapToGrid w:val="0"/>
              <w:spacing w:line="360" w:lineRule="auto"/>
              <w:jc w:val="left"/>
              <w:rPr>
                <w:rFonts w:hint="eastAsia" w:ascii="宋体" w:hAnsi="宋体" w:eastAsia="宋体" w:cs="宋体"/>
                <w:sz w:val="20"/>
                <w:szCs w:val="20"/>
                <w:highlight w:val="none"/>
                <w:lang w:val="en-GB"/>
              </w:rPr>
            </w:pPr>
            <w:r>
              <w:rPr>
                <w:rFonts w:hint="eastAsia" w:ascii="宋体" w:hAnsi="宋体" w:eastAsia="宋体" w:cs="宋体"/>
                <w:sz w:val="20"/>
                <w:szCs w:val="20"/>
                <w:highlight w:val="none"/>
                <w:lang w:val="en-US" w:eastAsia="zh-CN"/>
              </w:rPr>
              <w:t>5.</w:t>
            </w:r>
            <w:r>
              <w:rPr>
                <w:rFonts w:hint="eastAsia" w:ascii="宋体" w:hAnsi="宋体" w:eastAsia="宋体" w:cs="宋体"/>
                <w:sz w:val="20"/>
                <w:szCs w:val="20"/>
                <w:highlight w:val="none"/>
              </w:rPr>
              <w:t>未提供或不符合采购需求不得分。</w:t>
            </w:r>
          </w:p>
          <w:p>
            <w:pPr>
              <w:tabs>
                <w:tab w:val="center" w:pos="4153"/>
                <w:tab w:val="right" w:pos="8306"/>
              </w:tabs>
              <w:snapToGrid w:val="0"/>
              <w:spacing w:line="360" w:lineRule="auto"/>
              <w:jc w:val="left"/>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三</w:t>
            </w:r>
            <w:r>
              <w:rPr>
                <w:rFonts w:hint="eastAsia" w:ascii="宋体" w:hAnsi="宋体" w:eastAsia="宋体" w:cs="宋体"/>
                <w:sz w:val="20"/>
                <w:szCs w:val="20"/>
                <w:highlight w:val="none"/>
              </w:rPr>
              <w:t>、技术</w:t>
            </w:r>
            <w:r>
              <w:rPr>
                <w:rFonts w:hint="eastAsia" w:ascii="宋体" w:hAnsi="宋体" w:eastAsia="宋体" w:cs="宋体"/>
                <w:sz w:val="20"/>
                <w:szCs w:val="20"/>
                <w:highlight w:val="none"/>
                <w:lang w:val="en-US" w:eastAsia="zh-CN"/>
              </w:rPr>
              <w:t>服务</w:t>
            </w:r>
            <w:r>
              <w:rPr>
                <w:rFonts w:hint="eastAsia" w:ascii="宋体" w:hAnsi="宋体" w:eastAsia="宋体" w:cs="宋体"/>
                <w:sz w:val="20"/>
                <w:szCs w:val="20"/>
                <w:highlight w:val="none"/>
              </w:rPr>
              <w:t>保障（</w:t>
            </w:r>
            <w:r>
              <w:rPr>
                <w:rFonts w:hint="eastAsia" w:ascii="宋体" w:hAnsi="宋体" w:eastAsia="宋体" w:cs="宋体"/>
                <w:sz w:val="20"/>
                <w:szCs w:val="20"/>
                <w:highlight w:val="none"/>
                <w:lang w:val="en-US" w:eastAsia="zh-CN"/>
              </w:rPr>
              <w:t>10</w:t>
            </w:r>
            <w:r>
              <w:rPr>
                <w:rFonts w:hint="eastAsia" w:ascii="宋体" w:hAnsi="宋体" w:eastAsia="宋体" w:cs="宋体"/>
                <w:sz w:val="20"/>
                <w:szCs w:val="20"/>
                <w:highlight w:val="none"/>
              </w:rPr>
              <w:t>分）</w:t>
            </w:r>
          </w:p>
          <w:p>
            <w:pPr>
              <w:tabs>
                <w:tab w:val="center" w:pos="4153"/>
                <w:tab w:val="right" w:pos="8306"/>
              </w:tabs>
              <w:snapToGrid w:val="0"/>
              <w:spacing w:line="360" w:lineRule="auto"/>
              <w:jc w:val="left"/>
              <w:rPr>
                <w:rFonts w:hint="eastAsia" w:ascii="宋体" w:hAnsi="宋体" w:eastAsia="宋体" w:cs="宋体"/>
                <w:sz w:val="20"/>
                <w:szCs w:val="20"/>
                <w:highlight w:val="none"/>
              </w:rPr>
            </w:pPr>
            <w:r>
              <w:rPr>
                <w:rFonts w:hint="eastAsia" w:ascii="宋体" w:hAnsi="宋体" w:eastAsia="宋体" w:cs="宋体"/>
                <w:sz w:val="20"/>
                <w:szCs w:val="20"/>
                <w:highlight w:val="none"/>
              </w:rPr>
              <w:t>1.</w:t>
            </w:r>
            <w:r>
              <w:rPr>
                <w:rFonts w:hint="eastAsia" w:ascii="宋体" w:hAnsi="宋体" w:eastAsia="宋体" w:cs="宋体"/>
                <w:sz w:val="20"/>
                <w:szCs w:val="20"/>
                <w:highlight w:val="none"/>
                <w:lang w:val="en-US" w:eastAsia="zh-CN"/>
              </w:rPr>
              <w:t>舞美设计</w:t>
            </w:r>
            <w:r>
              <w:rPr>
                <w:rFonts w:hint="eastAsia" w:ascii="宋体" w:hAnsi="宋体" w:eastAsia="宋体" w:cs="宋体"/>
                <w:sz w:val="20"/>
                <w:szCs w:val="20"/>
                <w:highlight w:val="none"/>
              </w:rPr>
              <w:t>、</w:t>
            </w:r>
            <w:r>
              <w:rPr>
                <w:rFonts w:hint="eastAsia" w:ascii="宋体" w:hAnsi="宋体" w:eastAsia="宋体" w:cs="宋体"/>
                <w:sz w:val="20"/>
                <w:szCs w:val="20"/>
                <w:highlight w:val="none"/>
                <w:lang w:val="en-US" w:eastAsia="zh-CN"/>
              </w:rPr>
              <w:t>视频制作、整体氛围营造</w:t>
            </w:r>
            <w:r>
              <w:rPr>
                <w:rFonts w:hint="eastAsia" w:ascii="宋体" w:hAnsi="宋体" w:eastAsia="宋体" w:cs="宋体"/>
                <w:sz w:val="20"/>
                <w:szCs w:val="20"/>
                <w:highlight w:val="none"/>
              </w:rPr>
              <w:t>等保障措施完善，可行性强，有利于项目顺利实施的，得</w:t>
            </w:r>
            <w:r>
              <w:rPr>
                <w:rFonts w:hint="eastAsia" w:ascii="宋体" w:hAnsi="宋体" w:eastAsia="宋体" w:cs="宋体"/>
                <w:sz w:val="20"/>
                <w:szCs w:val="20"/>
                <w:highlight w:val="none"/>
                <w:lang w:val="en-US" w:eastAsia="zh-CN"/>
              </w:rPr>
              <w:t>10</w:t>
            </w:r>
            <w:r>
              <w:rPr>
                <w:rFonts w:hint="eastAsia" w:ascii="宋体" w:hAnsi="宋体" w:eastAsia="宋体" w:cs="宋体"/>
                <w:sz w:val="20"/>
                <w:szCs w:val="20"/>
                <w:highlight w:val="none"/>
              </w:rPr>
              <w:t>分；</w:t>
            </w:r>
          </w:p>
          <w:p>
            <w:pPr>
              <w:tabs>
                <w:tab w:val="center" w:pos="4153"/>
                <w:tab w:val="right" w:pos="8306"/>
              </w:tabs>
              <w:snapToGrid w:val="0"/>
              <w:spacing w:line="360" w:lineRule="auto"/>
              <w:jc w:val="left"/>
              <w:rPr>
                <w:rFonts w:hint="eastAsia" w:ascii="宋体" w:hAnsi="宋体" w:eastAsia="宋体" w:cs="宋体"/>
                <w:sz w:val="20"/>
                <w:szCs w:val="20"/>
                <w:highlight w:val="none"/>
              </w:rPr>
            </w:pPr>
            <w:r>
              <w:rPr>
                <w:rFonts w:hint="eastAsia" w:ascii="宋体" w:hAnsi="宋体" w:eastAsia="宋体" w:cs="宋体"/>
                <w:sz w:val="20"/>
                <w:szCs w:val="20"/>
                <w:highlight w:val="none"/>
              </w:rPr>
              <w:t>2.</w:t>
            </w:r>
            <w:r>
              <w:rPr>
                <w:rFonts w:hint="eastAsia" w:ascii="宋体" w:hAnsi="宋体" w:eastAsia="宋体" w:cs="宋体"/>
                <w:sz w:val="20"/>
                <w:szCs w:val="20"/>
                <w:highlight w:val="none"/>
                <w:lang w:val="en-US" w:eastAsia="zh-CN"/>
              </w:rPr>
              <w:t>舞美设计</w:t>
            </w:r>
            <w:r>
              <w:rPr>
                <w:rFonts w:hint="eastAsia" w:ascii="宋体" w:hAnsi="宋体" w:eastAsia="宋体" w:cs="宋体"/>
                <w:sz w:val="20"/>
                <w:szCs w:val="20"/>
                <w:highlight w:val="none"/>
              </w:rPr>
              <w:t>、</w:t>
            </w:r>
            <w:r>
              <w:rPr>
                <w:rFonts w:hint="eastAsia" w:ascii="宋体" w:hAnsi="宋体" w:eastAsia="宋体" w:cs="宋体"/>
                <w:sz w:val="20"/>
                <w:szCs w:val="20"/>
                <w:highlight w:val="none"/>
                <w:lang w:val="en-US" w:eastAsia="zh-CN"/>
              </w:rPr>
              <w:t>视频制作、整体氛围营造</w:t>
            </w:r>
            <w:r>
              <w:rPr>
                <w:rFonts w:hint="eastAsia" w:ascii="宋体" w:hAnsi="宋体" w:eastAsia="宋体" w:cs="宋体"/>
                <w:sz w:val="20"/>
                <w:szCs w:val="20"/>
                <w:highlight w:val="none"/>
              </w:rPr>
              <w:t>等保障措施较为完善，满足项目实施需要的，得</w:t>
            </w:r>
            <w:r>
              <w:rPr>
                <w:rFonts w:hint="eastAsia" w:ascii="宋体" w:hAnsi="宋体" w:eastAsia="宋体" w:cs="宋体"/>
                <w:sz w:val="20"/>
                <w:szCs w:val="20"/>
                <w:highlight w:val="none"/>
                <w:lang w:val="en-US" w:eastAsia="zh-CN"/>
              </w:rPr>
              <w:t>7</w:t>
            </w:r>
            <w:r>
              <w:rPr>
                <w:rFonts w:hint="eastAsia" w:ascii="宋体" w:hAnsi="宋体" w:eastAsia="宋体" w:cs="宋体"/>
                <w:sz w:val="20"/>
                <w:szCs w:val="20"/>
                <w:highlight w:val="none"/>
              </w:rPr>
              <w:t>分；</w:t>
            </w:r>
          </w:p>
          <w:p>
            <w:pPr>
              <w:tabs>
                <w:tab w:val="center" w:pos="4153"/>
                <w:tab w:val="right" w:pos="8306"/>
              </w:tabs>
              <w:snapToGrid w:val="0"/>
              <w:spacing w:line="360" w:lineRule="auto"/>
              <w:jc w:val="left"/>
              <w:rPr>
                <w:rFonts w:hint="eastAsia" w:ascii="宋体" w:hAnsi="宋体" w:eastAsia="宋体" w:cs="宋体"/>
                <w:sz w:val="20"/>
                <w:szCs w:val="20"/>
                <w:highlight w:val="none"/>
              </w:rPr>
            </w:pPr>
            <w:r>
              <w:rPr>
                <w:rFonts w:hint="eastAsia" w:ascii="宋体" w:hAnsi="宋体" w:eastAsia="宋体" w:cs="宋体"/>
                <w:sz w:val="20"/>
                <w:szCs w:val="20"/>
                <w:highlight w:val="none"/>
              </w:rPr>
              <w:t>3.</w:t>
            </w:r>
            <w:r>
              <w:rPr>
                <w:rFonts w:hint="eastAsia" w:ascii="宋体" w:hAnsi="宋体" w:eastAsia="宋体" w:cs="宋体"/>
                <w:sz w:val="20"/>
                <w:szCs w:val="20"/>
                <w:highlight w:val="none"/>
                <w:lang w:val="en-US" w:eastAsia="zh-CN"/>
              </w:rPr>
              <w:t>舞美设计</w:t>
            </w:r>
            <w:r>
              <w:rPr>
                <w:rFonts w:hint="eastAsia" w:ascii="宋体" w:hAnsi="宋体" w:eastAsia="宋体" w:cs="宋体"/>
                <w:sz w:val="20"/>
                <w:szCs w:val="20"/>
                <w:highlight w:val="none"/>
              </w:rPr>
              <w:t>、</w:t>
            </w:r>
            <w:r>
              <w:rPr>
                <w:rFonts w:hint="eastAsia" w:ascii="宋体" w:hAnsi="宋体" w:eastAsia="宋体" w:cs="宋体"/>
                <w:sz w:val="20"/>
                <w:szCs w:val="20"/>
                <w:highlight w:val="none"/>
                <w:lang w:val="en-US" w:eastAsia="zh-CN"/>
              </w:rPr>
              <w:t>视频制作、整体氛围营造</w:t>
            </w:r>
            <w:r>
              <w:rPr>
                <w:rFonts w:hint="eastAsia" w:ascii="宋体" w:hAnsi="宋体" w:eastAsia="宋体" w:cs="宋体"/>
                <w:sz w:val="20"/>
                <w:szCs w:val="20"/>
                <w:highlight w:val="none"/>
              </w:rPr>
              <w:t>等保障措施一般，基本满足项目实施需要的，得</w:t>
            </w:r>
            <w:r>
              <w:rPr>
                <w:rFonts w:hint="eastAsia" w:ascii="宋体" w:hAnsi="宋体" w:eastAsia="宋体" w:cs="宋体"/>
                <w:sz w:val="20"/>
                <w:szCs w:val="20"/>
                <w:highlight w:val="none"/>
                <w:lang w:val="en-US" w:eastAsia="zh-CN"/>
              </w:rPr>
              <w:t>4</w:t>
            </w:r>
            <w:r>
              <w:rPr>
                <w:rFonts w:hint="eastAsia" w:ascii="宋体" w:hAnsi="宋体" w:eastAsia="宋体" w:cs="宋体"/>
                <w:sz w:val="20"/>
                <w:szCs w:val="20"/>
                <w:highlight w:val="none"/>
              </w:rPr>
              <w:t>分；</w:t>
            </w:r>
          </w:p>
          <w:p>
            <w:pPr>
              <w:tabs>
                <w:tab w:val="center" w:pos="4153"/>
                <w:tab w:val="right" w:pos="8306"/>
              </w:tabs>
              <w:snapToGrid w:val="0"/>
              <w:spacing w:line="360" w:lineRule="auto"/>
              <w:jc w:val="left"/>
              <w:rPr>
                <w:rFonts w:hint="eastAsia" w:ascii="宋体" w:hAnsi="宋体" w:eastAsia="宋体" w:cs="宋体"/>
                <w:sz w:val="20"/>
                <w:szCs w:val="20"/>
                <w:highlight w:val="none"/>
              </w:rPr>
            </w:pPr>
            <w:r>
              <w:rPr>
                <w:rFonts w:hint="eastAsia" w:ascii="宋体" w:hAnsi="宋体" w:eastAsia="宋体" w:cs="宋体"/>
                <w:sz w:val="20"/>
                <w:szCs w:val="20"/>
                <w:highlight w:val="none"/>
              </w:rPr>
              <w:t>4.</w:t>
            </w:r>
            <w:r>
              <w:rPr>
                <w:rFonts w:hint="eastAsia" w:ascii="宋体" w:hAnsi="宋体" w:eastAsia="宋体" w:cs="宋体"/>
                <w:sz w:val="20"/>
                <w:szCs w:val="20"/>
                <w:highlight w:val="none"/>
                <w:lang w:val="en-US" w:eastAsia="zh-CN"/>
              </w:rPr>
              <w:t>舞美设计</w:t>
            </w:r>
            <w:r>
              <w:rPr>
                <w:rFonts w:hint="eastAsia" w:ascii="宋体" w:hAnsi="宋体" w:eastAsia="宋体" w:cs="宋体"/>
                <w:sz w:val="20"/>
                <w:szCs w:val="20"/>
                <w:highlight w:val="none"/>
              </w:rPr>
              <w:t>、</w:t>
            </w:r>
            <w:r>
              <w:rPr>
                <w:rFonts w:hint="eastAsia" w:ascii="宋体" w:hAnsi="宋体" w:eastAsia="宋体" w:cs="宋体"/>
                <w:sz w:val="20"/>
                <w:szCs w:val="20"/>
                <w:highlight w:val="none"/>
                <w:lang w:val="en-US" w:eastAsia="zh-CN"/>
              </w:rPr>
              <w:t>视频制作、整体氛围营造</w:t>
            </w:r>
            <w:r>
              <w:rPr>
                <w:rFonts w:hint="eastAsia" w:ascii="宋体" w:hAnsi="宋体" w:eastAsia="宋体" w:cs="宋体"/>
                <w:sz w:val="20"/>
                <w:szCs w:val="20"/>
                <w:highlight w:val="none"/>
              </w:rPr>
              <w:t>等保障措施</w:t>
            </w:r>
            <w:r>
              <w:rPr>
                <w:rFonts w:hint="eastAsia" w:ascii="宋体" w:hAnsi="宋体" w:eastAsia="宋体" w:cs="宋体"/>
                <w:sz w:val="20"/>
                <w:szCs w:val="20"/>
                <w:highlight w:val="none"/>
                <w:lang w:val="en-US" w:eastAsia="zh-CN"/>
              </w:rPr>
              <w:t>较差</w:t>
            </w:r>
            <w:r>
              <w:rPr>
                <w:rFonts w:hint="eastAsia" w:ascii="宋体" w:hAnsi="宋体" w:eastAsia="宋体" w:cs="宋体"/>
                <w:sz w:val="20"/>
                <w:szCs w:val="20"/>
                <w:highlight w:val="none"/>
              </w:rPr>
              <w:t>，</w:t>
            </w:r>
            <w:r>
              <w:rPr>
                <w:rFonts w:hint="eastAsia" w:ascii="宋体" w:hAnsi="宋体" w:eastAsia="宋体" w:cs="宋体"/>
                <w:sz w:val="20"/>
                <w:szCs w:val="20"/>
                <w:highlight w:val="none"/>
                <w:lang w:val="en-US" w:eastAsia="zh-CN"/>
              </w:rPr>
              <w:t>不能满足</w:t>
            </w:r>
            <w:r>
              <w:rPr>
                <w:rFonts w:hint="eastAsia" w:ascii="宋体" w:hAnsi="宋体" w:eastAsia="宋体" w:cs="宋体"/>
                <w:sz w:val="20"/>
                <w:szCs w:val="20"/>
                <w:highlight w:val="none"/>
              </w:rPr>
              <w:t>项目实施需要的，得1分；</w:t>
            </w:r>
          </w:p>
          <w:p>
            <w:pPr>
              <w:tabs>
                <w:tab w:val="center" w:pos="4153"/>
                <w:tab w:val="right" w:pos="8306"/>
              </w:tabs>
              <w:snapToGrid w:val="0"/>
              <w:spacing w:line="360" w:lineRule="auto"/>
              <w:jc w:val="left"/>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5.</w:t>
            </w:r>
            <w:r>
              <w:rPr>
                <w:rFonts w:hint="eastAsia" w:ascii="宋体" w:hAnsi="宋体" w:eastAsia="宋体" w:cs="宋体"/>
                <w:sz w:val="20"/>
                <w:szCs w:val="20"/>
                <w:highlight w:val="none"/>
              </w:rPr>
              <w:t>未提供或不符合采购需求不得分。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8" w:type="dxa"/>
            <w:vMerge w:val="continue"/>
            <w:noWrap w:val="0"/>
            <w:vAlign w:val="center"/>
          </w:tcPr>
          <w:p>
            <w:pPr>
              <w:spacing w:line="360" w:lineRule="auto"/>
              <w:jc w:val="center"/>
              <w:rPr>
                <w:rFonts w:hint="eastAsia" w:ascii="宋体" w:hAnsi="宋体" w:eastAsia="宋体" w:cs="宋体"/>
                <w:sz w:val="20"/>
                <w:szCs w:val="20"/>
                <w:highlight w:val="none"/>
              </w:rPr>
            </w:pPr>
          </w:p>
        </w:tc>
        <w:tc>
          <w:tcPr>
            <w:tcW w:w="1193" w:type="dxa"/>
            <w:noWrap w:val="0"/>
            <w:vAlign w:val="center"/>
          </w:tcPr>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lang w:val="en-GB"/>
              </w:rPr>
            </w:pPr>
            <w:r>
              <w:rPr>
                <w:rFonts w:hint="eastAsia" w:ascii="宋体" w:hAnsi="宋体" w:eastAsia="宋体" w:cs="宋体"/>
                <w:sz w:val="20"/>
                <w:szCs w:val="20"/>
                <w:highlight w:val="none"/>
              </w:rPr>
              <w:t>团队配置（</w:t>
            </w:r>
            <w:r>
              <w:rPr>
                <w:rFonts w:hint="eastAsia" w:ascii="宋体" w:hAnsi="宋体" w:cs="宋体"/>
                <w:sz w:val="20"/>
                <w:szCs w:val="20"/>
                <w:highlight w:val="none"/>
                <w:lang w:val="en-US" w:eastAsia="zh-CN"/>
              </w:rPr>
              <w:t>10</w:t>
            </w:r>
            <w:r>
              <w:rPr>
                <w:rFonts w:hint="eastAsia" w:ascii="宋体" w:hAnsi="宋体" w:eastAsia="宋体" w:cs="宋体"/>
                <w:sz w:val="20"/>
                <w:szCs w:val="20"/>
                <w:highlight w:val="none"/>
              </w:rPr>
              <w:t>分）</w:t>
            </w:r>
          </w:p>
        </w:tc>
        <w:tc>
          <w:tcPr>
            <w:tcW w:w="6171" w:type="dxa"/>
            <w:noWrap w:val="0"/>
            <w:vAlign w:val="center"/>
          </w:tcPr>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根据</w:t>
            </w:r>
            <w:r>
              <w:rPr>
                <w:rFonts w:hint="default" w:ascii="宋体" w:hAnsi="宋体" w:cs="宋体"/>
                <w:sz w:val="20"/>
                <w:szCs w:val="20"/>
                <w:highlight w:val="none"/>
              </w:rPr>
              <w:t>投标人</w:t>
            </w:r>
            <w:r>
              <w:rPr>
                <w:rFonts w:hint="eastAsia" w:ascii="宋体" w:hAnsi="宋体" w:eastAsia="宋体" w:cs="宋体"/>
                <w:sz w:val="20"/>
                <w:szCs w:val="20"/>
                <w:highlight w:val="none"/>
              </w:rPr>
              <w:t>针对本项目提供的团队人员岗位设置情况</w:t>
            </w:r>
            <w:r>
              <w:rPr>
                <w:rFonts w:hint="eastAsia" w:ascii="宋体" w:hAnsi="宋体" w:eastAsia="宋体" w:cs="宋体"/>
                <w:sz w:val="20"/>
                <w:szCs w:val="20"/>
                <w:highlight w:val="none"/>
                <w:lang w:eastAsia="zh-CN"/>
              </w:rPr>
              <w:t>进行评审</w:t>
            </w:r>
            <w:r>
              <w:rPr>
                <w:rFonts w:hint="eastAsia" w:ascii="宋体" w:hAnsi="宋体" w:eastAsia="宋体" w:cs="宋体"/>
                <w:sz w:val="20"/>
                <w:szCs w:val="20"/>
                <w:highlight w:val="none"/>
              </w:rPr>
              <w:t>。</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rPr>
              <w:t>1.岗位设置完整合理，</w:t>
            </w:r>
            <w:r>
              <w:rPr>
                <w:rFonts w:hint="eastAsia" w:ascii="宋体" w:hAnsi="宋体" w:eastAsia="宋体" w:cs="宋体"/>
                <w:sz w:val="20"/>
                <w:szCs w:val="20"/>
                <w:highlight w:val="none"/>
                <w:lang w:val="en-US" w:eastAsia="zh-CN"/>
              </w:rPr>
              <w:t>协调配合能力强</w:t>
            </w:r>
            <w:r>
              <w:rPr>
                <w:rFonts w:hint="eastAsia" w:ascii="宋体" w:hAnsi="宋体" w:eastAsia="宋体" w:cs="宋体"/>
                <w:sz w:val="20"/>
                <w:szCs w:val="20"/>
                <w:highlight w:val="none"/>
              </w:rPr>
              <w:t>得</w:t>
            </w:r>
            <w:r>
              <w:rPr>
                <w:rFonts w:hint="eastAsia" w:ascii="宋体" w:hAnsi="宋体" w:cs="宋体"/>
                <w:sz w:val="20"/>
                <w:szCs w:val="20"/>
                <w:highlight w:val="none"/>
                <w:lang w:val="en-US" w:eastAsia="zh-CN"/>
              </w:rPr>
              <w:t>10</w:t>
            </w:r>
            <w:r>
              <w:rPr>
                <w:rFonts w:hint="eastAsia" w:ascii="宋体" w:hAnsi="宋体" w:eastAsia="宋体" w:cs="宋体"/>
                <w:sz w:val="20"/>
                <w:szCs w:val="20"/>
                <w:highlight w:val="none"/>
              </w:rPr>
              <w:t>分；</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rPr>
              <w:t>2.岗位设置</w:t>
            </w:r>
            <w:r>
              <w:rPr>
                <w:rFonts w:hint="eastAsia" w:ascii="宋体" w:hAnsi="宋体" w:eastAsia="宋体" w:cs="宋体"/>
                <w:sz w:val="20"/>
                <w:szCs w:val="20"/>
                <w:highlight w:val="none"/>
                <w:lang w:val="en-US" w:eastAsia="zh-CN"/>
              </w:rPr>
              <w:t>较</w:t>
            </w:r>
            <w:r>
              <w:rPr>
                <w:rFonts w:hint="eastAsia" w:ascii="宋体" w:hAnsi="宋体" w:eastAsia="宋体" w:cs="宋体"/>
                <w:sz w:val="20"/>
                <w:szCs w:val="20"/>
                <w:highlight w:val="none"/>
              </w:rPr>
              <w:t>合理，</w:t>
            </w:r>
            <w:r>
              <w:rPr>
                <w:rFonts w:hint="eastAsia" w:ascii="宋体" w:hAnsi="宋体" w:eastAsia="宋体" w:cs="宋体"/>
                <w:sz w:val="20"/>
                <w:szCs w:val="20"/>
                <w:highlight w:val="none"/>
                <w:lang w:val="en-US" w:eastAsia="zh-CN"/>
              </w:rPr>
              <w:t>协调配合能力较强得</w:t>
            </w:r>
            <w:r>
              <w:rPr>
                <w:rFonts w:hint="eastAsia" w:ascii="宋体" w:hAnsi="宋体" w:cs="宋体"/>
                <w:sz w:val="20"/>
                <w:szCs w:val="20"/>
                <w:highlight w:val="none"/>
                <w:lang w:val="en-US" w:eastAsia="zh-CN"/>
              </w:rPr>
              <w:t>7</w:t>
            </w:r>
            <w:r>
              <w:rPr>
                <w:rFonts w:hint="eastAsia" w:ascii="宋体" w:hAnsi="宋体" w:eastAsia="宋体" w:cs="宋体"/>
                <w:sz w:val="20"/>
                <w:szCs w:val="20"/>
                <w:highlight w:val="none"/>
              </w:rPr>
              <w:t>分</w:t>
            </w:r>
            <w:r>
              <w:rPr>
                <w:rFonts w:hint="eastAsia" w:ascii="宋体" w:hAnsi="宋体" w:eastAsia="宋体" w:cs="宋体"/>
                <w:sz w:val="20"/>
                <w:szCs w:val="20"/>
                <w:highlight w:val="none"/>
                <w:lang w:eastAsia="zh-CN"/>
              </w:rPr>
              <w:t>；</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3.</w:t>
            </w:r>
            <w:r>
              <w:rPr>
                <w:rFonts w:hint="eastAsia" w:ascii="宋体" w:hAnsi="宋体" w:eastAsia="宋体" w:cs="宋体"/>
                <w:sz w:val="20"/>
                <w:szCs w:val="20"/>
                <w:highlight w:val="none"/>
              </w:rPr>
              <w:t>岗位设置</w:t>
            </w:r>
            <w:r>
              <w:rPr>
                <w:rFonts w:hint="eastAsia" w:ascii="宋体" w:hAnsi="宋体" w:eastAsia="宋体" w:cs="宋体"/>
                <w:sz w:val="20"/>
                <w:szCs w:val="20"/>
                <w:highlight w:val="none"/>
                <w:lang w:val="en-US" w:eastAsia="zh-CN"/>
              </w:rPr>
              <w:t>一般</w:t>
            </w:r>
            <w:r>
              <w:rPr>
                <w:rFonts w:hint="eastAsia" w:ascii="宋体" w:hAnsi="宋体" w:eastAsia="宋体" w:cs="宋体"/>
                <w:sz w:val="20"/>
                <w:szCs w:val="20"/>
                <w:highlight w:val="none"/>
              </w:rPr>
              <w:t>，</w:t>
            </w:r>
            <w:r>
              <w:rPr>
                <w:rFonts w:hint="eastAsia" w:ascii="宋体" w:hAnsi="宋体" w:eastAsia="宋体" w:cs="宋体"/>
                <w:sz w:val="20"/>
                <w:szCs w:val="20"/>
                <w:highlight w:val="none"/>
                <w:lang w:val="en-US" w:eastAsia="zh-CN"/>
              </w:rPr>
              <w:t>协调配合能力</w:t>
            </w:r>
            <w:r>
              <w:rPr>
                <w:rFonts w:hint="eastAsia" w:ascii="宋体" w:hAnsi="宋体" w:eastAsia="宋体" w:cs="宋体"/>
                <w:sz w:val="20"/>
                <w:szCs w:val="20"/>
                <w:highlight w:val="none"/>
              </w:rPr>
              <w:t>一般的得</w:t>
            </w:r>
            <w:r>
              <w:rPr>
                <w:rFonts w:hint="eastAsia" w:ascii="宋体" w:hAnsi="宋体" w:cs="宋体"/>
                <w:sz w:val="20"/>
                <w:szCs w:val="20"/>
                <w:highlight w:val="none"/>
                <w:lang w:val="en-US" w:eastAsia="zh-CN"/>
              </w:rPr>
              <w:t>4</w:t>
            </w:r>
            <w:r>
              <w:rPr>
                <w:rFonts w:hint="eastAsia" w:ascii="宋体" w:hAnsi="宋体" w:eastAsia="宋体" w:cs="宋体"/>
                <w:sz w:val="20"/>
                <w:szCs w:val="20"/>
                <w:highlight w:val="none"/>
              </w:rPr>
              <w:t>分；</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4</w:t>
            </w:r>
            <w:r>
              <w:rPr>
                <w:rFonts w:hint="eastAsia" w:ascii="宋体" w:hAnsi="宋体" w:eastAsia="宋体" w:cs="宋体"/>
                <w:sz w:val="20"/>
                <w:szCs w:val="20"/>
                <w:highlight w:val="none"/>
              </w:rPr>
              <w:t>.岗位设置</w:t>
            </w:r>
            <w:r>
              <w:rPr>
                <w:rFonts w:hint="eastAsia" w:ascii="宋体" w:hAnsi="宋体" w:eastAsia="宋体" w:cs="宋体"/>
                <w:sz w:val="20"/>
                <w:szCs w:val="20"/>
                <w:highlight w:val="none"/>
                <w:lang w:val="en-US" w:eastAsia="zh-CN"/>
              </w:rPr>
              <w:t>较差</w:t>
            </w:r>
            <w:r>
              <w:rPr>
                <w:rFonts w:hint="eastAsia" w:ascii="宋体" w:hAnsi="宋体" w:eastAsia="宋体" w:cs="宋体"/>
                <w:sz w:val="20"/>
                <w:szCs w:val="20"/>
                <w:highlight w:val="none"/>
              </w:rPr>
              <w:t>，</w:t>
            </w:r>
            <w:r>
              <w:rPr>
                <w:rFonts w:hint="eastAsia" w:ascii="宋体" w:hAnsi="宋体" w:eastAsia="宋体" w:cs="宋体"/>
                <w:sz w:val="20"/>
                <w:szCs w:val="20"/>
                <w:highlight w:val="none"/>
                <w:lang w:val="en-US" w:eastAsia="zh-CN"/>
              </w:rPr>
              <w:t>协调配合能力较差</w:t>
            </w:r>
            <w:r>
              <w:rPr>
                <w:rFonts w:hint="eastAsia" w:ascii="宋体" w:hAnsi="宋体" w:eastAsia="宋体" w:cs="宋体"/>
                <w:sz w:val="20"/>
                <w:szCs w:val="20"/>
                <w:highlight w:val="none"/>
              </w:rPr>
              <w:t>得</w:t>
            </w:r>
            <w:r>
              <w:rPr>
                <w:rFonts w:hint="eastAsia" w:ascii="宋体" w:hAnsi="宋体" w:cs="宋体"/>
                <w:sz w:val="20"/>
                <w:szCs w:val="20"/>
                <w:highlight w:val="none"/>
                <w:lang w:val="en-US" w:eastAsia="zh-CN"/>
              </w:rPr>
              <w:t>1</w:t>
            </w:r>
            <w:r>
              <w:rPr>
                <w:rFonts w:hint="eastAsia" w:ascii="宋体" w:hAnsi="宋体" w:eastAsia="宋体" w:cs="宋体"/>
                <w:sz w:val="20"/>
                <w:szCs w:val="20"/>
                <w:highlight w:val="none"/>
              </w:rPr>
              <w:t>分；</w:t>
            </w:r>
          </w:p>
          <w:p>
            <w:pPr>
              <w:keepNext w:val="0"/>
              <w:keepLines w:val="0"/>
              <w:pageBreakBefore w:val="0"/>
              <w:widowControl w:val="0"/>
              <w:kinsoku/>
              <w:wordWrap/>
              <w:overflowPunct/>
              <w:topLinePunct w:val="0"/>
              <w:bidi w:val="0"/>
              <w:spacing w:line="360" w:lineRule="auto"/>
              <w:textAlignment w:val="auto"/>
              <w:rPr>
                <w:rFonts w:hint="eastAsia" w:ascii="宋体" w:hAnsi="宋体" w:eastAsia="宋体" w:cs="宋体"/>
                <w:sz w:val="20"/>
                <w:szCs w:val="20"/>
                <w:highlight w:val="none"/>
              </w:rPr>
            </w:pPr>
            <w:r>
              <w:rPr>
                <w:rFonts w:hint="eastAsia" w:ascii="宋体" w:hAnsi="宋体" w:eastAsia="宋体" w:cs="宋体"/>
                <w:sz w:val="20"/>
                <w:szCs w:val="20"/>
                <w:highlight w:val="none"/>
                <w:lang w:val="en-US" w:eastAsia="zh-CN"/>
              </w:rPr>
              <w:t>5.未提供得0分</w:t>
            </w:r>
            <w:r>
              <w:rPr>
                <w:rFonts w:hint="eastAsia" w:ascii="宋体" w:hAnsi="宋体" w:eastAsia="宋体" w:cs="宋体"/>
                <w:sz w:val="20"/>
                <w:szCs w:val="20"/>
                <w:highlight w:val="none"/>
              </w:rPr>
              <w:t>。</w:t>
            </w:r>
          </w:p>
        </w:tc>
      </w:tr>
    </w:tbl>
    <w:p>
      <w:pPr>
        <w:rPr>
          <w:rFonts w:hint="eastAsia"/>
          <w:sz w:val="24"/>
          <w:highlight w:val="none"/>
          <w:lang w:val="en-US" w:eastAsia="zh-CN"/>
        </w:rPr>
      </w:pPr>
      <w:r>
        <w:rPr>
          <w:rFonts w:hint="eastAsia"/>
          <w:sz w:val="24"/>
          <w:highlight w:val="none"/>
          <w:lang w:val="en-US" w:eastAsia="zh-CN"/>
        </w:rPr>
        <w:br w:type="page"/>
      </w:r>
    </w:p>
    <w:p>
      <w:pPr>
        <w:pStyle w:val="10"/>
        <w:spacing w:before="0" w:after="0" w:line="360" w:lineRule="auto"/>
        <w:rPr>
          <w:rFonts w:asciiTheme="minorEastAsia" w:hAnsiTheme="minorEastAsia"/>
          <w:sz w:val="28"/>
          <w:highlight w:val="none"/>
        </w:rPr>
      </w:pPr>
      <w:bookmarkStart w:id="29" w:name="_Toc8661"/>
      <w:r>
        <w:rPr>
          <w:rFonts w:hint="eastAsia" w:asciiTheme="minorEastAsia" w:hAnsiTheme="minorEastAsia"/>
          <w:sz w:val="28"/>
          <w:highlight w:val="none"/>
        </w:rPr>
        <w:t>1.</w:t>
      </w:r>
      <w:r>
        <w:rPr>
          <w:rFonts w:asciiTheme="minorEastAsia" w:hAnsiTheme="minorEastAsia"/>
          <w:sz w:val="28"/>
          <w:highlight w:val="none"/>
        </w:rPr>
        <w:t>评标依据</w:t>
      </w:r>
      <w:bookmarkEnd w:id="23"/>
      <w:bookmarkEnd w:id="24"/>
      <w:bookmarkEnd w:id="25"/>
      <w:bookmarkEnd w:id="26"/>
      <w:bookmarkEnd w:id="27"/>
      <w:bookmarkEnd w:id="28"/>
      <w:bookmarkEnd w:id="29"/>
    </w:p>
    <w:p>
      <w:pPr>
        <w:spacing w:line="360" w:lineRule="auto"/>
        <w:ind w:firstLine="420"/>
        <w:rPr>
          <w:sz w:val="24"/>
          <w:szCs w:val="24"/>
          <w:highlight w:val="none"/>
        </w:rPr>
      </w:pPr>
      <w:r>
        <w:rPr>
          <w:rFonts w:hint="eastAsia" w:asciiTheme="minorEastAsia" w:hAnsiTheme="minorEastAsia" w:cstheme="minorEastAsia"/>
          <w:sz w:val="24"/>
          <w:szCs w:val="24"/>
          <w:highlight w:val="none"/>
        </w:rPr>
        <w:t>1.1</w:t>
      </w:r>
      <w:r>
        <w:rPr>
          <w:sz w:val="24"/>
          <w:szCs w:val="24"/>
          <w:highlight w:val="none"/>
        </w:rPr>
        <w:t>《中华人民共和国政府采购法》；</w:t>
      </w:r>
    </w:p>
    <w:p>
      <w:pPr>
        <w:spacing w:line="360" w:lineRule="auto"/>
        <w:ind w:firstLine="420"/>
        <w:rPr>
          <w:sz w:val="24"/>
          <w:szCs w:val="24"/>
          <w:highlight w:val="none"/>
        </w:rPr>
      </w:pPr>
      <w:r>
        <w:rPr>
          <w:rFonts w:hint="eastAsia" w:asciiTheme="minorEastAsia" w:hAnsiTheme="minorEastAsia" w:cstheme="minorEastAsia"/>
          <w:sz w:val="24"/>
          <w:szCs w:val="24"/>
          <w:highlight w:val="none"/>
        </w:rPr>
        <w:t>1.2</w:t>
      </w:r>
      <w:r>
        <w:rPr>
          <w:sz w:val="24"/>
          <w:szCs w:val="24"/>
          <w:highlight w:val="none"/>
        </w:rPr>
        <w:t>《中华人民共和国政府采购法实施条例》；</w:t>
      </w:r>
    </w:p>
    <w:p>
      <w:pPr>
        <w:spacing w:line="360" w:lineRule="auto"/>
        <w:ind w:firstLine="420"/>
        <w:rPr>
          <w:sz w:val="24"/>
          <w:szCs w:val="24"/>
          <w:highlight w:val="none"/>
        </w:rPr>
      </w:pPr>
      <w:r>
        <w:rPr>
          <w:rFonts w:hint="eastAsia" w:asciiTheme="minorEastAsia" w:hAnsiTheme="minorEastAsia" w:cstheme="minorEastAsia"/>
          <w:sz w:val="24"/>
          <w:szCs w:val="24"/>
          <w:highlight w:val="none"/>
        </w:rPr>
        <w:t>1.3</w:t>
      </w:r>
      <w:r>
        <w:rPr>
          <w:sz w:val="24"/>
          <w:szCs w:val="24"/>
          <w:highlight w:val="none"/>
        </w:rPr>
        <w:t>《政府采购货物和服务招标投标管理办法》（财政部第</w:t>
      </w:r>
      <w:r>
        <w:rPr>
          <w:rFonts w:hint="eastAsia" w:asciiTheme="minorEastAsia" w:hAnsiTheme="minorEastAsia"/>
          <w:sz w:val="24"/>
          <w:szCs w:val="28"/>
          <w:highlight w:val="none"/>
        </w:rPr>
        <w:t>87</w:t>
      </w:r>
      <w:r>
        <w:rPr>
          <w:sz w:val="24"/>
          <w:szCs w:val="24"/>
          <w:highlight w:val="none"/>
        </w:rPr>
        <w:t>号令）；</w:t>
      </w:r>
    </w:p>
    <w:p>
      <w:pPr>
        <w:spacing w:line="360" w:lineRule="auto"/>
        <w:ind w:firstLine="420"/>
        <w:rPr>
          <w:sz w:val="24"/>
          <w:szCs w:val="24"/>
          <w:highlight w:val="none"/>
        </w:rPr>
      </w:pPr>
      <w:r>
        <w:rPr>
          <w:rFonts w:hint="eastAsia" w:asciiTheme="minorEastAsia" w:hAnsiTheme="minorEastAsia" w:cstheme="minorEastAsia"/>
          <w:sz w:val="24"/>
          <w:szCs w:val="24"/>
          <w:highlight w:val="none"/>
        </w:rPr>
        <w:t>1.4</w:t>
      </w:r>
      <w:r>
        <w:rPr>
          <w:sz w:val="24"/>
          <w:szCs w:val="24"/>
          <w:highlight w:val="none"/>
        </w:rPr>
        <w:t>政府采购相关法律法规及本招标文件。</w:t>
      </w:r>
    </w:p>
    <w:p>
      <w:pPr>
        <w:pStyle w:val="10"/>
        <w:spacing w:before="0" w:after="0" w:line="360" w:lineRule="auto"/>
        <w:rPr>
          <w:rFonts w:asciiTheme="minorEastAsia" w:hAnsiTheme="minorEastAsia"/>
          <w:sz w:val="28"/>
          <w:highlight w:val="none"/>
        </w:rPr>
      </w:pPr>
      <w:bookmarkStart w:id="30" w:name="_Toc13053544"/>
      <w:bookmarkStart w:id="31" w:name="_Toc13068791"/>
      <w:bookmarkStart w:id="32" w:name="_Toc26445305"/>
      <w:bookmarkStart w:id="33" w:name="_Toc11072949"/>
      <w:bookmarkStart w:id="34" w:name="_Toc5489"/>
      <w:bookmarkStart w:id="35" w:name="_Toc14946169"/>
      <w:bookmarkStart w:id="36" w:name="_Toc13052731"/>
      <w:r>
        <w:rPr>
          <w:rFonts w:asciiTheme="minorEastAsia" w:hAnsiTheme="minorEastAsia"/>
          <w:sz w:val="28"/>
          <w:highlight w:val="none"/>
        </w:rPr>
        <w:t>2.评标委员会</w:t>
      </w:r>
      <w:bookmarkEnd w:id="30"/>
      <w:bookmarkEnd w:id="31"/>
      <w:bookmarkEnd w:id="32"/>
      <w:bookmarkEnd w:id="33"/>
      <w:bookmarkEnd w:id="34"/>
      <w:bookmarkEnd w:id="35"/>
      <w:bookmarkEnd w:id="36"/>
    </w:p>
    <w:p>
      <w:pPr>
        <w:spacing w:line="360" w:lineRule="auto"/>
        <w:ind w:firstLine="420"/>
        <w:rPr>
          <w:sz w:val="24"/>
          <w:szCs w:val="24"/>
          <w:highlight w:val="none"/>
        </w:rPr>
      </w:pPr>
      <w:r>
        <w:rPr>
          <w:rFonts w:hint="eastAsia" w:asciiTheme="minorEastAsia" w:hAnsiTheme="minorEastAsia" w:cstheme="minorEastAsia"/>
          <w:sz w:val="24"/>
          <w:szCs w:val="24"/>
          <w:highlight w:val="none"/>
        </w:rPr>
        <w:t>2.1</w:t>
      </w:r>
      <w:r>
        <w:rPr>
          <w:sz w:val="24"/>
          <w:szCs w:val="24"/>
          <w:highlight w:val="none"/>
        </w:rPr>
        <w:t>采购人将根据招标采购</w:t>
      </w:r>
      <w:r>
        <w:rPr>
          <w:rFonts w:hint="eastAsia"/>
          <w:sz w:val="24"/>
          <w:szCs w:val="24"/>
          <w:highlight w:val="none"/>
        </w:rPr>
        <w:t>项目</w:t>
      </w:r>
      <w:r>
        <w:rPr>
          <w:sz w:val="24"/>
          <w:szCs w:val="24"/>
          <w:highlight w:val="none"/>
        </w:rPr>
        <w:t>的特点依法组建</w:t>
      </w:r>
      <w:r>
        <w:rPr>
          <w:rFonts w:hint="eastAsia" w:asciiTheme="minorEastAsia" w:hAnsiTheme="minorEastAsia"/>
          <w:sz w:val="24"/>
          <w:szCs w:val="28"/>
          <w:highlight w:val="none"/>
        </w:rPr>
        <w:t>5</w:t>
      </w:r>
      <w:r>
        <w:rPr>
          <w:sz w:val="24"/>
          <w:szCs w:val="24"/>
          <w:highlight w:val="none"/>
        </w:rPr>
        <w:t>人评标委员会，除国务院财政部门规定的情形外，其成员由从河南省政府采购专家库中随机抽取的评审专家和采购人代表组成，其中评审专家不得少于成员总数的三分之二。</w:t>
      </w:r>
    </w:p>
    <w:p>
      <w:pPr>
        <w:spacing w:line="360" w:lineRule="auto"/>
        <w:ind w:firstLine="420"/>
        <w:rPr>
          <w:sz w:val="24"/>
          <w:szCs w:val="24"/>
          <w:highlight w:val="none"/>
        </w:rPr>
      </w:pPr>
      <w:r>
        <w:rPr>
          <w:rFonts w:hint="eastAsia" w:asciiTheme="minorEastAsia" w:hAnsiTheme="minorEastAsia" w:cstheme="minorEastAsia"/>
          <w:sz w:val="24"/>
          <w:szCs w:val="24"/>
          <w:highlight w:val="none"/>
        </w:rPr>
        <w:t>2.2</w:t>
      </w:r>
      <w:r>
        <w:rPr>
          <w:sz w:val="24"/>
          <w:szCs w:val="24"/>
          <w:highlight w:val="none"/>
        </w:rPr>
        <w:t>评审专家与参加采购活动的</w:t>
      </w:r>
      <w:r>
        <w:rPr>
          <w:rFonts w:hint="eastAsia"/>
          <w:sz w:val="24"/>
          <w:szCs w:val="24"/>
          <w:highlight w:val="none"/>
        </w:rPr>
        <w:t>供应商</w:t>
      </w:r>
      <w:r>
        <w:rPr>
          <w:sz w:val="24"/>
          <w:szCs w:val="24"/>
          <w:highlight w:val="none"/>
        </w:rPr>
        <w:t>存在下列利害关系之一的</w:t>
      </w:r>
      <w:r>
        <w:rPr>
          <w:rFonts w:hint="eastAsia"/>
          <w:sz w:val="24"/>
          <w:szCs w:val="24"/>
          <w:highlight w:val="none"/>
        </w:rPr>
        <w:t>，</w:t>
      </w:r>
      <w:r>
        <w:rPr>
          <w:sz w:val="24"/>
          <w:szCs w:val="24"/>
          <w:highlight w:val="none"/>
        </w:rPr>
        <w:t>应当回避</w:t>
      </w:r>
      <w:r>
        <w:rPr>
          <w:rFonts w:hint="eastAsia"/>
          <w:sz w:val="24"/>
          <w:szCs w:val="24"/>
          <w:highlight w:val="none"/>
        </w:rPr>
        <w:t>：</w:t>
      </w:r>
    </w:p>
    <w:p>
      <w:pPr>
        <w:spacing w:line="360" w:lineRule="auto"/>
        <w:ind w:firstLine="420"/>
        <w:rPr>
          <w:sz w:val="24"/>
          <w:szCs w:val="24"/>
          <w:highlight w:val="none"/>
        </w:rPr>
      </w:pPr>
      <w:r>
        <w:rPr>
          <w:rFonts w:hint="eastAsia" w:asciiTheme="minorEastAsia" w:hAnsiTheme="minorEastAsia" w:cstheme="minorEastAsia"/>
          <w:sz w:val="24"/>
          <w:szCs w:val="24"/>
          <w:highlight w:val="none"/>
        </w:rPr>
        <w:t>（1）</w:t>
      </w:r>
      <w:r>
        <w:rPr>
          <w:sz w:val="24"/>
          <w:szCs w:val="24"/>
          <w:highlight w:val="none"/>
        </w:rPr>
        <w:t>参加采购活动前三年内</w:t>
      </w:r>
      <w:r>
        <w:rPr>
          <w:rFonts w:hint="eastAsia"/>
          <w:sz w:val="24"/>
          <w:szCs w:val="24"/>
          <w:highlight w:val="none"/>
        </w:rPr>
        <w:t>，</w:t>
      </w:r>
      <w:r>
        <w:rPr>
          <w:sz w:val="24"/>
          <w:szCs w:val="24"/>
          <w:highlight w:val="none"/>
        </w:rPr>
        <w:t>与投标人存在劳动关系</w:t>
      </w:r>
      <w:r>
        <w:rPr>
          <w:rFonts w:hint="eastAsia"/>
          <w:sz w:val="24"/>
          <w:szCs w:val="24"/>
          <w:highlight w:val="none"/>
        </w:rPr>
        <w:t>，</w:t>
      </w:r>
      <w:r>
        <w:rPr>
          <w:sz w:val="24"/>
          <w:szCs w:val="24"/>
          <w:highlight w:val="none"/>
        </w:rPr>
        <w:t>或者担任过投标人的董事、监事</w:t>
      </w:r>
      <w:r>
        <w:rPr>
          <w:rFonts w:hint="eastAsia"/>
          <w:sz w:val="24"/>
          <w:szCs w:val="24"/>
          <w:highlight w:val="none"/>
        </w:rPr>
        <w:t>，</w:t>
      </w:r>
      <w:r>
        <w:rPr>
          <w:sz w:val="24"/>
          <w:szCs w:val="24"/>
          <w:highlight w:val="none"/>
        </w:rPr>
        <w:t>或者是投标人的控股股东或实际控制人；</w:t>
      </w:r>
    </w:p>
    <w:p>
      <w:pPr>
        <w:spacing w:line="360" w:lineRule="auto"/>
        <w:ind w:firstLine="420"/>
        <w:rPr>
          <w:sz w:val="24"/>
          <w:szCs w:val="24"/>
          <w:highlight w:val="none"/>
        </w:rPr>
      </w:pPr>
      <w:bookmarkStart w:id="37" w:name="_Toc25767710"/>
      <w:bookmarkStart w:id="38" w:name="_Toc26445306"/>
      <w:bookmarkStart w:id="39" w:name="_Toc26178994"/>
      <w:r>
        <w:rPr>
          <w:rFonts w:hint="eastAsia" w:asciiTheme="minorEastAsia" w:hAnsiTheme="minorEastAsia" w:cstheme="minorEastAsia"/>
          <w:sz w:val="24"/>
          <w:szCs w:val="24"/>
          <w:highlight w:val="none"/>
        </w:rPr>
        <w:t>（2）</w:t>
      </w:r>
      <w:r>
        <w:rPr>
          <w:sz w:val="24"/>
          <w:szCs w:val="24"/>
          <w:highlight w:val="none"/>
        </w:rPr>
        <w:t>与投标人的法定代表人或者负责人有夫妻、直系血亲、三代以内旁系血亲或者近姻亲关系；</w:t>
      </w:r>
      <w:bookmarkEnd w:id="37"/>
      <w:bookmarkEnd w:id="38"/>
      <w:bookmarkEnd w:id="39"/>
    </w:p>
    <w:p>
      <w:pPr>
        <w:spacing w:line="360" w:lineRule="auto"/>
        <w:ind w:firstLine="420"/>
        <w:rPr>
          <w:sz w:val="24"/>
          <w:szCs w:val="24"/>
          <w:highlight w:val="none"/>
        </w:rPr>
      </w:pPr>
      <w:r>
        <w:rPr>
          <w:rFonts w:hint="eastAsia" w:asciiTheme="minorEastAsia" w:hAnsiTheme="minorEastAsia" w:cstheme="minorEastAsia"/>
          <w:sz w:val="24"/>
          <w:szCs w:val="24"/>
          <w:highlight w:val="none"/>
        </w:rPr>
        <w:t>（3）</w:t>
      </w:r>
      <w:r>
        <w:rPr>
          <w:sz w:val="24"/>
          <w:szCs w:val="24"/>
          <w:highlight w:val="none"/>
        </w:rPr>
        <w:t>与投标人有其他可能影响政府采购活动公平、公正进行的关系。</w:t>
      </w:r>
    </w:p>
    <w:p>
      <w:pPr>
        <w:spacing w:line="360" w:lineRule="auto"/>
        <w:ind w:firstLine="420"/>
        <w:rPr>
          <w:sz w:val="24"/>
          <w:szCs w:val="24"/>
          <w:highlight w:val="none"/>
        </w:rPr>
      </w:pPr>
      <w:r>
        <w:rPr>
          <w:sz w:val="24"/>
          <w:szCs w:val="24"/>
          <w:highlight w:val="none"/>
        </w:rPr>
        <w:t>评审专家发现本人与参加采购活动的投标人有利害关系的</w:t>
      </w:r>
      <w:r>
        <w:rPr>
          <w:rFonts w:hint="eastAsia"/>
          <w:sz w:val="24"/>
          <w:szCs w:val="24"/>
          <w:highlight w:val="none"/>
        </w:rPr>
        <w:t>，</w:t>
      </w:r>
      <w:r>
        <w:rPr>
          <w:sz w:val="24"/>
          <w:szCs w:val="24"/>
          <w:highlight w:val="none"/>
        </w:rPr>
        <w:t>应当主动提出回避。采购人或者采购代理机构发现评审专家与参加采购活动的投标人有利害关系的</w:t>
      </w:r>
      <w:r>
        <w:rPr>
          <w:rFonts w:hint="eastAsia"/>
          <w:sz w:val="24"/>
          <w:szCs w:val="24"/>
          <w:highlight w:val="none"/>
        </w:rPr>
        <w:t>，</w:t>
      </w:r>
      <w:r>
        <w:rPr>
          <w:sz w:val="24"/>
          <w:szCs w:val="24"/>
          <w:highlight w:val="none"/>
        </w:rPr>
        <w:t>应当要求其回避。</w:t>
      </w:r>
    </w:p>
    <w:p>
      <w:pPr>
        <w:spacing w:line="360" w:lineRule="auto"/>
        <w:ind w:firstLine="420"/>
        <w:rPr>
          <w:sz w:val="24"/>
          <w:szCs w:val="24"/>
          <w:highlight w:val="none"/>
        </w:rPr>
      </w:pPr>
      <w:r>
        <w:rPr>
          <w:rFonts w:hint="eastAsia" w:asciiTheme="minorEastAsia" w:hAnsiTheme="minorEastAsia" w:cstheme="minorEastAsia"/>
          <w:sz w:val="24"/>
          <w:szCs w:val="24"/>
          <w:highlight w:val="none"/>
        </w:rPr>
        <w:t>2.3</w:t>
      </w:r>
      <w:r>
        <w:rPr>
          <w:sz w:val="24"/>
          <w:szCs w:val="24"/>
          <w:highlight w:val="none"/>
        </w:rPr>
        <w:t>因</w:t>
      </w:r>
      <w:r>
        <w:rPr>
          <w:rFonts w:hint="eastAsia"/>
          <w:sz w:val="24"/>
          <w:szCs w:val="24"/>
          <w:highlight w:val="none"/>
        </w:rPr>
        <w:t>评审专家</w:t>
      </w:r>
      <w:r>
        <w:rPr>
          <w:sz w:val="24"/>
          <w:szCs w:val="24"/>
          <w:highlight w:val="none"/>
        </w:rPr>
        <w:t>缺席、回避或者健康等原因导致</w:t>
      </w:r>
      <w:r>
        <w:rPr>
          <w:rFonts w:hint="eastAsia"/>
          <w:sz w:val="24"/>
          <w:szCs w:val="24"/>
          <w:highlight w:val="none"/>
        </w:rPr>
        <w:t>评审现场专家数量</w:t>
      </w:r>
      <w:r>
        <w:rPr>
          <w:sz w:val="24"/>
          <w:szCs w:val="24"/>
          <w:highlight w:val="none"/>
        </w:rPr>
        <w:t>不符合规定的，采购人或者采购代理机构</w:t>
      </w:r>
      <w:r>
        <w:rPr>
          <w:rFonts w:hint="eastAsia"/>
          <w:sz w:val="24"/>
          <w:szCs w:val="24"/>
          <w:highlight w:val="none"/>
        </w:rPr>
        <w:t>应当及时补抽评审专家，或者经采购人主管预算单位同意自行选定补足评审专家。</w:t>
      </w:r>
      <w:r>
        <w:rPr>
          <w:sz w:val="24"/>
          <w:szCs w:val="24"/>
          <w:highlight w:val="none"/>
        </w:rPr>
        <w:t>无法及时补足</w:t>
      </w:r>
      <w:r>
        <w:rPr>
          <w:rFonts w:hint="eastAsia"/>
          <w:sz w:val="24"/>
          <w:szCs w:val="24"/>
          <w:highlight w:val="none"/>
        </w:rPr>
        <w:t>评审专家</w:t>
      </w:r>
      <w:r>
        <w:rPr>
          <w:sz w:val="24"/>
          <w:szCs w:val="24"/>
          <w:highlight w:val="none"/>
        </w:rPr>
        <w:t>的，采购人或者采购代理机构应当</w:t>
      </w:r>
      <w:r>
        <w:rPr>
          <w:rFonts w:hint="eastAsia"/>
          <w:sz w:val="24"/>
          <w:szCs w:val="24"/>
          <w:highlight w:val="none"/>
        </w:rPr>
        <w:t>立即</w:t>
      </w:r>
      <w:r>
        <w:rPr>
          <w:sz w:val="24"/>
          <w:szCs w:val="24"/>
          <w:highlight w:val="none"/>
        </w:rPr>
        <w:t>停止评</w:t>
      </w:r>
      <w:r>
        <w:rPr>
          <w:rFonts w:hint="eastAsia"/>
          <w:sz w:val="24"/>
          <w:szCs w:val="24"/>
          <w:highlight w:val="none"/>
        </w:rPr>
        <w:t>审工作</w:t>
      </w:r>
      <w:r>
        <w:rPr>
          <w:sz w:val="24"/>
          <w:szCs w:val="24"/>
          <w:highlight w:val="none"/>
        </w:rPr>
        <w:t>，封存所有投标文件和</w:t>
      </w:r>
      <w:r>
        <w:rPr>
          <w:rFonts w:hint="eastAsia"/>
          <w:sz w:val="24"/>
          <w:szCs w:val="24"/>
          <w:highlight w:val="none"/>
        </w:rPr>
        <w:t>相关</w:t>
      </w:r>
      <w:r>
        <w:rPr>
          <w:sz w:val="24"/>
          <w:szCs w:val="24"/>
          <w:highlight w:val="none"/>
        </w:rPr>
        <w:t>资料，依法重新组建评标委员会进行</w:t>
      </w:r>
      <w:r>
        <w:rPr>
          <w:rFonts w:hint="eastAsia"/>
          <w:sz w:val="24"/>
          <w:szCs w:val="24"/>
          <w:highlight w:val="none"/>
        </w:rPr>
        <w:t>评审</w:t>
      </w:r>
      <w:r>
        <w:rPr>
          <w:sz w:val="24"/>
          <w:szCs w:val="24"/>
          <w:highlight w:val="none"/>
        </w:rPr>
        <w:t>。</w:t>
      </w:r>
    </w:p>
    <w:p>
      <w:pPr>
        <w:spacing w:line="360" w:lineRule="auto"/>
        <w:ind w:firstLine="420"/>
        <w:rPr>
          <w:sz w:val="24"/>
          <w:szCs w:val="24"/>
          <w:highlight w:val="none"/>
        </w:rPr>
      </w:pPr>
      <w:r>
        <w:rPr>
          <w:rFonts w:hint="eastAsia" w:asciiTheme="minorEastAsia" w:hAnsiTheme="minorEastAsia" w:cstheme="minorEastAsia"/>
          <w:sz w:val="24"/>
          <w:szCs w:val="24"/>
          <w:highlight w:val="none"/>
        </w:rPr>
        <w:t>2.4</w:t>
      </w:r>
      <w:r>
        <w:rPr>
          <w:sz w:val="24"/>
          <w:szCs w:val="24"/>
          <w:highlight w:val="none"/>
        </w:rPr>
        <w:t>评标委员会负责具体评标事务，对符合资格的投标人的投标文件进行符合性审查，以确定其是否满足招标文件的实质性要求，并按照招标文件中规定的评标方法和标准，对符合性审查合格的投标文件进行商务和技术评估，综合比较与评价。</w:t>
      </w:r>
    </w:p>
    <w:p>
      <w:pPr>
        <w:pStyle w:val="10"/>
        <w:spacing w:before="0" w:after="0" w:line="360" w:lineRule="auto"/>
        <w:rPr>
          <w:rFonts w:asciiTheme="minorEastAsia" w:hAnsiTheme="minorEastAsia"/>
          <w:sz w:val="28"/>
          <w:highlight w:val="none"/>
        </w:rPr>
      </w:pPr>
      <w:bookmarkStart w:id="40" w:name="_Toc27015"/>
      <w:r>
        <w:rPr>
          <w:rFonts w:hint="eastAsia" w:asciiTheme="minorEastAsia" w:hAnsiTheme="minorEastAsia"/>
          <w:sz w:val="28"/>
          <w:highlight w:val="none"/>
        </w:rPr>
        <w:t>3</w:t>
      </w:r>
      <w:r>
        <w:rPr>
          <w:rFonts w:asciiTheme="minorEastAsia" w:hAnsiTheme="minorEastAsia"/>
          <w:sz w:val="28"/>
          <w:highlight w:val="none"/>
        </w:rPr>
        <w:t>.</w:t>
      </w:r>
      <w:r>
        <w:rPr>
          <w:rFonts w:hint="eastAsia" w:asciiTheme="minorEastAsia" w:hAnsiTheme="minorEastAsia"/>
          <w:sz w:val="28"/>
          <w:highlight w:val="none"/>
        </w:rPr>
        <w:t>评标方法与标准</w:t>
      </w:r>
      <w:bookmarkEnd w:id="40"/>
    </w:p>
    <w:p>
      <w:pPr>
        <w:spacing w:line="360" w:lineRule="auto"/>
        <w:ind w:firstLine="420"/>
        <w:rPr>
          <w:sz w:val="24"/>
          <w:szCs w:val="24"/>
          <w:highlight w:val="none"/>
        </w:rPr>
      </w:pPr>
      <w:r>
        <w:rPr>
          <w:rFonts w:hint="eastAsia" w:asciiTheme="minorEastAsia" w:hAnsiTheme="minorEastAsia" w:cstheme="minorEastAsia"/>
          <w:sz w:val="24"/>
          <w:szCs w:val="24"/>
          <w:highlight w:val="none"/>
        </w:rPr>
        <w:t>3.1</w:t>
      </w:r>
      <w:r>
        <w:rPr>
          <w:sz w:val="24"/>
          <w:szCs w:val="24"/>
          <w:highlight w:val="none"/>
        </w:rPr>
        <w:t>本次招标采用综合评分法。</w:t>
      </w:r>
    </w:p>
    <w:p>
      <w:pPr>
        <w:spacing w:line="360" w:lineRule="auto"/>
        <w:ind w:firstLine="420"/>
        <w:rPr>
          <w:rFonts w:asciiTheme="minorEastAsia" w:hAnsiTheme="minorEastAsia"/>
          <w:sz w:val="24"/>
          <w:szCs w:val="28"/>
          <w:highlight w:val="none"/>
        </w:rPr>
      </w:pPr>
      <w:r>
        <w:rPr>
          <w:sz w:val="24"/>
          <w:szCs w:val="24"/>
          <w:highlight w:val="none"/>
        </w:rPr>
        <w:t>评标委员会按照本章规定的评审因素和评分标准进行打分，并按得分由高到低顺序推荐</w:t>
      </w:r>
      <w:r>
        <w:rPr>
          <w:rFonts w:hint="eastAsia" w:asciiTheme="minorEastAsia" w:hAnsiTheme="minorEastAsia"/>
          <w:sz w:val="24"/>
          <w:szCs w:val="28"/>
          <w:highlight w:val="none"/>
        </w:rPr>
        <w:t>3</w:t>
      </w:r>
      <w:r>
        <w:rPr>
          <w:sz w:val="24"/>
          <w:szCs w:val="24"/>
          <w:highlight w:val="none"/>
        </w:rPr>
        <w:t>名中标候选人。</w:t>
      </w:r>
      <w:r>
        <w:rPr>
          <w:rFonts w:hint="eastAsia" w:asciiTheme="minorEastAsia" w:hAnsiTheme="minorEastAsia"/>
          <w:sz w:val="24"/>
          <w:szCs w:val="28"/>
          <w:highlight w:val="none"/>
        </w:rPr>
        <w:t>如最后得分相同的，按投标报价由低到高顺序排列。得分且投标报价相同的并列。</w:t>
      </w:r>
    </w:p>
    <w:p>
      <w:pPr>
        <w:spacing w:line="360" w:lineRule="auto"/>
        <w:ind w:firstLine="420"/>
        <w:rPr>
          <w:sz w:val="24"/>
          <w:szCs w:val="24"/>
          <w:highlight w:val="none"/>
        </w:rPr>
      </w:pPr>
      <w:r>
        <w:rPr>
          <w:rFonts w:hint="eastAsia" w:asciiTheme="minorEastAsia" w:hAnsiTheme="minorEastAsia" w:cstheme="minorEastAsia"/>
          <w:sz w:val="24"/>
          <w:szCs w:val="24"/>
          <w:highlight w:val="none"/>
        </w:rPr>
        <w:t>3.2</w:t>
      </w:r>
      <w:r>
        <w:rPr>
          <w:sz w:val="24"/>
          <w:szCs w:val="24"/>
          <w:highlight w:val="none"/>
        </w:rPr>
        <w:t>采购人或者采购代理机构负责组织评标工作，并履行相关职责；评标委员会负责具体评标事务，并独立履行相关职责。</w:t>
      </w:r>
    </w:p>
    <w:p>
      <w:pPr>
        <w:spacing w:line="360" w:lineRule="auto"/>
        <w:ind w:firstLine="420"/>
        <w:rPr>
          <w:sz w:val="24"/>
          <w:szCs w:val="24"/>
          <w:highlight w:val="none"/>
        </w:rPr>
      </w:pPr>
      <w:r>
        <w:rPr>
          <w:rFonts w:hint="eastAsia" w:asciiTheme="minorEastAsia" w:hAnsiTheme="minorEastAsia" w:cstheme="minorEastAsia"/>
          <w:sz w:val="24"/>
          <w:szCs w:val="24"/>
          <w:highlight w:val="none"/>
        </w:rPr>
        <w:t>3.3</w:t>
      </w:r>
      <w:r>
        <w:rPr>
          <w:rFonts w:hint="eastAsia"/>
          <w:sz w:val="24"/>
          <w:szCs w:val="24"/>
          <w:highlight w:val="none"/>
        </w:rPr>
        <w:t>评标步骤</w:t>
      </w:r>
    </w:p>
    <w:p>
      <w:pPr>
        <w:spacing w:line="360" w:lineRule="auto"/>
        <w:ind w:firstLine="480" w:firstLineChars="200"/>
        <w:rPr>
          <w:rFonts w:asciiTheme="minorEastAsia" w:hAnsiTheme="minorEastAsia"/>
          <w:b/>
          <w:sz w:val="24"/>
          <w:szCs w:val="28"/>
          <w:highlight w:val="none"/>
        </w:rPr>
      </w:pPr>
      <w:r>
        <w:rPr>
          <w:rFonts w:hint="eastAsia" w:asciiTheme="minorEastAsia" w:hAnsiTheme="minorEastAsia"/>
          <w:sz w:val="24"/>
          <w:szCs w:val="28"/>
          <w:highlight w:val="none"/>
        </w:rPr>
        <w:t>3</w:t>
      </w:r>
      <w:r>
        <w:rPr>
          <w:rFonts w:asciiTheme="minorEastAsia" w:hAnsiTheme="minorEastAsia"/>
          <w:sz w:val="24"/>
          <w:szCs w:val="28"/>
          <w:highlight w:val="none"/>
        </w:rPr>
        <w:t>.3.1</w:t>
      </w:r>
      <w:r>
        <w:rPr>
          <w:rFonts w:hint="eastAsia" w:asciiTheme="minorEastAsia" w:hAnsiTheme="minorEastAsia"/>
          <w:sz w:val="24"/>
          <w:szCs w:val="28"/>
          <w:highlight w:val="none"/>
        </w:rPr>
        <w:t>资格审查</w:t>
      </w:r>
    </w:p>
    <w:p>
      <w:pPr>
        <w:spacing w:line="360" w:lineRule="auto"/>
        <w:ind w:firstLine="420"/>
        <w:rPr>
          <w:rFonts w:asciiTheme="minorEastAsia" w:hAnsiTheme="minorEastAsia"/>
          <w:sz w:val="24"/>
          <w:szCs w:val="28"/>
          <w:highlight w:val="none"/>
        </w:rPr>
      </w:pPr>
      <w:r>
        <w:rPr>
          <w:rFonts w:hint="eastAsia" w:asciiTheme="minorEastAsia" w:hAnsiTheme="minorEastAsia"/>
          <w:sz w:val="24"/>
          <w:szCs w:val="28"/>
          <w:highlight w:val="none"/>
        </w:rPr>
        <w:t>开标结束后，采购人或者采购代理机构依法对投标人的资格进行审查。合格投标人不足3家的，不再进行评标。</w:t>
      </w:r>
    </w:p>
    <w:p>
      <w:pPr>
        <w:spacing w:line="360" w:lineRule="auto"/>
        <w:ind w:firstLine="480" w:firstLineChars="200"/>
        <w:rPr>
          <w:rFonts w:asciiTheme="minorEastAsia" w:hAnsiTheme="minorEastAsia"/>
          <w:sz w:val="24"/>
          <w:szCs w:val="28"/>
          <w:highlight w:val="none"/>
        </w:rPr>
      </w:pPr>
      <w:r>
        <w:rPr>
          <w:rFonts w:hint="eastAsia" w:asciiTheme="minorEastAsia" w:hAnsiTheme="minorEastAsia"/>
          <w:sz w:val="24"/>
          <w:szCs w:val="28"/>
          <w:highlight w:val="none"/>
        </w:rPr>
        <w:t>3</w:t>
      </w:r>
      <w:r>
        <w:rPr>
          <w:rFonts w:asciiTheme="minorEastAsia" w:hAnsiTheme="minorEastAsia"/>
          <w:sz w:val="24"/>
          <w:szCs w:val="28"/>
          <w:highlight w:val="none"/>
        </w:rPr>
        <w:t>.3.2</w:t>
      </w:r>
      <w:r>
        <w:rPr>
          <w:rFonts w:hint="eastAsia" w:asciiTheme="minorEastAsia" w:hAnsiTheme="minorEastAsia"/>
          <w:sz w:val="24"/>
          <w:szCs w:val="28"/>
          <w:highlight w:val="none"/>
        </w:rPr>
        <w:t>符合性评审</w:t>
      </w:r>
    </w:p>
    <w:p>
      <w:pPr>
        <w:spacing w:line="360" w:lineRule="auto"/>
        <w:ind w:firstLine="480" w:firstLineChars="200"/>
        <w:rPr>
          <w:rFonts w:asciiTheme="minorEastAsia" w:hAnsiTheme="minorEastAsia"/>
          <w:sz w:val="24"/>
          <w:szCs w:val="28"/>
          <w:highlight w:val="none"/>
        </w:rPr>
      </w:pPr>
      <w:r>
        <w:rPr>
          <w:rFonts w:hint="eastAsia" w:asciiTheme="minorEastAsia" w:hAnsiTheme="minorEastAsia"/>
          <w:sz w:val="24"/>
          <w:szCs w:val="28"/>
          <w:highlight w:val="none"/>
        </w:rPr>
        <w:t>评标委员会对所有符合资格的投标人的投标文件进行符合性审查，以确定是否满足招标文件的实质性要求。</w:t>
      </w:r>
    </w:p>
    <w:p>
      <w:pPr>
        <w:spacing w:line="360" w:lineRule="auto"/>
        <w:ind w:firstLine="480" w:firstLineChars="200"/>
        <w:rPr>
          <w:rFonts w:asciiTheme="minorEastAsia" w:hAnsiTheme="minorEastAsia"/>
          <w:sz w:val="24"/>
          <w:szCs w:val="28"/>
          <w:highlight w:val="none"/>
        </w:rPr>
      </w:pPr>
      <w:r>
        <w:rPr>
          <w:rFonts w:hint="eastAsia" w:asciiTheme="minorEastAsia" w:hAnsiTheme="minorEastAsia"/>
          <w:sz w:val="24"/>
          <w:szCs w:val="28"/>
          <w:highlight w:val="none"/>
        </w:rPr>
        <w:t>3</w:t>
      </w:r>
      <w:r>
        <w:rPr>
          <w:rFonts w:asciiTheme="minorEastAsia" w:hAnsiTheme="minorEastAsia"/>
          <w:sz w:val="24"/>
          <w:szCs w:val="28"/>
          <w:highlight w:val="none"/>
        </w:rPr>
        <w:t>.3.3</w:t>
      </w:r>
      <w:r>
        <w:rPr>
          <w:rFonts w:hint="eastAsia" w:asciiTheme="minorEastAsia" w:hAnsiTheme="minorEastAsia"/>
          <w:sz w:val="24"/>
          <w:szCs w:val="28"/>
          <w:highlight w:val="none"/>
        </w:rPr>
        <w:t>详细评审</w:t>
      </w:r>
    </w:p>
    <w:p>
      <w:pPr>
        <w:spacing w:line="360" w:lineRule="auto"/>
        <w:ind w:firstLine="480" w:firstLineChars="200"/>
        <w:rPr>
          <w:b/>
          <w:bCs/>
          <w:sz w:val="24"/>
          <w:szCs w:val="24"/>
          <w:highlight w:val="none"/>
        </w:rPr>
      </w:pPr>
      <w:r>
        <w:rPr>
          <w:rFonts w:hint="eastAsia"/>
          <w:sz w:val="24"/>
          <w:szCs w:val="24"/>
          <w:highlight w:val="none"/>
        </w:rPr>
        <w:t>评标委员会按照招标文件中规定的评标方法和标准，对符合性审查合格的投标文件进行商务和技术评估，综合比较与评价。</w:t>
      </w:r>
    </w:p>
    <w:p>
      <w:pPr>
        <w:spacing w:line="360" w:lineRule="auto"/>
        <w:ind w:firstLine="480" w:firstLineChars="200"/>
        <w:rPr>
          <w:rFonts w:asciiTheme="minorEastAsia" w:hAnsiTheme="minorEastAsia"/>
          <w:sz w:val="24"/>
          <w:szCs w:val="28"/>
          <w:highlight w:val="none"/>
        </w:rPr>
      </w:pPr>
      <w:r>
        <w:rPr>
          <w:rFonts w:hint="eastAsia" w:asciiTheme="minorEastAsia" w:hAnsiTheme="minorEastAsia"/>
          <w:sz w:val="24"/>
          <w:szCs w:val="28"/>
          <w:highlight w:val="none"/>
        </w:rPr>
        <w:t>3.3.3.1投标文件报价出现前后不一致的，按照下列规定修正：</w:t>
      </w:r>
    </w:p>
    <w:p>
      <w:pPr>
        <w:numPr>
          <w:ilvl w:val="0"/>
          <w:numId w:val="6"/>
        </w:numPr>
        <w:spacing w:line="360" w:lineRule="auto"/>
        <w:rPr>
          <w:sz w:val="24"/>
          <w:szCs w:val="24"/>
          <w:highlight w:val="none"/>
        </w:rPr>
      </w:pPr>
      <w:r>
        <w:rPr>
          <w:rFonts w:hint="eastAsia" w:asciiTheme="minorEastAsia" w:hAnsiTheme="minorEastAsia" w:cstheme="minorEastAsia"/>
          <w:sz w:val="24"/>
          <w:szCs w:val="24"/>
          <w:highlight w:val="none"/>
        </w:rPr>
        <w:t>投标</w:t>
      </w:r>
      <w:r>
        <w:rPr>
          <w:rFonts w:hint="eastAsia"/>
          <w:sz w:val="24"/>
          <w:szCs w:val="24"/>
          <w:highlight w:val="none"/>
        </w:rPr>
        <w:t>文件中开标一览表（报价表）内容与投标文件中相应内容不一致的，以开标一览表（报价表）为准；</w:t>
      </w:r>
    </w:p>
    <w:p>
      <w:pPr>
        <w:numPr>
          <w:ilvl w:val="0"/>
          <w:numId w:val="6"/>
        </w:numPr>
        <w:spacing w:line="360" w:lineRule="auto"/>
        <w:rPr>
          <w:sz w:val="24"/>
          <w:szCs w:val="24"/>
          <w:highlight w:val="none"/>
        </w:rPr>
      </w:pPr>
      <w:r>
        <w:rPr>
          <w:rFonts w:hint="eastAsia"/>
          <w:sz w:val="24"/>
          <w:szCs w:val="24"/>
          <w:highlight w:val="none"/>
        </w:rPr>
        <w:t>大写金额和小写金额不一致的，以大写金额为准；</w:t>
      </w:r>
    </w:p>
    <w:p>
      <w:pPr>
        <w:numPr>
          <w:ilvl w:val="0"/>
          <w:numId w:val="6"/>
        </w:numPr>
        <w:spacing w:line="360" w:lineRule="auto"/>
        <w:rPr>
          <w:sz w:val="24"/>
          <w:szCs w:val="24"/>
          <w:highlight w:val="none"/>
        </w:rPr>
      </w:pPr>
      <w:r>
        <w:rPr>
          <w:rFonts w:hint="eastAsia"/>
          <w:sz w:val="24"/>
          <w:szCs w:val="24"/>
          <w:highlight w:val="none"/>
        </w:rPr>
        <w:t>单价金额小数点或者百分比有明显错位的，以开标一览表的总价为准，并修改单价；</w:t>
      </w:r>
    </w:p>
    <w:p>
      <w:pPr>
        <w:numPr>
          <w:ilvl w:val="0"/>
          <w:numId w:val="6"/>
        </w:numPr>
        <w:spacing w:line="360" w:lineRule="auto"/>
        <w:rPr>
          <w:sz w:val="24"/>
          <w:szCs w:val="24"/>
          <w:highlight w:val="none"/>
        </w:rPr>
      </w:pPr>
      <w:r>
        <w:rPr>
          <w:rFonts w:hint="eastAsia"/>
          <w:sz w:val="24"/>
          <w:szCs w:val="24"/>
          <w:highlight w:val="none"/>
        </w:rPr>
        <w:t>总价金额与按单价汇总金额不一致的，以单价金额计算结果为准。</w:t>
      </w:r>
    </w:p>
    <w:p>
      <w:pPr>
        <w:spacing w:line="360" w:lineRule="auto"/>
        <w:ind w:firstLine="484" w:firstLineChars="202"/>
        <w:rPr>
          <w:rFonts w:asciiTheme="minorEastAsia" w:hAnsiTheme="minorEastAsia"/>
          <w:sz w:val="24"/>
          <w:szCs w:val="28"/>
          <w:highlight w:val="none"/>
        </w:rPr>
      </w:pPr>
      <w:r>
        <w:rPr>
          <w:rFonts w:hint="eastAsia" w:asciiTheme="minorEastAsia" w:hAnsiTheme="minorEastAsia"/>
          <w:sz w:val="24"/>
          <w:szCs w:val="28"/>
          <w:highlight w:val="none"/>
        </w:rPr>
        <w:t>3.3.3.2投标文件的澄清</w:t>
      </w:r>
    </w:p>
    <w:p>
      <w:pPr>
        <w:numPr>
          <w:ilvl w:val="0"/>
          <w:numId w:val="7"/>
        </w:numPr>
        <w:spacing w:line="360" w:lineRule="auto"/>
        <w:rPr>
          <w:rFonts w:asciiTheme="minorEastAsia" w:hAnsiTheme="minorEastAsia"/>
          <w:sz w:val="24"/>
          <w:szCs w:val="28"/>
          <w:highlight w:val="none"/>
        </w:rPr>
      </w:pPr>
      <w:r>
        <w:rPr>
          <w:rFonts w:hint="eastAsia" w:asciiTheme="minorEastAsia" w:hAnsiTheme="minorEastAsia"/>
          <w:sz w:val="24"/>
          <w:szCs w:val="28"/>
          <w:highlight w:val="none"/>
        </w:rPr>
        <w:t>对于投标文件中含义不明确、同类问题表述不一致或者有明显文字和计算错误的内容，评标委员会应当以书面形式要求投标人作出必要的澄清、说明或者补正。</w:t>
      </w:r>
    </w:p>
    <w:p>
      <w:pPr>
        <w:numPr>
          <w:ilvl w:val="0"/>
          <w:numId w:val="7"/>
        </w:numPr>
        <w:spacing w:line="360" w:lineRule="auto"/>
        <w:rPr>
          <w:rFonts w:asciiTheme="minorEastAsia" w:hAnsiTheme="minorEastAsia"/>
          <w:sz w:val="24"/>
          <w:szCs w:val="28"/>
          <w:highlight w:val="none"/>
        </w:rPr>
      </w:pPr>
      <w:r>
        <w:rPr>
          <w:rFonts w:hint="eastAsia" w:asciiTheme="minorEastAsia" w:hAnsiTheme="minorEastAsia"/>
          <w:sz w:val="24"/>
          <w:szCs w:val="28"/>
          <w:highlight w:val="none"/>
        </w:rPr>
        <w:t>投标人的澄清、说明或者补正应当采用书面形式，并加盖公章，或者由法定代表人或其授权的代表签字。投标人的澄清、说明或者补正不得超出投标文件的范围或者改变投标文件的实质性内容。</w:t>
      </w:r>
    </w:p>
    <w:p>
      <w:pPr>
        <w:numPr>
          <w:ilvl w:val="0"/>
          <w:numId w:val="7"/>
        </w:numPr>
        <w:spacing w:line="360" w:lineRule="auto"/>
        <w:rPr>
          <w:rFonts w:asciiTheme="minorEastAsia" w:hAnsiTheme="minorEastAsia"/>
          <w:sz w:val="24"/>
          <w:szCs w:val="28"/>
          <w:highlight w:val="none"/>
        </w:rPr>
      </w:pPr>
      <w:r>
        <w:rPr>
          <w:rFonts w:hint="eastAsia" w:asciiTheme="minorEastAsia" w:hAnsiTheme="minorEastAsia"/>
          <w:sz w:val="24"/>
          <w:szCs w:val="28"/>
          <w:highlight w:val="none"/>
        </w:rPr>
        <w:t>评标委员会对投标人提交的澄清、说明或补正有疑问的，可以要求投标人进一步澄清、说明或补正，直至满足评标委员会的要求。</w:t>
      </w:r>
    </w:p>
    <w:p>
      <w:pPr>
        <w:tabs>
          <w:tab w:val="left" w:pos="720"/>
        </w:tabs>
        <w:spacing w:line="440" w:lineRule="exact"/>
        <w:ind w:firstLine="480" w:firstLineChars="200"/>
        <w:rPr>
          <w:rFonts w:hint="eastAsia" w:ascii="Times New Roman" w:hAnsi="Times New Roman" w:eastAsia="宋体"/>
          <w:sz w:val="24"/>
          <w:highlight w:val="none"/>
        </w:rPr>
      </w:pPr>
      <w:r>
        <w:rPr>
          <w:rFonts w:hint="eastAsia" w:asciiTheme="minorEastAsia" w:hAnsiTheme="minorEastAsia"/>
          <w:sz w:val="24"/>
          <w:szCs w:val="28"/>
          <w:highlight w:val="none"/>
        </w:rPr>
        <w:t>3.3.3.3</w:t>
      </w:r>
      <w:r>
        <w:rPr>
          <w:rFonts w:hint="eastAsia" w:ascii="Times New Roman" w:hAnsi="Times New Roman" w:eastAsia="宋体"/>
          <w:sz w:val="24"/>
          <w:highlight w:val="none"/>
        </w:rPr>
        <w:t>为贯彻落实《财政部 工业和信息化部关于印发《政府采购促进中小企业发展管理办法》的通知》（财库〔2020〕46号）和《关于进一步加大政府采购支持中小企业力度的通知》（财库〔2022〕19号），本项目鼓励中小企业参与，供应商若是中小企业，应提交《中小企业声明函》原件。若不能提供，则视为非中小微型企业，价格不予扣除；（声明函格式详见附件）。</w:t>
      </w:r>
    </w:p>
    <w:p>
      <w:pPr>
        <w:tabs>
          <w:tab w:val="left" w:pos="720"/>
        </w:tabs>
        <w:spacing w:line="440" w:lineRule="exact"/>
        <w:ind w:firstLine="480" w:firstLineChars="200"/>
        <w:rPr>
          <w:rFonts w:ascii="Times New Roman" w:hAnsi="Times New Roman" w:eastAsia="宋体"/>
          <w:sz w:val="24"/>
          <w:highlight w:val="none"/>
        </w:rPr>
      </w:pPr>
      <w:r>
        <w:rPr>
          <w:rFonts w:hint="eastAsia" w:ascii="Times New Roman" w:hAnsi="Times New Roman" w:eastAsia="宋体"/>
          <w:sz w:val="24"/>
          <w:highlight w:val="none"/>
        </w:rPr>
        <w:t>根据《财政部 司法部关于政府采购支持监狱企业发展有关问题的通知》 （财库〔20</w:t>
      </w:r>
      <w:r>
        <w:rPr>
          <w:rFonts w:ascii="Times New Roman" w:hAnsi="Times New Roman" w:eastAsia="宋体"/>
          <w:sz w:val="24"/>
          <w:highlight w:val="none"/>
        </w:rPr>
        <w:t>14</w:t>
      </w:r>
      <w:r>
        <w:rPr>
          <w:rFonts w:hint="eastAsia" w:ascii="Times New Roman" w:hAnsi="Times New Roman" w:eastAsia="宋体"/>
          <w:sz w:val="24"/>
          <w:highlight w:val="none"/>
        </w:rPr>
        <w:t>〕68号）规定，本项目支持监狱企业参与政府采购活动。监狱企业参加本项目投标时，须提供由省级以上监狱管理局、戒毒管理局（含新疆生产建设兵团）出具的属于监狱企业的证明文件，视同小型、微型企业。</w:t>
      </w:r>
    </w:p>
    <w:p>
      <w:pPr>
        <w:tabs>
          <w:tab w:val="left" w:pos="720"/>
        </w:tabs>
        <w:spacing w:line="440" w:lineRule="exact"/>
        <w:ind w:firstLine="480" w:firstLineChars="200"/>
        <w:rPr>
          <w:rFonts w:asciiTheme="minorEastAsia" w:hAnsiTheme="minorEastAsia"/>
          <w:sz w:val="24"/>
          <w:szCs w:val="28"/>
          <w:highlight w:val="none"/>
        </w:rPr>
      </w:pPr>
      <w:r>
        <w:rPr>
          <w:rFonts w:hint="eastAsia" w:ascii="Times New Roman" w:hAnsi="Times New Roman" w:eastAsia="宋体"/>
          <w:sz w:val="24"/>
          <w:highlight w:val="none"/>
        </w:rPr>
        <w:t>根据《财政部 民政部 中国残疾人联合会关于关于促进残疾人就业政府采购政策的通知》（财库〔2017〕141号）规定，本项目支持残疾人福利性单位参与政府采购活动。在政府采购活动中，残疾人福利性单位视同小型、微型企业。</w:t>
      </w:r>
    </w:p>
    <w:p>
      <w:pPr>
        <w:spacing w:line="360" w:lineRule="auto"/>
        <w:ind w:firstLine="484" w:firstLineChars="202"/>
        <w:rPr>
          <w:rFonts w:asciiTheme="minorEastAsia" w:hAnsiTheme="minorEastAsia"/>
          <w:sz w:val="24"/>
          <w:szCs w:val="28"/>
          <w:highlight w:val="none"/>
        </w:rPr>
      </w:pPr>
      <w:r>
        <w:rPr>
          <w:rFonts w:hint="eastAsia" w:asciiTheme="minorEastAsia" w:hAnsiTheme="minorEastAsia"/>
          <w:sz w:val="24"/>
          <w:szCs w:val="28"/>
          <w:highlight w:val="none"/>
        </w:rPr>
        <w:t>3.3.3.4评标委员会成员对需要共同认定的事项存在争议的，应当按照少数服从多数的原则作出结论。持不同意见的评标委员会成员应当在评标报告上签署不同意见及理由，否则视为同意评标报告。</w:t>
      </w:r>
    </w:p>
    <w:p>
      <w:pPr>
        <w:spacing w:line="360" w:lineRule="auto"/>
        <w:ind w:firstLine="480" w:firstLineChars="200"/>
        <w:rPr>
          <w:rFonts w:asciiTheme="minorEastAsia" w:hAnsiTheme="minorEastAsia"/>
          <w:sz w:val="24"/>
          <w:szCs w:val="28"/>
          <w:highlight w:val="none"/>
        </w:rPr>
      </w:pPr>
      <w:r>
        <w:rPr>
          <w:rFonts w:hint="eastAsia" w:asciiTheme="minorEastAsia" w:hAnsiTheme="minorEastAsia"/>
          <w:sz w:val="24"/>
          <w:szCs w:val="28"/>
          <w:highlight w:val="none"/>
        </w:rPr>
        <w:t>3.3.3.5评标结果汇总完成后，除下列情形外，任何人不得修改评标结果：</w:t>
      </w:r>
    </w:p>
    <w:p>
      <w:pPr>
        <w:numPr>
          <w:ilvl w:val="0"/>
          <w:numId w:val="8"/>
        </w:numPr>
        <w:spacing w:line="360" w:lineRule="auto"/>
        <w:rPr>
          <w:rFonts w:asciiTheme="minorEastAsia" w:hAnsiTheme="minorEastAsia"/>
          <w:sz w:val="24"/>
          <w:szCs w:val="28"/>
          <w:highlight w:val="none"/>
        </w:rPr>
      </w:pPr>
      <w:r>
        <w:rPr>
          <w:rFonts w:hint="eastAsia" w:asciiTheme="minorEastAsia" w:hAnsiTheme="minorEastAsia"/>
          <w:sz w:val="24"/>
          <w:szCs w:val="28"/>
          <w:highlight w:val="none"/>
        </w:rPr>
        <w:t>分值汇总计算错误的；</w:t>
      </w:r>
    </w:p>
    <w:p>
      <w:pPr>
        <w:numPr>
          <w:ilvl w:val="0"/>
          <w:numId w:val="8"/>
        </w:numPr>
        <w:spacing w:line="360" w:lineRule="auto"/>
        <w:rPr>
          <w:rFonts w:asciiTheme="minorEastAsia" w:hAnsiTheme="minorEastAsia"/>
          <w:sz w:val="24"/>
          <w:szCs w:val="28"/>
          <w:highlight w:val="none"/>
        </w:rPr>
      </w:pPr>
      <w:r>
        <w:rPr>
          <w:rFonts w:hint="eastAsia" w:asciiTheme="minorEastAsia" w:hAnsiTheme="minorEastAsia"/>
          <w:sz w:val="24"/>
          <w:szCs w:val="28"/>
          <w:highlight w:val="none"/>
        </w:rPr>
        <w:t>分项评分超出评分标准范围的；</w:t>
      </w:r>
    </w:p>
    <w:p>
      <w:pPr>
        <w:numPr>
          <w:ilvl w:val="0"/>
          <w:numId w:val="8"/>
        </w:numPr>
        <w:spacing w:line="360" w:lineRule="auto"/>
        <w:rPr>
          <w:rFonts w:asciiTheme="minorEastAsia" w:hAnsiTheme="minorEastAsia"/>
          <w:sz w:val="24"/>
          <w:szCs w:val="28"/>
          <w:highlight w:val="none"/>
        </w:rPr>
      </w:pPr>
      <w:r>
        <w:rPr>
          <w:rFonts w:hint="eastAsia" w:asciiTheme="minorEastAsia" w:hAnsiTheme="minorEastAsia"/>
          <w:sz w:val="24"/>
          <w:szCs w:val="28"/>
          <w:highlight w:val="none"/>
        </w:rPr>
        <w:t>评标委员会成员对客观评审因素评分不一致的；</w:t>
      </w:r>
    </w:p>
    <w:p>
      <w:pPr>
        <w:numPr>
          <w:ilvl w:val="0"/>
          <w:numId w:val="8"/>
        </w:numPr>
        <w:spacing w:line="360" w:lineRule="auto"/>
        <w:rPr>
          <w:rFonts w:asciiTheme="minorEastAsia" w:hAnsiTheme="minorEastAsia"/>
          <w:sz w:val="24"/>
          <w:szCs w:val="28"/>
          <w:highlight w:val="none"/>
        </w:rPr>
      </w:pPr>
      <w:r>
        <w:rPr>
          <w:rFonts w:hint="eastAsia" w:asciiTheme="minorEastAsia" w:hAnsiTheme="minorEastAsia"/>
          <w:sz w:val="24"/>
          <w:szCs w:val="28"/>
          <w:highlight w:val="none"/>
        </w:rPr>
        <w:t>经评标委员会认定评分畸高、畸低的。</w:t>
      </w:r>
    </w:p>
    <w:p>
      <w:pPr>
        <w:spacing w:line="360" w:lineRule="auto"/>
        <w:ind w:firstLine="484" w:firstLineChars="202"/>
        <w:rPr>
          <w:rFonts w:asciiTheme="minorEastAsia" w:hAnsiTheme="minorEastAsia"/>
          <w:sz w:val="24"/>
          <w:szCs w:val="28"/>
          <w:highlight w:val="none"/>
        </w:rPr>
      </w:pPr>
      <w:r>
        <w:rPr>
          <w:rFonts w:hint="eastAsia" w:asciiTheme="minorEastAsia" w:hAnsiTheme="minorEastAsia"/>
          <w:sz w:val="24"/>
          <w:szCs w:val="28"/>
          <w:highlight w:val="none"/>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rPr>
          <w:b/>
          <w:bCs/>
          <w:sz w:val="24"/>
          <w:szCs w:val="24"/>
          <w:highlight w:val="none"/>
        </w:rPr>
      </w:pPr>
      <w:r>
        <w:rPr>
          <w:rFonts w:hint="eastAsia"/>
          <w:b/>
          <w:bCs/>
          <w:sz w:val="24"/>
          <w:szCs w:val="24"/>
          <w:highlight w:val="none"/>
        </w:rPr>
        <w:br w:type="page"/>
      </w:r>
    </w:p>
    <w:p>
      <w:pPr>
        <w:pStyle w:val="8"/>
        <w:numPr>
          <w:ilvl w:val="0"/>
          <w:numId w:val="1"/>
        </w:numPr>
        <w:spacing w:before="0" w:after="0"/>
        <w:jc w:val="center"/>
        <w:rPr>
          <w:rFonts w:hint="eastAsia" w:asciiTheme="minorEastAsia" w:hAnsiTheme="minorEastAsia"/>
          <w:sz w:val="32"/>
          <w:highlight w:val="none"/>
          <w:lang w:eastAsia="zh-CN"/>
        </w:rPr>
      </w:pPr>
      <w:bookmarkStart w:id="41" w:name="_Toc23605"/>
      <w:bookmarkStart w:id="42" w:name="_Toc43111186"/>
      <w:r>
        <w:rPr>
          <w:rFonts w:hint="eastAsia" w:asciiTheme="minorEastAsia" w:hAnsiTheme="minorEastAsia"/>
          <w:sz w:val="32"/>
          <w:highlight w:val="none"/>
          <w:lang w:eastAsia="zh-CN"/>
        </w:rPr>
        <w:t>合同格式</w:t>
      </w:r>
      <w:bookmarkEnd w:id="41"/>
      <w:bookmarkEnd w:id="42"/>
      <w:bookmarkStart w:id="43" w:name="_附件"/>
      <w:bookmarkEnd w:id="43"/>
      <w:bookmarkStart w:id="44" w:name="_Hlk66007671"/>
    </w:p>
    <w:p>
      <w:pPr>
        <w:widowControl/>
        <w:spacing w:line="560" w:lineRule="exact"/>
        <w:ind w:firstLine="480" w:firstLineChars="200"/>
        <w:rPr>
          <w:rFonts w:hint="eastAsia" w:cs="仿宋_GB2312"/>
          <w:sz w:val="24"/>
          <w:szCs w:val="24"/>
          <w:highlight w:val="none"/>
        </w:rPr>
      </w:pPr>
      <w:r>
        <w:rPr>
          <w:rFonts w:hint="eastAsia" w:cs="仿宋_GB2312"/>
          <w:sz w:val="24"/>
          <w:szCs w:val="24"/>
          <w:highlight w:val="none"/>
        </w:rPr>
        <w:t>甲方：</w:t>
      </w:r>
      <w:r>
        <w:rPr>
          <w:rFonts w:hint="eastAsia" w:cs="仿宋_GB2312"/>
          <w:sz w:val="24"/>
          <w:szCs w:val="24"/>
          <w:highlight w:val="none"/>
          <w:u w:val="single"/>
        </w:rPr>
        <w:t xml:space="preserve"> </w:t>
      </w:r>
      <w:r>
        <w:rPr>
          <w:rFonts w:cs="仿宋_GB2312"/>
          <w:sz w:val="24"/>
          <w:szCs w:val="24"/>
          <w:highlight w:val="none"/>
          <w:u w:val="single"/>
        </w:rPr>
        <w:t xml:space="preserve">                     </w:t>
      </w:r>
    </w:p>
    <w:p>
      <w:pPr>
        <w:widowControl/>
        <w:spacing w:line="560" w:lineRule="exact"/>
        <w:ind w:firstLine="480" w:firstLineChars="200"/>
        <w:rPr>
          <w:rFonts w:hint="eastAsia"/>
          <w:highlight w:val="none"/>
        </w:rPr>
      </w:pPr>
      <w:r>
        <w:rPr>
          <w:rFonts w:hint="eastAsia" w:cs="仿宋_GB2312"/>
          <w:sz w:val="24"/>
          <w:szCs w:val="24"/>
          <w:highlight w:val="none"/>
        </w:rPr>
        <w:t>乙方：</w:t>
      </w:r>
      <w:r>
        <w:rPr>
          <w:rFonts w:hint="eastAsia" w:cs="仿宋_GB2312"/>
          <w:sz w:val="24"/>
          <w:szCs w:val="24"/>
          <w:highlight w:val="none"/>
          <w:u w:val="single"/>
        </w:rPr>
        <w:t xml:space="preserve"> </w:t>
      </w:r>
      <w:r>
        <w:rPr>
          <w:rFonts w:cs="仿宋_GB2312"/>
          <w:sz w:val="24"/>
          <w:szCs w:val="24"/>
          <w:highlight w:val="none"/>
          <w:u w:val="single"/>
        </w:rPr>
        <w:t xml:space="preserve">                     </w:t>
      </w:r>
    </w:p>
    <w:p>
      <w:pPr>
        <w:widowControl/>
        <w:spacing w:line="560" w:lineRule="exact"/>
        <w:ind w:firstLine="480" w:firstLineChars="200"/>
        <w:rPr>
          <w:rFonts w:cs="仿宋_GB2312"/>
          <w:sz w:val="24"/>
          <w:highlight w:val="none"/>
        </w:rPr>
      </w:pPr>
      <w:r>
        <w:rPr>
          <w:rFonts w:hint="eastAsia" w:cs="仿宋_GB2312"/>
          <w:sz w:val="24"/>
          <w:highlight w:val="none"/>
        </w:rPr>
        <w:t>甲乙双方根据《中华人民共和国政府采购法》《中华人民共和国民法典》等相关法律法规，并遵循《郑州市文化广电和旅游局2023年中国图书馆年会项目》（项目编号：</w:t>
      </w:r>
      <w:r>
        <w:rPr>
          <w:rFonts w:hint="eastAsia" w:cs="仿宋_GB2312"/>
          <w:sz w:val="24"/>
          <w:highlight w:val="none"/>
          <w:u w:val="single"/>
        </w:rPr>
        <w:t xml:space="preserve">                  </w:t>
      </w:r>
      <w:r>
        <w:rPr>
          <w:rFonts w:hint="eastAsia" w:cs="仿宋_GB2312"/>
          <w:sz w:val="24"/>
          <w:highlight w:val="none"/>
        </w:rPr>
        <w:t>）招标文件中的相关规定，经友好协商，一致同意签署本合同。具体内容如下：</w:t>
      </w:r>
    </w:p>
    <w:p>
      <w:pPr>
        <w:spacing w:line="360" w:lineRule="auto"/>
        <w:rPr>
          <w:rFonts w:hint="eastAsia"/>
          <w:b/>
          <w:bCs/>
          <w:sz w:val="24"/>
          <w:szCs w:val="28"/>
          <w:highlight w:val="none"/>
        </w:rPr>
      </w:pPr>
      <w:r>
        <w:rPr>
          <w:rFonts w:hint="eastAsia"/>
          <w:b/>
          <w:bCs/>
          <w:sz w:val="24"/>
          <w:szCs w:val="28"/>
          <w:highlight w:val="none"/>
        </w:rPr>
        <w:t>一、 项目名称</w:t>
      </w:r>
    </w:p>
    <w:p>
      <w:pPr>
        <w:adjustRightInd w:val="0"/>
        <w:snapToGrid w:val="0"/>
        <w:spacing w:line="560" w:lineRule="exact"/>
        <w:ind w:firstLine="560"/>
        <w:rPr>
          <w:rFonts w:cs="仿宋_GB2312"/>
          <w:sz w:val="24"/>
          <w:highlight w:val="none"/>
        </w:rPr>
      </w:pPr>
      <w:r>
        <w:rPr>
          <w:rFonts w:cs="仿宋_GB2312"/>
          <w:sz w:val="24"/>
          <w:highlight w:val="none"/>
        </w:rPr>
        <w:t>1.</w:t>
      </w:r>
      <w:r>
        <w:rPr>
          <w:rFonts w:hint="eastAsia" w:cs="仿宋_GB2312"/>
          <w:sz w:val="24"/>
          <w:highlight w:val="none"/>
        </w:rPr>
        <w:t>项目名称：郑州市文化广电和旅游局2023年中国图书馆年会项目</w:t>
      </w:r>
    </w:p>
    <w:p>
      <w:pPr>
        <w:adjustRightInd w:val="0"/>
        <w:snapToGrid w:val="0"/>
        <w:spacing w:line="560" w:lineRule="exact"/>
        <w:ind w:firstLine="560"/>
        <w:rPr>
          <w:rFonts w:cs="仿宋_GB2312"/>
          <w:bCs/>
          <w:sz w:val="24"/>
          <w:highlight w:val="none"/>
          <w:lang w:val="zh-CN"/>
        </w:rPr>
      </w:pPr>
      <w:r>
        <w:rPr>
          <w:rFonts w:cs="仿宋_GB2312"/>
          <w:bCs/>
          <w:sz w:val="24"/>
          <w:highlight w:val="none"/>
          <w:lang w:val="zh-CN"/>
        </w:rPr>
        <w:t>2.</w:t>
      </w:r>
      <w:r>
        <w:rPr>
          <w:rFonts w:hint="eastAsia" w:cs="仿宋_GB2312"/>
          <w:bCs/>
          <w:sz w:val="24"/>
          <w:highlight w:val="none"/>
          <w:lang w:val="zh-CN"/>
        </w:rPr>
        <w:t>项目时间：2023年9月1</w:t>
      </w:r>
      <w:r>
        <w:rPr>
          <w:rFonts w:hint="eastAsia" w:cs="仿宋_GB2312"/>
          <w:bCs/>
          <w:sz w:val="24"/>
          <w:highlight w:val="none"/>
        </w:rPr>
        <w:t>4</w:t>
      </w:r>
      <w:r>
        <w:rPr>
          <w:rFonts w:hint="eastAsia" w:cs="仿宋_GB2312"/>
          <w:bCs/>
          <w:sz w:val="24"/>
          <w:highlight w:val="none"/>
          <w:lang w:val="zh-CN"/>
        </w:rPr>
        <w:t>日-9月</w:t>
      </w:r>
      <w:r>
        <w:rPr>
          <w:rFonts w:hint="eastAsia" w:cs="仿宋_GB2312"/>
          <w:bCs/>
          <w:sz w:val="24"/>
          <w:highlight w:val="none"/>
        </w:rPr>
        <w:t>17</w:t>
      </w:r>
      <w:r>
        <w:rPr>
          <w:rFonts w:hint="eastAsia" w:cs="仿宋_GB2312"/>
          <w:bCs/>
          <w:sz w:val="24"/>
          <w:highlight w:val="none"/>
          <w:lang w:val="zh-CN"/>
        </w:rPr>
        <w:t>日</w:t>
      </w:r>
    </w:p>
    <w:p>
      <w:pPr>
        <w:adjustRightInd w:val="0"/>
        <w:snapToGrid w:val="0"/>
        <w:spacing w:line="560" w:lineRule="exact"/>
        <w:ind w:firstLine="560"/>
        <w:rPr>
          <w:rFonts w:cs="仿宋_GB2312"/>
          <w:bCs/>
          <w:sz w:val="24"/>
          <w:highlight w:val="none"/>
        </w:rPr>
      </w:pPr>
      <w:r>
        <w:rPr>
          <w:rFonts w:cs="仿宋_GB2312"/>
          <w:bCs/>
          <w:sz w:val="24"/>
          <w:highlight w:val="none"/>
          <w:lang w:val="zh-CN"/>
        </w:rPr>
        <w:t>3.</w:t>
      </w:r>
      <w:r>
        <w:rPr>
          <w:rFonts w:hint="eastAsia" w:cs="仿宋_GB2312"/>
          <w:bCs/>
          <w:sz w:val="24"/>
          <w:highlight w:val="none"/>
          <w:lang w:val="zh-CN"/>
        </w:rPr>
        <w:t>服务期限：自签订合同起至</w:t>
      </w:r>
      <w:r>
        <w:rPr>
          <w:rFonts w:hint="eastAsia" w:cs="仿宋_GB2312"/>
          <w:sz w:val="24"/>
          <w:highlight w:val="none"/>
        </w:rPr>
        <w:t>郑州市文化广电和旅游局2023年中国图书馆年会</w:t>
      </w:r>
      <w:r>
        <w:rPr>
          <w:rFonts w:hint="eastAsia" w:cs="仿宋_GB2312"/>
          <w:bCs/>
          <w:sz w:val="24"/>
          <w:highlight w:val="none"/>
          <w:lang w:val="zh-CN"/>
        </w:rPr>
        <w:t>活动结束并将所有相关资料等交接完毕，</w:t>
      </w:r>
      <w:r>
        <w:rPr>
          <w:rFonts w:hint="eastAsia" w:cs="仿宋_GB2312"/>
          <w:bCs/>
          <w:sz w:val="24"/>
          <w:highlight w:val="none"/>
        </w:rPr>
        <w:t>且验收通过</w:t>
      </w:r>
      <w:r>
        <w:rPr>
          <w:rFonts w:hint="eastAsia" w:cs="仿宋_GB2312"/>
          <w:bCs/>
          <w:sz w:val="24"/>
          <w:highlight w:val="none"/>
          <w:lang w:val="zh-CN"/>
        </w:rPr>
        <w:t>止。</w:t>
      </w:r>
    </w:p>
    <w:p>
      <w:pPr>
        <w:adjustRightInd w:val="0"/>
        <w:snapToGrid w:val="0"/>
        <w:spacing w:line="560" w:lineRule="exact"/>
        <w:ind w:firstLine="560"/>
        <w:rPr>
          <w:rFonts w:hint="default" w:cs="仿宋_GB2312"/>
          <w:bCs/>
          <w:sz w:val="24"/>
          <w:highlight w:val="none"/>
        </w:rPr>
      </w:pPr>
      <w:r>
        <w:rPr>
          <w:rFonts w:cs="仿宋_GB2312"/>
          <w:bCs/>
          <w:sz w:val="24"/>
          <w:highlight w:val="none"/>
          <w:lang w:val="zh-CN"/>
        </w:rPr>
        <w:t>4.</w:t>
      </w:r>
      <w:r>
        <w:rPr>
          <w:rFonts w:hint="eastAsia" w:cs="仿宋_GB2312"/>
          <w:bCs/>
          <w:sz w:val="24"/>
          <w:highlight w:val="none"/>
          <w:lang w:val="zh-CN"/>
        </w:rPr>
        <w:t>项目地点：</w:t>
      </w:r>
      <w:r>
        <w:rPr>
          <w:rFonts w:hint="eastAsia" w:cs="仿宋_GB2312"/>
          <w:sz w:val="24"/>
          <w:highlight w:val="none"/>
        </w:rPr>
        <w:t>郑州</w:t>
      </w:r>
      <w:r>
        <w:rPr>
          <w:rFonts w:hint="default" w:cs="仿宋_GB2312"/>
          <w:sz w:val="24"/>
          <w:highlight w:val="none"/>
        </w:rPr>
        <w:t>图书馆</w:t>
      </w:r>
    </w:p>
    <w:p>
      <w:pPr>
        <w:spacing w:line="360" w:lineRule="auto"/>
        <w:rPr>
          <w:rFonts w:hint="eastAsia"/>
          <w:b/>
          <w:bCs/>
          <w:sz w:val="24"/>
          <w:szCs w:val="28"/>
          <w:highlight w:val="none"/>
        </w:rPr>
      </w:pPr>
      <w:r>
        <w:rPr>
          <w:rFonts w:hint="eastAsia"/>
          <w:b/>
          <w:bCs/>
          <w:sz w:val="24"/>
          <w:szCs w:val="28"/>
          <w:highlight w:val="none"/>
        </w:rPr>
        <w:t>二、 合同金额及支付方式</w:t>
      </w:r>
    </w:p>
    <w:p>
      <w:pPr>
        <w:pStyle w:val="14"/>
        <w:spacing w:line="360" w:lineRule="auto"/>
        <w:ind w:firstLine="480"/>
        <w:rPr>
          <w:sz w:val="24"/>
          <w:highlight w:val="none"/>
        </w:rPr>
      </w:pPr>
      <w:r>
        <w:rPr>
          <w:sz w:val="24"/>
          <w:highlight w:val="none"/>
        </w:rPr>
        <w:t>1.</w:t>
      </w:r>
      <w:r>
        <w:rPr>
          <w:rFonts w:hint="eastAsia"/>
          <w:sz w:val="24"/>
          <w:highlight w:val="none"/>
        </w:rPr>
        <w:t>合同金额为（大写）：</w:t>
      </w:r>
      <w:r>
        <w:rPr>
          <w:rFonts w:hint="eastAsia"/>
          <w:szCs w:val="21"/>
          <w:highlight w:val="none"/>
          <w:u w:val="single"/>
        </w:rPr>
        <w:t xml:space="preserve">        </w:t>
      </w:r>
      <w:r>
        <w:rPr>
          <w:szCs w:val="21"/>
          <w:highlight w:val="none"/>
          <w:u w:val="single"/>
        </w:rPr>
        <w:t xml:space="preserve">   </w:t>
      </w:r>
      <w:r>
        <w:rPr>
          <w:szCs w:val="21"/>
          <w:highlight w:val="none"/>
        </w:rPr>
        <w:t>元</w:t>
      </w:r>
      <w:r>
        <w:rPr>
          <w:rFonts w:hint="eastAsia"/>
          <w:szCs w:val="21"/>
          <w:highlight w:val="none"/>
        </w:rPr>
        <w:t>（¥</w:t>
      </w:r>
      <w:r>
        <w:rPr>
          <w:szCs w:val="21"/>
          <w:highlight w:val="none"/>
        </w:rPr>
        <w:t xml:space="preserve"> </w:t>
      </w:r>
      <w:r>
        <w:rPr>
          <w:rFonts w:hint="eastAsia"/>
          <w:szCs w:val="21"/>
          <w:highlight w:val="none"/>
          <w:u w:val="single"/>
        </w:rPr>
        <w:t xml:space="preserve">    </w:t>
      </w:r>
      <w:r>
        <w:rPr>
          <w:szCs w:val="21"/>
          <w:highlight w:val="none"/>
          <w:u w:val="single"/>
        </w:rPr>
        <w:t xml:space="preserve">    </w:t>
      </w:r>
      <w:r>
        <w:rPr>
          <w:rFonts w:hint="eastAsia"/>
          <w:szCs w:val="21"/>
          <w:highlight w:val="none"/>
        </w:rPr>
        <w:t>）</w:t>
      </w:r>
      <w:r>
        <w:rPr>
          <w:rFonts w:hint="eastAsia"/>
          <w:sz w:val="24"/>
          <w:highlight w:val="none"/>
        </w:rPr>
        <w:t>。详细内容见服务（产品）分项报价表；合同金额为固定价，包含本合同第三条中全部服务项目的费用（含税费）。自郑州市文化广电和旅游局2023年中国图书馆年会活动正式开始前，乙方应将整体方案提前</w:t>
      </w:r>
      <w:r>
        <w:rPr>
          <w:rFonts w:hint="eastAsia" w:cs="仿宋_GB2312"/>
          <w:bCs/>
          <w:sz w:val="24"/>
          <w:highlight w:val="none"/>
          <w:u w:val="single"/>
        </w:rPr>
        <w:t xml:space="preserve"> </w:t>
      </w:r>
      <w:r>
        <w:rPr>
          <w:rFonts w:cs="仿宋_GB2312"/>
          <w:bCs/>
          <w:sz w:val="24"/>
          <w:highlight w:val="none"/>
          <w:u w:val="single"/>
        </w:rPr>
        <w:t xml:space="preserve">   </w:t>
      </w:r>
      <w:r>
        <w:rPr>
          <w:rFonts w:hint="eastAsia"/>
          <w:sz w:val="24"/>
          <w:highlight w:val="none"/>
        </w:rPr>
        <w:t>天供甲方审定，经甲方审定通过后，乙方进行落地执行，在已执行落地的项目中没有按审定方案执行的，甲方有权提出整改要求并追究乙方的违约责任，乙方应不加任何费用的给予采纳并按时完善执行。</w:t>
      </w:r>
    </w:p>
    <w:p>
      <w:pPr>
        <w:pStyle w:val="14"/>
        <w:spacing w:line="360" w:lineRule="auto"/>
        <w:ind w:firstLine="480"/>
        <w:rPr>
          <w:sz w:val="24"/>
          <w:highlight w:val="none"/>
        </w:rPr>
      </w:pPr>
      <w:r>
        <w:rPr>
          <w:rFonts w:hint="eastAsia"/>
          <w:sz w:val="24"/>
          <w:highlight w:val="none"/>
        </w:rPr>
        <w:t>2</w:t>
      </w:r>
      <w:r>
        <w:rPr>
          <w:sz w:val="24"/>
          <w:highlight w:val="none"/>
        </w:rPr>
        <w:t>.</w:t>
      </w:r>
      <w:r>
        <w:rPr>
          <w:rFonts w:hint="eastAsia"/>
          <w:sz w:val="24"/>
          <w:highlight w:val="none"/>
        </w:rPr>
        <w:t>支付方式：本合同分三期付款，具体方式如下：</w:t>
      </w:r>
    </w:p>
    <w:p>
      <w:pPr>
        <w:pStyle w:val="14"/>
        <w:spacing w:line="360" w:lineRule="auto"/>
        <w:ind w:firstLine="480"/>
        <w:rPr>
          <w:rFonts w:hint="eastAsia"/>
          <w:sz w:val="24"/>
          <w:highlight w:val="none"/>
        </w:rPr>
      </w:pPr>
      <w:r>
        <w:rPr>
          <w:rFonts w:hint="eastAsia"/>
          <w:sz w:val="24"/>
          <w:highlight w:val="none"/>
        </w:rPr>
        <w:t>1）第1次付款：合同签订并审定方案后，甲方向乙方支付合同总额的</w:t>
      </w:r>
      <w:r>
        <w:rPr>
          <w:rFonts w:hint="default"/>
          <w:sz w:val="24"/>
          <w:highlight w:val="none"/>
        </w:rPr>
        <w:t>50</w:t>
      </w:r>
      <w:r>
        <w:rPr>
          <w:rFonts w:hint="eastAsia"/>
          <w:sz w:val="24"/>
          <w:highlight w:val="none"/>
        </w:rPr>
        <w:t>%，即人民币（大写）</w:t>
      </w:r>
      <w:r>
        <w:rPr>
          <w:rFonts w:hint="eastAsia"/>
          <w:sz w:val="24"/>
          <w:highlight w:val="none"/>
          <w:u w:val="single"/>
        </w:rPr>
        <w:t xml:space="preserve">        </w:t>
      </w:r>
      <w:r>
        <w:rPr>
          <w:rFonts w:hint="eastAsia"/>
          <w:sz w:val="24"/>
          <w:highlight w:val="none"/>
        </w:rPr>
        <w:t xml:space="preserve">元（¥ </w:t>
      </w:r>
      <w:r>
        <w:rPr>
          <w:rFonts w:hint="eastAsia"/>
          <w:sz w:val="24"/>
          <w:highlight w:val="none"/>
          <w:u w:val="single"/>
        </w:rPr>
        <w:t xml:space="preserve">          </w:t>
      </w:r>
      <w:r>
        <w:rPr>
          <w:rFonts w:hint="eastAsia"/>
          <w:sz w:val="24"/>
          <w:highlight w:val="none"/>
        </w:rPr>
        <w:t>）。</w:t>
      </w:r>
    </w:p>
    <w:p>
      <w:pPr>
        <w:pStyle w:val="14"/>
        <w:spacing w:line="360" w:lineRule="auto"/>
        <w:ind w:firstLine="480"/>
        <w:rPr>
          <w:rFonts w:hint="eastAsia"/>
          <w:sz w:val="24"/>
          <w:highlight w:val="none"/>
        </w:rPr>
      </w:pPr>
      <w:r>
        <w:rPr>
          <w:rFonts w:hint="eastAsia"/>
          <w:sz w:val="24"/>
          <w:highlight w:val="none"/>
        </w:rPr>
        <w:t>2）第2次付款：合同</w:t>
      </w:r>
      <w:r>
        <w:rPr>
          <w:sz w:val="24"/>
          <w:highlight w:val="none"/>
        </w:rPr>
        <w:t>主要服务项目</w:t>
      </w:r>
      <w:r>
        <w:rPr>
          <w:rFonts w:hint="eastAsia"/>
          <w:sz w:val="24"/>
          <w:highlight w:val="none"/>
        </w:rPr>
        <w:t>完成后，甲方向乙方支付合同总额的</w:t>
      </w:r>
      <w:r>
        <w:rPr>
          <w:rFonts w:hint="default"/>
          <w:sz w:val="24"/>
          <w:highlight w:val="none"/>
        </w:rPr>
        <w:t>25</w:t>
      </w:r>
      <w:r>
        <w:rPr>
          <w:rFonts w:hint="eastAsia"/>
          <w:sz w:val="24"/>
          <w:highlight w:val="none"/>
        </w:rPr>
        <w:t>%，即人民币（大写）</w:t>
      </w:r>
      <w:r>
        <w:rPr>
          <w:rFonts w:hint="eastAsia"/>
          <w:sz w:val="24"/>
          <w:highlight w:val="none"/>
          <w:u w:val="single"/>
        </w:rPr>
        <w:t xml:space="preserve">        </w:t>
      </w:r>
      <w:r>
        <w:rPr>
          <w:rFonts w:hint="eastAsia"/>
          <w:sz w:val="24"/>
          <w:highlight w:val="none"/>
        </w:rPr>
        <w:t xml:space="preserve">元（¥ </w:t>
      </w:r>
      <w:r>
        <w:rPr>
          <w:rFonts w:hint="eastAsia"/>
          <w:sz w:val="24"/>
          <w:highlight w:val="none"/>
          <w:u w:val="single"/>
        </w:rPr>
        <w:t xml:space="preserve">          </w:t>
      </w:r>
      <w:r>
        <w:rPr>
          <w:rFonts w:hint="eastAsia"/>
          <w:sz w:val="24"/>
          <w:highlight w:val="none"/>
        </w:rPr>
        <w:t>）。</w:t>
      </w:r>
    </w:p>
    <w:p>
      <w:pPr>
        <w:pStyle w:val="14"/>
        <w:spacing w:line="360" w:lineRule="auto"/>
        <w:ind w:firstLine="480"/>
        <w:rPr>
          <w:sz w:val="24"/>
          <w:highlight w:val="none"/>
        </w:rPr>
      </w:pPr>
      <w:r>
        <w:rPr>
          <w:rFonts w:hint="eastAsia"/>
          <w:sz w:val="24"/>
          <w:highlight w:val="none"/>
        </w:rPr>
        <w:t>3）第3次付款：活动全面结束，乙方清场且经甲方验收合格后，甲方向乙方支付剩余合同总额2</w:t>
      </w:r>
      <w:r>
        <w:rPr>
          <w:rFonts w:hint="default"/>
          <w:sz w:val="24"/>
          <w:highlight w:val="none"/>
        </w:rPr>
        <w:t>5</w:t>
      </w:r>
      <w:r>
        <w:rPr>
          <w:rFonts w:hint="eastAsia"/>
          <w:sz w:val="24"/>
          <w:highlight w:val="none"/>
        </w:rPr>
        <w:t xml:space="preserve">%的款项，即人民币（大写） </w:t>
      </w:r>
      <w:r>
        <w:rPr>
          <w:rFonts w:hint="eastAsia"/>
          <w:sz w:val="24"/>
          <w:highlight w:val="none"/>
          <w:u w:val="single"/>
        </w:rPr>
        <w:t xml:space="preserve">       </w:t>
      </w:r>
      <w:r>
        <w:rPr>
          <w:rFonts w:hint="eastAsia"/>
          <w:sz w:val="24"/>
          <w:highlight w:val="none"/>
        </w:rPr>
        <w:t>元（¥</w:t>
      </w:r>
      <w:r>
        <w:rPr>
          <w:rFonts w:hint="eastAsia"/>
          <w:sz w:val="24"/>
          <w:highlight w:val="none"/>
          <w:u w:val="single"/>
        </w:rPr>
        <w:t xml:space="preserve">           </w:t>
      </w:r>
      <w:r>
        <w:rPr>
          <w:rFonts w:hint="eastAsia"/>
          <w:sz w:val="24"/>
          <w:highlight w:val="none"/>
        </w:rPr>
        <w:t xml:space="preserve">）。  </w:t>
      </w:r>
    </w:p>
    <w:p>
      <w:pPr>
        <w:adjustRightInd w:val="0"/>
        <w:snapToGrid w:val="0"/>
        <w:spacing w:line="560" w:lineRule="exact"/>
        <w:ind w:firstLine="560"/>
        <w:rPr>
          <w:rFonts w:hint="eastAsia" w:cs="仿宋_GB2312"/>
          <w:sz w:val="24"/>
          <w:highlight w:val="none"/>
          <w:lang w:val="zh-CN"/>
        </w:rPr>
      </w:pPr>
      <w:r>
        <w:rPr>
          <w:rFonts w:hint="eastAsia" w:cs="仿宋_GB2312"/>
          <w:sz w:val="24"/>
          <w:highlight w:val="none"/>
          <w:lang w:val="zh-CN"/>
        </w:rPr>
        <w:t>甲方每次付款给乙方前，乙方将向甲方开具等额正规发票，且该发票均应在约定付款的最后期限前</w:t>
      </w:r>
      <w:r>
        <w:rPr>
          <w:rFonts w:hint="eastAsia" w:cs="仿宋_GB2312"/>
          <w:bCs/>
          <w:sz w:val="24"/>
          <w:highlight w:val="none"/>
        </w:rPr>
        <w:t>5</w:t>
      </w:r>
      <w:r>
        <w:rPr>
          <w:rFonts w:hint="eastAsia" w:cs="仿宋_GB2312"/>
          <w:sz w:val="24"/>
          <w:highlight w:val="none"/>
          <w:lang w:val="zh-CN"/>
        </w:rPr>
        <w:t>日提交给甲方。</w:t>
      </w:r>
    </w:p>
    <w:p>
      <w:pPr>
        <w:adjustRightInd w:val="0"/>
        <w:snapToGrid w:val="0"/>
        <w:spacing w:line="560" w:lineRule="exact"/>
        <w:ind w:firstLine="560"/>
        <w:rPr>
          <w:rFonts w:hint="eastAsia" w:cs="仿宋_GB2312"/>
          <w:sz w:val="24"/>
          <w:highlight w:val="none"/>
          <w:lang w:val="zh-CN"/>
        </w:rPr>
      </w:pPr>
      <w:r>
        <w:rPr>
          <w:rFonts w:hint="eastAsia" w:cs="仿宋_GB2312"/>
          <w:sz w:val="24"/>
          <w:highlight w:val="none"/>
          <w:lang w:val="zh-CN"/>
        </w:rPr>
        <w:t>以上所约定费用由甲方以转账的方式支付给乙方在本合同中的指定账户。乙方应在约定的付款条件成就后，向甲方提供政府财务报账所需要的等额正规发票、凭证等手续和资料。甲方收到乙方提供的付款申请、发票，并确认本合同约定的付款条件成就且收到财政</w:t>
      </w:r>
      <w:r>
        <w:rPr>
          <w:rFonts w:cs="仿宋_GB2312"/>
          <w:sz w:val="24"/>
          <w:highlight w:val="none"/>
        </w:rPr>
        <w:t>部门</w:t>
      </w:r>
      <w:r>
        <w:rPr>
          <w:rFonts w:hint="eastAsia" w:cs="仿宋_GB2312"/>
          <w:sz w:val="24"/>
          <w:highlight w:val="none"/>
          <w:lang w:val="zh-CN"/>
        </w:rPr>
        <w:t>拨付的经费、完成付款审批流程后支付每期款项，否则甲方有权顺延付款且无需承担违约责任。</w:t>
      </w:r>
    </w:p>
    <w:p>
      <w:pPr>
        <w:adjustRightInd w:val="0"/>
        <w:snapToGrid w:val="0"/>
        <w:spacing w:line="560" w:lineRule="exact"/>
        <w:ind w:firstLine="560"/>
        <w:rPr>
          <w:rFonts w:hint="eastAsia" w:cs="仿宋_GB2312"/>
          <w:sz w:val="24"/>
          <w:highlight w:val="none"/>
          <w:lang w:val="zh-CN"/>
        </w:rPr>
      </w:pPr>
      <w:r>
        <w:rPr>
          <w:rFonts w:hint="eastAsia" w:cs="仿宋_GB2312"/>
          <w:sz w:val="24"/>
          <w:highlight w:val="none"/>
          <w:lang w:val="zh-CN"/>
        </w:rPr>
        <w:t>甲方的开票信息为：</w:t>
      </w:r>
    </w:p>
    <w:p>
      <w:pPr>
        <w:adjustRightInd w:val="0"/>
        <w:snapToGrid w:val="0"/>
        <w:spacing w:line="560" w:lineRule="exact"/>
        <w:ind w:firstLine="560"/>
        <w:rPr>
          <w:rFonts w:hint="eastAsia" w:cs="仿宋_GB2312"/>
          <w:sz w:val="24"/>
          <w:highlight w:val="none"/>
          <w:lang w:val="zh-CN"/>
        </w:rPr>
      </w:pPr>
      <w:r>
        <w:rPr>
          <w:rFonts w:hint="eastAsia" w:cs="仿宋_GB2312"/>
          <w:sz w:val="24"/>
          <w:highlight w:val="none"/>
          <w:lang w:val="zh-CN"/>
        </w:rPr>
        <w:t>名称：郑州市文化广电和旅游局</w:t>
      </w:r>
    </w:p>
    <w:p>
      <w:pPr>
        <w:adjustRightInd w:val="0"/>
        <w:snapToGrid w:val="0"/>
        <w:spacing w:line="560" w:lineRule="exact"/>
        <w:ind w:firstLine="560"/>
        <w:rPr>
          <w:rFonts w:hint="eastAsia" w:cs="仿宋_GB2312"/>
          <w:sz w:val="24"/>
          <w:highlight w:val="none"/>
          <w:lang w:val="zh-CN"/>
        </w:rPr>
      </w:pPr>
      <w:r>
        <w:rPr>
          <w:rFonts w:hint="eastAsia" w:cs="仿宋_GB2312"/>
          <w:sz w:val="24"/>
          <w:highlight w:val="none"/>
          <w:lang w:val="zh-CN"/>
        </w:rPr>
        <w:t>纳税人识别号：11410100MB1677697L</w:t>
      </w:r>
    </w:p>
    <w:p>
      <w:pPr>
        <w:adjustRightInd w:val="0"/>
        <w:snapToGrid w:val="0"/>
        <w:spacing w:line="560" w:lineRule="exact"/>
        <w:ind w:firstLine="560"/>
        <w:rPr>
          <w:rFonts w:hint="default" w:cs="仿宋_GB2312"/>
          <w:sz w:val="24"/>
          <w:highlight w:val="none"/>
        </w:rPr>
      </w:pPr>
      <w:r>
        <w:rPr>
          <w:rFonts w:hint="eastAsia" w:cs="仿宋_GB2312"/>
          <w:sz w:val="24"/>
          <w:highlight w:val="none"/>
          <w:lang w:val="zh-CN"/>
        </w:rPr>
        <w:t>地址、电话：郑州市郑东新区商务内环路17号  0371-690958</w:t>
      </w:r>
      <w:r>
        <w:rPr>
          <w:rFonts w:hint="default" w:cs="仿宋_GB2312"/>
          <w:sz w:val="24"/>
          <w:highlight w:val="none"/>
        </w:rPr>
        <w:t>23</w:t>
      </w:r>
    </w:p>
    <w:p>
      <w:pPr>
        <w:adjustRightInd w:val="0"/>
        <w:snapToGrid w:val="0"/>
        <w:spacing w:line="560" w:lineRule="exact"/>
        <w:ind w:firstLine="560"/>
        <w:rPr>
          <w:rFonts w:hint="eastAsia" w:cs="仿宋_GB2312"/>
          <w:sz w:val="24"/>
          <w:highlight w:val="none"/>
          <w:lang w:val="zh-CN"/>
        </w:rPr>
      </w:pPr>
      <w:r>
        <w:rPr>
          <w:rFonts w:hint="eastAsia" w:cs="仿宋_GB2312"/>
          <w:sz w:val="24"/>
          <w:highlight w:val="none"/>
          <w:lang w:val="zh-CN"/>
        </w:rPr>
        <w:t>乙方指定的收款账户为：</w:t>
      </w:r>
    </w:p>
    <w:p>
      <w:pPr>
        <w:adjustRightInd w:val="0"/>
        <w:snapToGrid w:val="0"/>
        <w:spacing w:line="560" w:lineRule="exact"/>
        <w:ind w:firstLine="560"/>
        <w:rPr>
          <w:rFonts w:hint="eastAsia" w:cs="仿宋_GB2312"/>
          <w:sz w:val="24"/>
          <w:highlight w:val="none"/>
          <w:lang w:val="zh-CN"/>
        </w:rPr>
      </w:pPr>
      <w:r>
        <w:rPr>
          <w:rFonts w:hint="eastAsia" w:cs="仿宋_GB2312"/>
          <w:sz w:val="24"/>
          <w:highlight w:val="none"/>
          <w:lang w:val="zh-CN"/>
        </w:rPr>
        <w:t>账户名：</w:t>
      </w:r>
    </w:p>
    <w:p>
      <w:pPr>
        <w:adjustRightInd w:val="0"/>
        <w:snapToGrid w:val="0"/>
        <w:spacing w:line="560" w:lineRule="exact"/>
        <w:ind w:firstLine="560"/>
        <w:rPr>
          <w:rFonts w:hint="eastAsia" w:cs="仿宋_GB2312"/>
          <w:sz w:val="24"/>
          <w:highlight w:val="none"/>
          <w:lang w:val="zh-CN"/>
        </w:rPr>
      </w:pPr>
      <w:r>
        <w:rPr>
          <w:rFonts w:hint="eastAsia" w:cs="仿宋_GB2312"/>
          <w:sz w:val="24"/>
          <w:highlight w:val="none"/>
          <w:lang w:val="zh-CN"/>
        </w:rPr>
        <w:t>账号：</w:t>
      </w:r>
    </w:p>
    <w:p>
      <w:pPr>
        <w:adjustRightInd w:val="0"/>
        <w:snapToGrid w:val="0"/>
        <w:spacing w:line="560" w:lineRule="exact"/>
        <w:ind w:firstLine="560"/>
        <w:rPr>
          <w:rFonts w:hint="eastAsia" w:cs="仿宋_GB2312"/>
          <w:sz w:val="24"/>
          <w:highlight w:val="none"/>
          <w:lang w:val="zh-CN"/>
        </w:rPr>
      </w:pPr>
      <w:r>
        <w:rPr>
          <w:rFonts w:hint="eastAsia" w:cs="仿宋_GB2312"/>
          <w:sz w:val="24"/>
          <w:highlight w:val="none"/>
          <w:lang w:val="zh-CN"/>
        </w:rPr>
        <w:t>开户行：</w:t>
      </w:r>
    </w:p>
    <w:p>
      <w:pPr>
        <w:adjustRightInd w:val="0"/>
        <w:snapToGrid w:val="0"/>
        <w:spacing w:line="560" w:lineRule="exact"/>
        <w:ind w:firstLine="560"/>
        <w:rPr>
          <w:rFonts w:hint="eastAsia" w:cs="仿宋_GB2312"/>
          <w:sz w:val="24"/>
          <w:highlight w:val="none"/>
          <w:lang w:val="zh-CN"/>
        </w:rPr>
      </w:pPr>
      <w:r>
        <w:rPr>
          <w:rFonts w:hint="eastAsia" w:cs="仿宋_GB2312"/>
          <w:sz w:val="24"/>
          <w:highlight w:val="none"/>
          <w:lang w:val="zh-CN"/>
        </w:rPr>
        <w:t xml:space="preserve">付款金额及付款方式、银行账号等如有任何改动，乙方必须在改动之日起三个工作日内书面通知甲方，经双方确认，方可作实，因乙方未及时通知导致逾期付款的，甲方不承担责任。 </w:t>
      </w:r>
    </w:p>
    <w:p>
      <w:pPr>
        <w:spacing w:line="360" w:lineRule="auto"/>
        <w:rPr>
          <w:rFonts w:hint="eastAsia"/>
          <w:b/>
          <w:bCs/>
          <w:sz w:val="24"/>
          <w:szCs w:val="28"/>
          <w:highlight w:val="none"/>
        </w:rPr>
      </w:pPr>
      <w:r>
        <w:rPr>
          <w:rFonts w:hint="eastAsia"/>
          <w:b/>
          <w:bCs/>
          <w:sz w:val="24"/>
          <w:szCs w:val="28"/>
          <w:highlight w:val="none"/>
        </w:rPr>
        <w:t>三、服务范围</w:t>
      </w:r>
    </w:p>
    <w:p>
      <w:pPr>
        <w:spacing w:line="360" w:lineRule="auto"/>
        <w:ind w:firstLine="480" w:firstLineChars="200"/>
        <w:rPr>
          <w:rFonts w:cs="宋体"/>
          <w:kern w:val="0"/>
          <w:sz w:val="24"/>
          <w:highlight w:val="none"/>
          <w:lang w:val="zh-CN"/>
        </w:rPr>
      </w:pPr>
      <w:r>
        <w:rPr>
          <w:rFonts w:cs="宋体"/>
          <w:kern w:val="0"/>
          <w:sz w:val="24"/>
          <w:highlight w:val="none"/>
          <w:lang w:val="zh-CN"/>
        </w:rPr>
        <w:t>1.</w:t>
      </w:r>
      <w:r>
        <w:rPr>
          <w:rFonts w:hint="eastAsia" w:cs="宋体"/>
          <w:kern w:val="0"/>
          <w:sz w:val="24"/>
          <w:highlight w:val="none"/>
          <w:lang w:val="zh-CN"/>
        </w:rPr>
        <w:t>甲方聘请乙方提供以下服务：</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策划、执行“图书馆人之夜”活动，提供文案服务、舞台搭设、灯光音响设备、会场和活动摊位氛围设计、活动表演、拍照摄影等服务。</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1）策划“图书馆人之夜”活动，制定活动方案，完成活动各环节的实施，策划包括但不限于预热活动、表演节目等环节，服务商应结合活动主题策划有特色有亮点的活动环节，进一步细化活动方案；</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w:t>
      </w:r>
      <w:r>
        <w:rPr>
          <w:rFonts w:hint="eastAsia" w:ascii="宋体" w:hAnsi="宋体" w:cs="宋体"/>
          <w:color w:val="000000"/>
          <w:kern w:val="0"/>
          <w:sz w:val="24"/>
          <w:szCs w:val="24"/>
          <w:highlight w:val="none"/>
          <w:lang w:bidi="ar"/>
        </w:rPr>
        <w:t>利用主裙楼的多元空间，打造河南及郑州地方特色的文化市集活动，</w:t>
      </w:r>
      <w:r>
        <w:rPr>
          <w:rFonts w:hint="eastAsia" w:ascii="宋体" w:hAnsi="宋体" w:cs="宋体"/>
          <w:sz w:val="24"/>
          <w:szCs w:val="24"/>
          <w:highlight w:val="none"/>
        </w:rPr>
        <w:t>负责组织不少于5个的文艺节目；</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3）策划符合主题特色的读者体验活动项目，设计、提供活动摊位相关物料；</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4）负责“图书馆人之夜”活动宣传物料的设计与制作，包括但不仅限于活动主舞台、读者体验摊位、宣传背景墙等物料；活动现场布置（提供如指引牌、签到板等，及其他所需的道具）；</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5）安排工作人员（主持人、音响和灯光师、礼仪、摄影录像人员），负责跟进活动的各项具体工作；</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6）负责相关文案（主持稿、通讯稿）及媒体报道服务；</w:t>
      </w:r>
    </w:p>
    <w:p>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7）负责活动动态视频剪辑制作等。</w:t>
      </w:r>
    </w:p>
    <w:p>
      <w:pPr>
        <w:pStyle w:val="137"/>
        <w:adjustRightInd w:val="0"/>
        <w:snapToGrid w:val="0"/>
        <w:spacing w:line="560" w:lineRule="exact"/>
        <w:ind w:firstLine="482"/>
        <w:rPr>
          <w:rFonts w:hint="eastAsia" w:eastAsia="宋体" w:cs="仿宋_GB2312"/>
          <w:b/>
          <w:bCs/>
          <w:sz w:val="24"/>
          <w:highlight w:val="none"/>
        </w:rPr>
      </w:pPr>
      <w:r>
        <w:rPr>
          <w:rFonts w:hint="eastAsia" w:eastAsia="宋体" w:cs="仿宋_GB2312"/>
          <w:b/>
          <w:bCs/>
          <w:sz w:val="24"/>
          <w:highlight w:val="none"/>
        </w:rPr>
        <w:t>2</w:t>
      </w:r>
      <w:r>
        <w:rPr>
          <w:rFonts w:eastAsia="宋体" w:cs="仿宋_GB2312"/>
          <w:b/>
          <w:bCs/>
          <w:sz w:val="24"/>
          <w:highlight w:val="none"/>
        </w:rPr>
        <w:t>.</w:t>
      </w:r>
      <w:r>
        <w:rPr>
          <w:rFonts w:hint="eastAsia" w:eastAsia="宋体" w:cs="仿宋_GB2312"/>
          <w:b/>
          <w:bCs/>
          <w:sz w:val="24"/>
          <w:highlight w:val="none"/>
        </w:rPr>
        <w:t>验收标准</w:t>
      </w:r>
    </w:p>
    <w:p>
      <w:pPr>
        <w:pStyle w:val="137"/>
        <w:adjustRightInd w:val="0"/>
        <w:snapToGrid w:val="0"/>
        <w:spacing w:line="560" w:lineRule="exact"/>
        <w:ind w:firstLineChars="175"/>
        <w:rPr>
          <w:rFonts w:eastAsia="宋体" w:cs="仿宋_GB2312"/>
          <w:sz w:val="24"/>
          <w:highlight w:val="none"/>
        </w:rPr>
      </w:pPr>
      <w:r>
        <w:rPr>
          <w:rFonts w:hint="eastAsia" w:eastAsia="宋体" w:cs="仿宋_GB2312"/>
          <w:sz w:val="24"/>
          <w:highlight w:val="none"/>
        </w:rPr>
        <w:t>1）甲方将委托第三方对乙方合同履约情况进行跟踪验收，并出具验收报告。 如经甲方验收不合格，乙方应当在3日内妥善处理完毕。经三次验收不合格，甲方有权解除合同，由此所产生的一切损失，均由乙方承担。</w:t>
      </w:r>
    </w:p>
    <w:p>
      <w:pPr>
        <w:pStyle w:val="137"/>
        <w:adjustRightInd w:val="0"/>
        <w:snapToGrid w:val="0"/>
        <w:spacing w:line="560" w:lineRule="exact"/>
        <w:ind w:firstLineChars="175"/>
        <w:rPr>
          <w:rFonts w:eastAsia="宋体" w:cs="仿宋_GB2312"/>
          <w:sz w:val="24"/>
          <w:highlight w:val="none"/>
        </w:rPr>
      </w:pPr>
      <w:r>
        <w:rPr>
          <w:rFonts w:eastAsia="宋体" w:cs="仿宋_GB2312"/>
          <w:sz w:val="24"/>
          <w:highlight w:val="none"/>
        </w:rPr>
        <w:t>2</w:t>
      </w:r>
      <w:r>
        <w:rPr>
          <w:rFonts w:hint="eastAsia" w:eastAsia="宋体" w:cs="仿宋_GB2312"/>
          <w:sz w:val="24"/>
          <w:highlight w:val="none"/>
        </w:rPr>
        <w:t>）严格按照国家相关法律法规规范标准及合同内容进行验收，提供的服务应完全符</w:t>
      </w:r>
      <w:r>
        <w:rPr>
          <w:rFonts w:hint="eastAsia" w:eastAsia="宋体" w:cs="仿宋_GB2312"/>
          <w:color w:val="000000" w:themeColor="text1"/>
          <w:sz w:val="24"/>
          <w:highlight w:val="none"/>
          <w14:textFill>
            <w14:solidFill>
              <w14:schemeClr w14:val="tx1"/>
            </w14:solidFill>
          </w14:textFill>
        </w:rPr>
        <w:t>合合同及招标文件要求，若发生变更，应有相</w:t>
      </w:r>
      <w:r>
        <w:rPr>
          <w:rFonts w:hint="eastAsia" w:eastAsia="宋体" w:cs="仿宋_GB2312"/>
          <w:sz w:val="24"/>
          <w:highlight w:val="none"/>
        </w:rPr>
        <w:t>应审批程序，如变更事项涉及经费增加，在验收结算时乙方需提供有关佐证材料（甲方提供统一模板），否则不予认可。</w:t>
      </w:r>
    </w:p>
    <w:p>
      <w:pPr>
        <w:pStyle w:val="137"/>
        <w:adjustRightInd w:val="0"/>
        <w:snapToGrid w:val="0"/>
        <w:spacing w:line="560" w:lineRule="exact"/>
        <w:ind w:firstLineChars="175"/>
        <w:rPr>
          <w:rFonts w:eastAsia="宋体" w:cs="仿宋_GB2312"/>
          <w:sz w:val="24"/>
          <w:highlight w:val="none"/>
        </w:rPr>
      </w:pPr>
      <w:r>
        <w:rPr>
          <w:rFonts w:eastAsia="宋体" w:cs="仿宋_GB2312"/>
          <w:sz w:val="24"/>
          <w:highlight w:val="none"/>
        </w:rPr>
        <w:t>3</w:t>
      </w:r>
      <w:r>
        <w:rPr>
          <w:rFonts w:hint="eastAsia" w:eastAsia="宋体" w:cs="仿宋_GB2312"/>
          <w:sz w:val="24"/>
          <w:highlight w:val="none"/>
        </w:rPr>
        <w:t>）根据验收结果进行结算。</w:t>
      </w:r>
    </w:p>
    <w:p>
      <w:pPr>
        <w:pStyle w:val="137"/>
        <w:adjustRightInd w:val="0"/>
        <w:snapToGrid w:val="0"/>
        <w:spacing w:line="560" w:lineRule="exact"/>
        <w:ind w:firstLine="417" w:firstLineChars="174"/>
        <w:rPr>
          <w:rFonts w:hint="eastAsia" w:eastAsia="宋体" w:cs="仿宋_GB2312"/>
          <w:sz w:val="24"/>
          <w:highlight w:val="none"/>
        </w:rPr>
      </w:pPr>
      <w:r>
        <w:rPr>
          <w:rFonts w:eastAsia="宋体" w:cs="仿宋_GB2312"/>
          <w:sz w:val="24"/>
          <w:highlight w:val="none"/>
        </w:rPr>
        <w:t>4</w:t>
      </w:r>
      <w:r>
        <w:rPr>
          <w:rFonts w:hint="eastAsia" w:eastAsia="宋体" w:cs="仿宋_GB2312"/>
          <w:sz w:val="24"/>
          <w:highlight w:val="none"/>
        </w:rPr>
        <w:t xml:space="preserve">）其他未尽事宜参照国家相关法律法规规定的内容。 </w:t>
      </w:r>
    </w:p>
    <w:p>
      <w:pPr>
        <w:spacing w:line="360" w:lineRule="auto"/>
        <w:rPr>
          <w:rFonts w:hint="eastAsia"/>
          <w:b/>
          <w:bCs/>
          <w:sz w:val="24"/>
          <w:szCs w:val="28"/>
          <w:highlight w:val="none"/>
        </w:rPr>
      </w:pPr>
      <w:r>
        <w:rPr>
          <w:rFonts w:hint="eastAsia"/>
          <w:b/>
          <w:bCs/>
          <w:sz w:val="24"/>
          <w:szCs w:val="28"/>
          <w:highlight w:val="none"/>
        </w:rPr>
        <w:t>四、双方的权利和义务</w:t>
      </w:r>
    </w:p>
    <w:p>
      <w:pPr>
        <w:pStyle w:val="137"/>
        <w:adjustRightInd w:val="0"/>
        <w:snapToGrid w:val="0"/>
        <w:spacing w:line="560" w:lineRule="exact"/>
        <w:ind w:firstLine="0" w:firstLineChars="0"/>
        <w:rPr>
          <w:rFonts w:eastAsia="宋体" w:cs="仿宋_GB2312"/>
          <w:sz w:val="24"/>
          <w:highlight w:val="none"/>
        </w:rPr>
      </w:pPr>
      <w:r>
        <w:rPr>
          <w:rFonts w:hint="eastAsia" w:eastAsia="宋体" w:cs="仿宋_GB2312"/>
          <w:sz w:val="24"/>
          <w:highlight w:val="none"/>
        </w:rPr>
        <w:t>1.甲方的权利和义务</w:t>
      </w:r>
    </w:p>
    <w:p>
      <w:pPr>
        <w:pStyle w:val="137"/>
        <w:adjustRightInd w:val="0"/>
        <w:snapToGrid w:val="0"/>
        <w:spacing w:line="560" w:lineRule="exact"/>
        <w:ind w:firstLineChars="175"/>
        <w:rPr>
          <w:rFonts w:hint="eastAsia" w:eastAsia="宋体" w:cs="仿宋_GB2312"/>
          <w:sz w:val="24"/>
          <w:highlight w:val="none"/>
        </w:rPr>
      </w:pPr>
      <w:r>
        <w:rPr>
          <w:rFonts w:hint="eastAsia" w:eastAsia="宋体" w:cs="仿宋_GB2312"/>
          <w:sz w:val="24"/>
          <w:highlight w:val="none"/>
        </w:rPr>
        <w:t>1）甲方应根据双方约定的项目进度要求，按时完成项目方案的审定工作，方便乙方进行项目的执行落地，因甲方原因导致的项目执行拖延问题由甲方单方承担；</w:t>
      </w:r>
    </w:p>
    <w:p>
      <w:pPr>
        <w:pStyle w:val="137"/>
        <w:adjustRightInd w:val="0"/>
        <w:snapToGrid w:val="0"/>
        <w:spacing w:line="560" w:lineRule="exact"/>
        <w:ind w:firstLine="480"/>
        <w:rPr>
          <w:rFonts w:hint="eastAsia" w:eastAsia="宋体" w:cs="仿宋_GB2312"/>
          <w:sz w:val="24"/>
          <w:highlight w:val="none"/>
        </w:rPr>
      </w:pPr>
      <w:r>
        <w:rPr>
          <w:rFonts w:hint="eastAsia" w:eastAsia="宋体" w:cs="仿宋_GB2312"/>
          <w:sz w:val="24"/>
          <w:highlight w:val="none"/>
        </w:rPr>
        <w:t>2）甲方有权对乙方设计的方案提出建议，以使乙方设计的方案更符合活动项目的实际需求，甲方对方案的整体创意最终成果进行验收；如非因甲方原因需要变更方案，乙方必须向</w:t>
      </w:r>
      <w:r>
        <w:rPr>
          <w:rFonts w:hint="eastAsia" w:eastAsia="宋体" w:cs="仿宋_GB2312"/>
          <w:color w:val="000000" w:themeColor="text1"/>
          <w:sz w:val="24"/>
          <w:highlight w:val="none"/>
          <w14:textFill>
            <w14:solidFill>
              <w14:schemeClr w14:val="tx1"/>
            </w14:solidFill>
          </w14:textFill>
        </w:rPr>
        <w:t>甲方递交书面变更申请，并经甲方书面同意后方可</w:t>
      </w:r>
      <w:r>
        <w:rPr>
          <w:rFonts w:hint="eastAsia" w:eastAsia="宋体" w:cs="仿宋_GB2312"/>
          <w:sz w:val="24"/>
          <w:highlight w:val="none"/>
        </w:rPr>
        <w:t>更换，乙方应承担因更换方案而产生的一切费用。</w:t>
      </w:r>
    </w:p>
    <w:p>
      <w:pPr>
        <w:pStyle w:val="137"/>
        <w:adjustRightInd w:val="0"/>
        <w:snapToGrid w:val="0"/>
        <w:spacing w:line="560" w:lineRule="exact"/>
        <w:ind w:firstLine="480"/>
        <w:rPr>
          <w:rFonts w:hint="eastAsia" w:eastAsia="宋体" w:cs="仿宋_GB2312"/>
          <w:sz w:val="24"/>
          <w:highlight w:val="none"/>
        </w:rPr>
      </w:pPr>
      <w:r>
        <w:rPr>
          <w:rFonts w:hint="eastAsia" w:eastAsia="宋体" w:cs="仿宋_GB2312"/>
          <w:sz w:val="24"/>
          <w:highlight w:val="none"/>
        </w:rPr>
        <w:t>3）甲方在付清所有费用后享有乙方设计作品的所有权、使用权及相关知识产权，但本合同签订后，乙方不得将因执行本项目而设计的所有作品许可任何第三人使用。</w:t>
      </w:r>
    </w:p>
    <w:p>
      <w:pPr>
        <w:pStyle w:val="137"/>
        <w:adjustRightInd w:val="0"/>
        <w:snapToGrid w:val="0"/>
        <w:spacing w:line="560" w:lineRule="exact"/>
        <w:ind w:firstLine="0" w:firstLineChars="0"/>
        <w:rPr>
          <w:rFonts w:eastAsia="宋体" w:cs="仿宋_GB2312"/>
          <w:sz w:val="24"/>
          <w:highlight w:val="none"/>
        </w:rPr>
      </w:pPr>
      <w:r>
        <w:rPr>
          <w:rFonts w:hint="eastAsia" w:eastAsia="宋体" w:cs="仿宋_GB2312"/>
          <w:sz w:val="24"/>
          <w:highlight w:val="none"/>
        </w:rPr>
        <w:t>2.乙方的权利和义务</w:t>
      </w:r>
    </w:p>
    <w:p>
      <w:pPr>
        <w:pStyle w:val="137"/>
        <w:adjustRightInd w:val="0"/>
        <w:snapToGrid w:val="0"/>
        <w:spacing w:line="560" w:lineRule="exact"/>
        <w:ind w:firstLine="480"/>
        <w:rPr>
          <w:rFonts w:eastAsia="宋体" w:cs="仿宋_GB2312"/>
          <w:sz w:val="24"/>
          <w:highlight w:val="none"/>
        </w:rPr>
      </w:pPr>
      <w:r>
        <w:rPr>
          <w:rFonts w:hint="eastAsia" w:eastAsia="宋体" w:cs="仿宋_GB2312"/>
          <w:sz w:val="24"/>
          <w:highlight w:val="none"/>
        </w:rPr>
        <w:t>1）乙方应根据双方约定的项目进度要求，按时完成项目方案的执行落地工作，因乙方原因导致的项目执行拖延问题由乙方单方承担；</w:t>
      </w:r>
    </w:p>
    <w:p>
      <w:pPr>
        <w:pStyle w:val="137"/>
        <w:adjustRightInd w:val="0"/>
        <w:snapToGrid w:val="0"/>
        <w:spacing w:line="560" w:lineRule="exact"/>
        <w:ind w:firstLine="480"/>
        <w:rPr>
          <w:rFonts w:eastAsia="宋体" w:cs="仿宋_GB2312"/>
          <w:sz w:val="24"/>
          <w:highlight w:val="none"/>
        </w:rPr>
      </w:pPr>
      <w:r>
        <w:rPr>
          <w:rFonts w:hint="eastAsia" w:eastAsia="宋体" w:cs="仿宋_GB2312"/>
          <w:sz w:val="24"/>
          <w:highlight w:val="none"/>
        </w:rPr>
        <w:t>2）乙方负责完成本项目的整体创意及整合制作，并提供项目方案供甲方审定，甲方审定通过后，则视为方案甲方验收合格；</w:t>
      </w:r>
    </w:p>
    <w:p>
      <w:pPr>
        <w:pStyle w:val="137"/>
        <w:adjustRightInd w:val="0"/>
        <w:snapToGrid w:val="0"/>
        <w:spacing w:line="560" w:lineRule="exact"/>
        <w:ind w:firstLine="480"/>
        <w:rPr>
          <w:rFonts w:eastAsia="宋体" w:cs="仿宋_GB2312"/>
          <w:sz w:val="24"/>
          <w:highlight w:val="none"/>
        </w:rPr>
      </w:pPr>
      <w:r>
        <w:rPr>
          <w:rFonts w:hint="eastAsia" w:eastAsia="宋体" w:cs="仿宋_GB2312"/>
          <w:sz w:val="24"/>
          <w:highlight w:val="none"/>
        </w:rPr>
        <w:t>3）根据双方共同核定的项目方案, 乙方负责完成项目的执行落地；</w:t>
      </w:r>
    </w:p>
    <w:p>
      <w:pPr>
        <w:pStyle w:val="137"/>
        <w:adjustRightInd w:val="0"/>
        <w:snapToGrid w:val="0"/>
        <w:spacing w:line="560" w:lineRule="exact"/>
        <w:ind w:firstLine="480"/>
        <w:rPr>
          <w:rFonts w:eastAsia="宋体" w:cs="仿宋_GB2312"/>
          <w:sz w:val="24"/>
          <w:highlight w:val="none"/>
        </w:rPr>
      </w:pPr>
      <w:r>
        <w:rPr>
          <w:rFonts w:hint="eastAsia" w:eastAsia="宋体" w:cs="仿宋_GB2312"/>
          <w:sz w:val="24"/>
          <w:highlight w:val="none"/>
        </w:rPr>
        <w:t>4）乙方承诺其具有履行本合同的相应资质和能力。乙方应对其采购的产品和提供的服务质量负责，如因乙方提供的产品或服务给甲方或任何第三方造成任何人身、财产等损失的，由乙方承担全部赔偿责任。</w:t>
      </w:r>
    </w:p>
    <w:p>
      <w:pPr>
        <w:pStyle w:val="137"/>
        <w:adjustRightInd w:val="0"/>
        <w:snapToGrid w:val="0"/>
        <w:spacing w:line="560" w:lineRule="exact"/>
        <w:ind w:firstLine="480"/>
        <w:rPr>
          <w:rFonts w:eastAsia="宋体" w:cs="仿宋_GB2312"/>
          <w:sz w:val="24"/>
          <w:highlight w:val="none"/>
        </w:rPr>
      </w:pPr>
      <w:r>
        <w:rPr>
          <w:rFonts w:hint="eastAsia" w:eastAsia="宋体" w:cs="仿宋_GB2312"/>
          <w:sz w:val="24"/>
          <w:highlight w:val="none"/>
        </w:rPr>
        <w:t>5）乙方应对参加本活动期间人员的人身和财产安全负责，若给甲方造成损失的，甲方有权向乙方追偿。</w:t>
      </w:r>
    </w:p>
    <w:p>
      <w:pPr>
        <w:pStyle w:val="137"/>
        <w:adjustRightInd w:val="0"/>
        <w:snapToGrid w:val="0"/>
        <w:spacing w:line="560" w:lineRule="exact"/>
        <w:ind w:firstLine="480"/>
        <w:rPr>
          <w:rFonts w:cs="仿宋_GB2312"/>
          <w:sz w:val="24"/>
          <w:highlight w:val="none"/>
        </w:rPr>
      </w:pPr>
      <w:r>
        <w:rPr>
          <w:rFonts w:hint="eastAsia" w:eastAsia="宋体" w:cs="仿宋_GB2312"/>
          <w:sz w:val="24"/>
          <w:highlight w:val="none"/>
        </w:rPr>
        <w:t>6）乙方除不可抗力因素外，未在合同约定时间内完成合同约定内容的，逾期1日向甲方支付合同总价款</w:t>
      </w:r>
      <w:r>
        <w:rPr>
          <w:rFonts w:hint="eastAsia" w:cs="仿宋_GB2312"/>
          <w:bCs/>
          <w:sz w:val="24"/>
          <w:highlight w:val="none"/>
          <w:u w:val="single"/>
        </w:rPr>
        <w:t xml:space="preserve"> </w:t>
      </w:r>
      <w:r>
        <w:rPr>
          <w:rFonts w:cs="仿宋_GB2312"/>
          <w:bCs/>
          <w:sz w:val="24"/>
          <w:highlight w:val="none"/>
          <w:u w:val="single"/>
        </w:rPr>
        <w:t xml:space="preserve">  </w:t>
      </w:r>
      <w:r>
        <w:rPr>
          <w:rFonts w:cs="仿宋_GB2312"/>
          <w:bCs/>
          <w:sz w:val="24"/>
          <w:highlight w:val="none"/>
        </w:rPr>
        <w:t xml:space="preserve">% </w:t>
      </w:r>
      <w:r>
        <w:rPr>
          <w:rFonts w:hint="eastAsia" w:eastAsia="宋体" w:cs="仿宋_GB2312"/>
          <w:sz w:val="24"/>
          <w:highlight w:val="none"/>
        </w:rPr>
        <w:t>的违约金，逾期5日合同自动解除，乙方应返还甲方已支付款项，按合同总价款</w:t>
      </w:r>
      <w:r>
        <w:rPr>
          <w:rFonts w:hint="eastAsia" w:cs="仿宋_GB2312"/>
          <w:bCs/>
          <w:sz w:val="24"/>
          <w:highlight w:val="none"/>
          <w:u w:val="single"/>
        </w:rPr>
        <w:t xml:space="preserve"> </w:t>
      </w:r>
      <w:r>
        <w:rPr>
          <w:rFonts w:cs="仿宋_GB2312"/>
          <w:bCs/>
          <w:sz w:val="24"/>
          <w:highlight w:val="none"/>
          <w:u w:val="single"/>
        </w:rPr>
        <w:t xml:space="preserve">  </w:t>
      </w:r>
      <w:r>
        <w:rPr>
          <w:rFonts w:eastAsia="宋体" w:cs="仿宋_GB2312"/>
          <w:sz w:val="24"/>
          <w:highlight w:val="none"/>
        </w:rPr>
        <w:t>%</w:t>
      </w:r>
      <w:r>
        <w:rPr>
          <w:rFonts w:hint="eastAsia" w:eastAsia="宋体" w:cs="仿宋_GB2312"/>
          <w:sz w:val="24"/>
          <w:highlight w:val="none"/>
        </w:rPr>
        <w:t>的标准向甲方支付违约金，并赔偿甲方损失。</w:t>
      </w:r>
    </w:p>
    <w:p>
      <w:pPr>
        <w:spacing w:line="360" w:lineRule="auto"/>
        <w:rPr>
          <w:rFonts w:hint="eastAsia"/>
          <w:b/>
          <w:bCs/>
          <w:sz w:val="24"/>
          <w:szCs w:val="28"/>
          <w:highlight w:val="none"/>
        </w:rPr>
      </w:pPr>
      <w:r>
        <w:rPr>
          <w:rFonts w:hint="eastAsia"/>
          <w:b/>
          <w:bCs/>
          <w:sz w:val="24"/>
          <w:szCs w:val="28"/>
          <w:highlight w:val="none"/>
        </w:rPr>
        <w:t>五、知识产权及保密</w:t>
      </w:r>
    </w:p>
    <w:p>
      <w:pPr>
        <w:adjustRightInd w:val="0"/>
        <w:snapToGrid w:val="0"/>
        <w:spacing w:line="560" w:lineRule="exact"/>
        <w:ind w:firstLine="560"/>
        <w:rPr>
          <w:rFonts w:cs="仿宋_GB2312"/>
          <w:bCs/>
          <w:sz w:val="24"/>
          <w:highlight w:val="none"/>
        </w:rPr>
      </w:pPr>
      <w:r>
        <w:rPr>
          <w:rFonts w:hint="eastAsia" w:cs="仿宋_GB2312"/>
          <w:bCs/>
          <w:sz w:val="24"/>
          <w:highlight w:val="none"/>
        </w:rPr>
        <w:t>1</w:t>
      </w:r>
      <w:r>
        <w:rPr>
          <w:rFonts w:cs="仿宋_GB2312"/>
          <w:bCs/>
          <w:sz w:val="24"/>
          <w:highlight w:val="none"/>
        </w:rPr>
        <w:t>.</w:t>
      </w:r>
      <w:r>
        <w:rPr>
          <w:rFonts w:hint="eastAsia" w:cs="仿宋_GB2312"/>
          <w:bCs/>
          <w:sz w:val="24"/>
          <w:highlight w:val="none"/>
        </w:rPr>
        <w:t>乙方应保证本项目的技术、服务或其任何一部分不会产生因第三方提出侵犯其专利权、商标权或其他知识产权而引起的法律和经济纠纷；如因第三方提出其专利权、商标权或其他知识产权的侵权之诉，则一切法律责任由乙方承担，因此给甲方造成损失的，乙方应负责赔偿。</w:t>
      </w:r>
    </w:p>
    <w:p>
      <w:pPr>
        <w:adjustRightInd w:val="0"/>
        <w:snapToGrid w:val="0"/>
        <w:spacing w:line="560" w:lineRule="exact"/>
        <w:ind w:firstLine="560"/>
        <w:rPr>
          <w:rFonts w:cs="仿宋_GB2312"/>
          <w:bCs/>
          <w:sz w:val="24"/>
          <w:highlight w:val="none"/>
        </w:rPr>
      </w:pPr>
      <w:r>
        <w:rPr>
          <w:rFonts w:hint="eastAsia" w:cs="仿宋_GB2312"/>
          <w:bCs/>
          <w:sz w:val="24"/>
          <w:highlight w:val="none"/>
        </w:rPr>
        <w:t>2</w:t>
      </w:r>
      <w:r>
        <w:rPr>
          <w:rFonts w:cs="仿宋_GB2312"/>
          <w:bCs/>
          <w:sz w:val="24"/>
          <w:highlight w:val="none"/>
        </w:rPr>
        <w:t>.</w:t>
      </w:r>
      <w:r>
        <w:rPr>
          <w:rFonts w:hint="eastAsia"/>
          <w:highlight w:val="none"/>
        </w:rPr>
        <w:t xml:space="preserve"> </w:t>
      </w:r>
      <w:r>
        <w:rPr>
          <w:rFonts w:hint="eastAsia" w:cs="仿宋_GB2312"/>
          <w:bCs/>
          <w:sz w:val="24"/>
          <w:highlight w:val="none"/>
        </w:rPr>
        <w:t xml:space="preserve">乙方应做到下列保密义务： </w:t>
      </w:r>
    </w:p>
    <w:p>
      <w:pPr>
        <w:adjustRightInd w:val="0"/>
        <w:snapToGrid w:val="0"/>
        <w:spacing w:line="560" w:lineRule="exact"/>
        <w:ind w:firstLine="560"/>
        <w:rPr>
          <w:rFonts w:cs="仿宋_GB2312"/>
          <w:bCs/>
          <w:sz w:val="24"/>
          <w:highlight w:val="none"/>
        </w:rPr>
      </w:pPr>
      <w:r>
        <w:rPr>
          <w:rFonts w:cs="仿宋_GB2312"/>
          <w:bCs/>
          <w:sz w:val="24"/>
          <w:highlight w:val="none"/>
        </w:rPr>
        <w:t>1</w:t>
      </w:r>
      <w:r>
        <w:rPr>
          <w:rFonts w:hint="eastAsia" w:cs="仿宋_GB2312"/>
          <w:bCs/>
          <w:sz w:val="24"/>
          <w:highlight w:val="none"/>
        </w:rPr>
        <w:t xml:space="preserve">）保密内容（包括技术信息和经营信息）：所有项目相关的技术资料及商务文件。 </w:t>
      </w:r>
    </w:p>
    <w:p>
      <w:pPr>
        <w:adjustRightInd w:val="0"/>
        <w:snapToGrid w:val="0"/>
        <w:spacing w:line="560" w:lineRule="exact"/>
        <w:ind w:firstLine="560"/>
        <w:rPr>
          <w:rFonts w:cs="仿宋_GB2312"/>
          <w:bCs/>
          <w:sz w:val="24"/>
          <w:highlight w:val="none"/>
        </w:rPr>
      </w:pPr>
      <w:r>
        <w:rPr>
          <w:rFonts w:cs="仿宋_GB2312"/>
          <w:bCs/>
          <w:sz w:val="24"/>
          <w:highlight w:val="none"/>
        </w:rPr>
        <w:t>2</w:t>
      </w:r>
      <w:r>
        <w:rPr>
          <w:rFonts w:hint="eastAsia" w:cs="仿宋_GB2312"/>
          <w:bCs/>
          <w:sz w:val="24"/>
          <w:highlight w:val="none"/>
        </w:rPr>
        <w:t xml:space="preserve">）涉密人员范围：投标单位所有项目参与成员。 </w:t>
      </w:r>
    </w:p>
    <w:p>
      <w:pPr>
        <w:adjustRightInd w:val="0"/>
        <w:snapToGrid w:val="0"/>
        <w:spacing w:line="560" w:lineRule="exact"/>
        <w:ind w:firstLine="560"/>
        <w:rPr>
          <w:rFonts w:cs="仿宋_GB2312"/>
          <w:bCs/>
          <w:sz w:val="24"/>
          <w:highlight w:val="none"/>
        </w:rPr>
      </w:pPr>
      <w:r>
        <w:rPr>
          <w:rFonts w:cs="仿宋_GB2312"/>
          <w:bCs/>
          <w:sz w:val="24"/>
          <w:highlight w:val="none"/>
        </w:rPr>
        <w:t>3</w:t>
      </w:r>
      <w:r>
        <w:rPr>
          <w:rFonts w:hint="eastAsia" w:cs="仿宋_GB2312"/>
          <w:bCs/>
          <w:sz w:val="24"/>
          <w:highlight w:val="none"/>
        </w:rPr>
        <w:t xml:space="preserve">）泄密责任：按照国家法律规定执行。 </w:t>
      </w:r>
    </w:p>
    <w:p>
      <w:pPr>
        <w:adjustRightInd w:val="0"/>
        <w:snapToGrid w:val="0"/>
        <w:spacing w:line="560" w:lineRule="exact"/>
        <w:ind w:firstLine="560"/>
        <w:rPr>
          <w:rFonts w:cs="仿宋_GB2312"/>
          <w:bCs/>
          <w:sz w:val="24"/>
          <w:highlight w:val="none"/>
        </w:rPr>
      </w:pPr>
      <w:r>
        <w:rPr>
          <w:rFonts w:cs="仿宋_GB2312"/>
          <w:bCs/>
          <w:sz w:val="24"/>
          <w:highlight w:val="none"/>
        </w:rPr>
        <w:t>4</w:t>
      </w:r>
      <w:r>
        <w:rPr>
          <w:rFonts w:hint="eastAsia" w:cs="仿宋_GB2312"/>
          <w:bCs/>
          <w:sz w:val="24"/>
          <w:highlight w:val="none"/>
        </w:rPr>
        <w:t>）未经许可，乙方不得向第三方(有关法律、法规、政府部门或其他监管机构的要求，双方的法律、会计、商业及其他顾问、与履行本合同相关的雇员除外)泄露本合同条款的任何内容以及本合同的签订和履行</w:t>
      </w:r>
      <w:r>
        <w:rPr>
          <w:rFonts w:cs="仿宋_GB2312"/>
          <w:bCs/>
          <w:sz w:val="24"/>
          <w:highlight w:val="none"/>
        </w:rPr>
        <w:t>主体活动</w:t>
      </w:r>
      <w:r>
        <w:rPr>
          <w:rFonts w:hint="eastAsia" w:cs="仿宋_GB2312"/>
          <w:bCs/>
          <w:sz w:val="24"/>
          <w:highlight w:val="none"/>
        </w:rPr>
        <w:t xml:space="preserve">情况，以及通过签订和履行本合同而获知的对方及对方关联公司的任何信息。 </w:t>
      </w:r>
    </w:p>
    <w:p>
      <w:pPr>
        <w:adjustRightInd w:val="0"/>
        <w:snapToGrid w:val="0"/>
        <w:spacing w:line="560" w:lineRule="exact"/>
        <w:ind w:firstLine="560"/>
        <w:rPr>
          <w:rFonts w:cs="仿宋_GB2312"/>
          <w:bCs/>
          <w:sz w:val="24"/>
          <w:highlight w:val="none"/>
        </w:rPr>
      </w:pPr>
      <w:r>
        <w:rPr>
          <w:rFonts w:cs="仿宋_GB2312"/>
          <w:bCs/>
          <w:sz w:val="24"/>
          <w:highlight w:val="none"/>
        </w:rPr>
        <w:t>5</w:t>
      </w:r>
      <w:r>
        <w:rPr>
          <w:rFonts w:hint="eastAsia" w:cs="仿宋_GB2312"/>
          <w:bCs/>
          <w:sz w:val="24"/>
          <w:highlight w:val="none"/>
        </w:rPr>
        <w:t>）乙方承诺对甲方为履行本合同所提供的材料(包括参加本次活动来宾的一切个人资料等)及其他秘密负有保密的义务，并采取一切合理的措施以使其所接收的材料免于散发、传播、披露、复制、滥用及被无关人员接触。本合同终止后，本保密条款仍具有法律效力。</w:t>
      </w:r>
    </w:p>
    <w:p>
      <w:pPr>
        <w:spacing w:line="360" w:lineRule="auto"/>
        <w:rPr>
          <w:rFonts w:hint="eastAsia"/>
          <w:b/>
          <w:bCs/>
          <w:sz w:val="24"/>
          <w:szCs w:val="28"/>
          <w:highlight w:val="none"/>
        </w:rPr>
      </w:pPr>
      <w:r>
        <w:rPr>
          <w:rFonts w:hint="eastAsia"/>
          <w:b/>
          <w:bCs/>
          <w:sz w:val="24"/>
          <w:szCs w:val="28"/>
          <w:highlight w:val="none"/>
        </w:rPr>
        <w:t xml:space="preserve">六、违约责任与赔偿损失 </w:t>
      </w:r>
    </w:p>
    <w:p>
      <w:pPr>
        <w:adjustRightInd w:val="0"/>
        <w:snapToGrid w:val="0"/>
        <w:spacing w:line="560" w:lineRule="exact"/>
        <w:ind w:firstLine="560"/>
        <w:rPr>
          <w:rFonts w:cs="仿宋_GB2312"/>
          <w:bCs/>
          <w:sz w:val="24"/>
          <w:highlight w:val="none"/>
        </w:rPr>
      </w:pPr>
      <w:r>
        <w:rPr>
          <w:rFonts w:cs="仿宋_GB2312"/>
          <w:bCs/>
          <w:sz w:val="24"/>
          <w:highlight w:val="none"/>
        </w:rPr>
        <w:t>1.乙方提供的服务不符合</w:t>
      </w:r>
      <w:r>
        <w:rPr>
          <w:rFonts w:hint="eastAsia" w:cs="仿宋_GB2312"/>
          <w:bCs/>
          <w:sz w:val="24"/>
          <w:highlight w:val="none"/>
        </w:rPr>
        <w:t>招标</w:t>
      </w:r>
      <w:r>
        <w:rPr>
          <w:rFonts w:cs="仿宋_GB2312"/>
          <w:bCs/>
          <w:sz w:val="24"/>
          <w:highlight w:val="none"/>
        </w:rPr>
        <w:t>文件、</w:t>
      </w:r>
      <w:r>
        <w:rPr>
          <w:rFonts w:hint="eastAsia" w:cs="仿宋_GB2312"/>
          <w:bCs/>
          <w:sz w:val="24"/>
          <w:highlight w:val="none"/>
        </w:rPr>
        <w:t>投标</w:t>
      </w:r>
      <w:r>
        <w:rPr>
          <w:rFonts w:cs="仿宋_GB2312"/>
          <w:bCs/>
          <w:sz w:val="24"/>
          <w:highlight w:val="none"/>
        </w:rPr>
        <w:t>文件或本合同规定的，经甲方提出后，乙方拒不修改且不说明理由的，甲方有权拒收，并且乙方须向甲方支付本合同总价</w:t>
      </w:r>
      <w:r>
        <w:rPr>
          <w:rFonts w:hint="eastAsia" w:cs="仿宋_GB2312"/>
          <w:bCs/>
          <w:sz w:val="24"/>
          <w:highlight w:val="none"/>
          <w:u w:val="single"/>
        </w:rPr>
        <w:t xml:space="preserve"> </w:t>
      </w:r>
      <w:r>
        <w:rPr>
          <w:rFonts w:cs="仿宋_GB2312"/>
          <w:bCs/>
          <w:sz w:val="24"/>
          <w:highlight w:val="none"/>
          <w:u w:val="single"/>
        </w:rPr>
        <w:t xml:space="preserve">   </w:t>
      </w:r>
      <w:r>
        <w:rPr>
          <w:rFonts w:cs="仿宋_GB2312"/>
          <w:bCs/>
          <w:sz w:val="24"/>
          <w:highlight w:val="none"/>
        </w:rPr>
        <w:t xml:space="preserve">%的违约金。 </w:t>
      </w:r>
    </w:p>
    <w:p>
      <w:pPr>
        <w:adjustRightInd w:val="0"/>
        <w:snapToGrid w:val="0"/>
        <w:spacing w:line="560" w:lineRule="exact"/>
        <w:ind w:firstLine="560"/>
        <w:rPr>
          <w:rFonts w:cs="仿宋_GB2312"/>
          <w:bCs/>
          <w:sz w:val="24"/>
          <w:highlight w:val="none"/>
        </w:rPr>
      </w:pPr>
      <w:r>
        <w:rPr>
          <w:rFonts w:cs="仿宋_GB2312"/>
          <w:bCs/>
          <w:sz w:val="24"/>
          <w:highlight w:val="none"/>
        </w:rPr>
        <w:t xml:space="preserve"> 2.乙方未能按规定的时间提交成果文件，从逾期之日起需支付本合同总价款</w:t>
      </w:r>
      <w:r>
        <w:rPr>
          <w:rFonts w:hint="eastAsia" w:cs="仿宋_GB2312"/>
          <w:bCs/>
          <w:sz w:val="24"/>
          <w:highlight w:val="none"/>
          <w:u w:val="single"/>
        </w:rPr>
        <w:t xml:space="preserve"> </w:t>
      </w:r>
      <w:r>
        <w:rPr>
          <w:rFonts w:cs="仿宋_GB2312"/>
          <w:bCs/>
          <w:sz w:val="24"/>
          <w:highlight w:val="none"/>
          <w:u w:val="single"/>
        </w:rPr>
        <w:t xml:space="preserve">   </w:t>
      </w:r>
      <w:r>
        <w:rPr>
          <w:rFonts w:cs="仿宋_GB2312"/>
          <w:bCs/>
          <w:sz w:val="24"/>
          <w:highlight w:val="none"/>
        </w:rPr>
        <w:t>%的违约金；逾期 5 天以上的，甲方有权</w:t>
      </w:r>
      <w:r>
        <w:rPr>
          <w:rFonts w:hint="eastAsia" w:cs="仿宋_GB2312"/>
          <w:bCs/>
          <w:sz w:val="24"/>
          <w:highlight w:val="none"/>
        </w:rPr>
        <w:t>单方解除</w:t>
      </w:r>
      <w:r>
        <w:rPr>
          <w:rFonts w:cs="仿宋_GB2312"/>
          <w:bCs/>
          <w:sz w:val="24"/>
          <w:highlight w:val="none"/>
        </w:rPr>
        <w:t>合同，</w:t>
      </w:r>
      <w:r>
        <w:rPr>
          <w:rFonts w:hint="eastAsia" w:cs="仿宋_GB2312"/>
          <w:bCs/>
          <w:sz w:val="24"/>
          <w:highlight w:val="none"/>
        </w:rPr>
        <w:t>乙方应按照合同总价</w:t>
      </w:r>
      <w:r>
        <w:rPr>
          <w:rFonts w:hint="eastAsia" w:cs="仿宋_GB2312"/>
          <w:bCs/>
          <w:sz w:val="24"/>
          <w:highlight w:val="none"/>
          <w:u w:val="single"/>
        </w:rPr>
        <w:t xml:space="preserve"> </w:t>
      </w:r>
      <w:r>
        <w:rPr>
          <w:rFonts w:cs="仿宋_GB2312"/>
          <w:bCs/>
          <w:sz w:val="24"/>
          <w:highlight w:val="none"/>
          <w:u w:val="single"/>
        </w:rPr>
        <w:t xml:space="preserve">  </w:t>
      </w:r>
      <w:r>
        <w:rPr>
          <w:rFonts w:cs="仿宋_GB2312"/>
          <w:bCs/>
          <w:sz w:val="24"/>
          <w:highlight w:val="none"/>
        </w:rPr>
        <w:t>%</w:t>
      </w:r>
      <w:r>
        <w:rPr>
          <w:rFonts w:hint="eastAsia" w:cs="仿宋_GB2312"/>
          <w:bCs/>
          <w:sz w:val="24"/>
          <w:highlight w:val="none"/>
        </w:rPr>
        <w:t>的标准向甲方支付违约金并赔偿甲方损失</w:t>
      </w:r>
      <w:r>
        <w:rPr>
          <w:rFonts w:cs="仿宋_GB2312"/>
          <w:bCs/>
          <w:sz w:val="24"/>
          <w:highlight w:val="none"/>
        </w:rPr>
        <w:t xml:space="preserve">。 </w:t>
      </w:r>
    </w:p>
    <w:p>
      <w:pPr>
        <w:spacing w:line="360" w:lineRule="auto"/>
        <w:rPr>
          <w:rFonts w:hint="eastAsia"/>
          <w:b/>
          <w:bCs/>
          <w:sz w:val="24"/>
          <w:szCs w:val="28"/>
          <w:highlight w:val="none"/>
        </w:rPr>
      </w:pPr>
      <w:r>
        <w:rPr>
          <w:rFonts w:hint="eastAsia"/>
          <w:b/>
          <w:bCs/>
          <w:sz w:val="24"/>
          <w:szCs w:val="28"/>
          <w:highlight w:val="none"/>
        </w:rPr>
        <w:t xml:space="preserve">七、争端的解决 </w:t>
      </w:r>
    </w:p>
    <w:p>
      <w:pPr>
        <w:adjustRightInd w:val="0"/>
        <w:snapToGrid w:val="0"/>
        <w:spacing w:line="560" w:lineRule="exact"/>
        <w:ind w:firstLine="480" w:firstLineChars="200"/>
        <w:rPr>
          <w:rFonts w:cs="仿宋_GB2312"/>
          <w:bCs/>
          <w:sz w:val="24"/>
          <w:highlight w:val="none"/>
        </w:rPr>
      </w:pPr>
      <w:r>
        <w:rPr>
          <w:rFonts w:cs="仿宋_GB2312"/>
          <w:bCs/>
          <w:sz w:val="24"/>
          <w:highlight w:val="none"/>
        </w:rPr>
        <w:t>合同执行过程中发生的任何争议，如双方不能通过友好协商解决，任何一方均可提交</w:t>
      </w:r>
      <w:r>
        <w:rPr>
          <w:rFonts w:hint="eastAsia" w:cs="仿宋_GB2312"/>
          <w:bCs/>
          <w:sz w:val="24"/>
          <w:highlight w:val="none"/>
        </w:rPr>
        <w:t>甲方所在地法院管辖</w:t>
      </w:r>
      <w:r>
        <w:rPr>
          <w:rFonts w:cs="仿宋_GB2312"/>
          <w:bCs/>
          <w:sz w:val="24"/>
          <w:highlight w:val="none"/>
        </w:rPr>
        <w:t xml:space="preserve">。 </w:t>
      </w:r>
    </w:p>
    <w:p>
      <w:pPr>
        <w:spacing w:line="360" w:lineRule="auto"/>
        <w:rPr>
          <w:rFonts w:hint="eastAsia"/>
          <w:b/>
          <w:bCs/>
          <w:sz w:val="24"/>
          <w:szCs w:val="28"/>
          <w:highlight w:val="none"/>
        </w:rPr>
      </w:pPr>
      <w:r>
        <w:rPr>
          <w:rFonts w:hint="eastAsia"/>
          <w:b/>
          <w:bCs/>
          <w:sz w:val="24"/>
          <w:szCs w:val="28"/>
          <w:highlight w:val="none"/>
        </w:rPr>
        <w:t xml:space="preserve">八、不可抗力 </w:t>
      </w:r>
    </w:p>
    <w:p>
      <w:pPr>
        <w:adjustRightInd w:val="0"/>
        <w:snapToGrid w:val="0"/>
        <w:spacing w:line="560" w:lineRule="exact"/>
        <w:ind w:firstLine="480" w:firstLineChars="200"/>
        <w:rPr>
          <w:rFonts w:cs="仿宋_GB2312"/>
          <w:bCs/>
          <w:sz w:val="24"/>
          <w:highlight w:val="none"/>
        </w:rPr>
      </w:pPr>
      <w:r>
        <w:rPr>
          <w:rFonts w:cs="仿宋_GB2312"/>
          <w:bCs/>
          <w:sz w:val="24"/>
          <w:highlight w:val="none"/>
        </w:rPr>
        <w:t>任何一方由于不可抗力原因不能履行合同时，应在不可抗力事件结束后 1 日内向对方通报，以减轻可能给对方造成的损失，在取得有关机构的不可抗力证明或双方谅解确认后，允许延期履行或修订合同，并根据情况可部分或全部免于承担违约责任。</w:t>
      </w:r>
    </w:p>
    <w:p>
      <w:pPr>
        <w:spacing w:line="360" w:lineRule="auto"/>
        <w:rPr>
          <w:rFonts w:hint="eastAsia"/>
          <w:b/>
          <w:bCs/>
          <w:sz w:val="24"/>
          <w:szCs w:val="28"/>
          <w:highlight w:val="none"/>
        </w:rPr>
      </w:pPr>
      <w:r>
        <w:rPr>
          <w:rFonts w:hint="eastAsia"/>
          <w:b/>
          <w:bCs/>
          <w:sz w:val="24"/>
          <w:szCs w:val="28"/>
          <w:highlight w:val="none"/>
        </w:rPr>
        <w:t>九、联系与送达</w:t>
      </w:r>
    </w:p>
    <w:p>
      <w:pPr>
        <w:spacing w:line="480" w:lineRule="exact"/>
        <w:rPr>
          <w:rFonts w:ascii="宋体" w:hAnsi="宋体"/>
          <w:sz w:val="24"/>
          <w:highlight w:val="none"/>
        </w:rPr>
      </w:pPr>
      <w:r>
        <w:rPr>
          <w:rFonts w:ascii="宋体" w:hAnsi="宋体"/>
          <w:sz w:val="24"/>
          <w:highlight w:val="none"/>
        </w:rPr>
        <w:t>甲方对本合同签订及履行事宜的指定联系方式为：</w:t>
      </w:r>
    </w:p>
    <w:p>
      <w:pPr>
        <w:spacing w:line="480" w:lineRule="exact"/>
        <w:rPr>
          <w:rFonts w:ascii="宋体" w:hAnsi="宋体"/>
          <w:sz w:val="24"/>
          <w:highlight w:val="none"/>
        </w:rPr>
      </w:pPr>
      <w:r>
        <w:rPr>
          <w:rFonts w:hint="eastAsia" w:ascii="宋体" w:hAnsi="宋体"/>
          <w:sz w:val="24"/>
          <w:highlight w:val="none"/>
        </w:rPr>
        <w:t>联 系 人：</w:t>
      </w:r>
      <w:r>
        <w:rPr>
          <w:rFonts w:ascii="宋体" w:hAnsi="宋体"/>
          <w:sz w:val="24"/>
          <w:highlight w:val="none"/>
          <w:u w:val="single"/>
        </w:rPr>
        <w:t xml:space="preserve">                       </w:t>
      </w:r>
      <w:r>
        <w:rPr>
          <w:rFonts w:hint="eastAsia" w:ascii="宋体" w:hAnsi="宋体"/>
          <w:sz w:val="24"/>
          <w:highlight w:val="none"/>
        </w:rPr>
        <w:t xml:space="preserve"> </w:t>
      </w:r>
    </w:p>
    <w:p>
      <w:pPr>
        <w:spacing w:line="480" w:lineRule="exact"/>
        <w:rPr>
          <w:rFonts w:ascii="宋体" w:hAnsi="宋体"/>
          <w:sz w:val="24"/>
          <w:highlight w:val="none"/>
        </w:rPr>
      </w:pPr>
      <w:r>
        <w:rPr>
          <w:rFonts w:hint="eastAsia" w:ascii="宋体" w:hAnsi="宋体"/>
          <w:sz w:val="24"/>
          <w:highlight w:val="none"/>
        </w:rPr>
        <w:t>联系电话：</w:t>
      </w:r>
      <w:r>
        <w:rPr>
          <w:rFonts w:ascii="宋体" w:hAnsi="宋体"/>
          <w:sz w:val="24"/>
          <w:highlight w:val="none"/>
          <w:u w:val="single"/>
        </w:rPr>
        <w:t xml:space="preserve">                     </w:t>
      </w:r>
    </w:p>
    <w:p>
      <w:pPr>
        <w:spacing w:line="480" w:lineRule="exact"/>
        <w:rPr>
          <w:rFonts w:ascii="宋体" w:hAnsi="宋体"/>
          <w:sz w:val="24"/>
          <w:highlight w:val="none"/>
        </w:rPr>
      </w:pPr>
      <w:r>
        <w:rPr>
          <w:rFonts w:hint="eastAsia" w:ascii="宋体" w:hAnsi="宋体"/>
          <w:sz w:val="24"/>
          <w:highlight w:val="none"/>
        </w:rPr>
        <w:t>电子邮箱：</w:t>
      </w:r>
      <w:r>
        <w:rPr>
          <w:rFonts w:ascii="宋体" w:hAnsi="宋体"/>
          <w:sz w:val="24"/>
          <w:highlight w:val="none"/>
          <w:u w:val="single"/>
        </w:rPr>
        <w:t xml:space="preserve">                 </w:t>
      </w:r>
      <w:r>
        <w:rPr>
          <w:rFonts w:ascii="宋体" w:hAnsi="宋体"/>
          <w:sz w:val="24"/>
          <w:highlight w:val="none"/>
        </w:rPr>
        <w:t> </w:t>
      </w:r>
    </w:p>
    <w:p>
      <w:pPr>
        <w:spacing w:line="480" w:lineRule="exact"/>
        <w:rPr>
          <w:rFonts w:ascii="宋体" w:hAnsi="宋体"/>
          <w:sz w:val="24"/>
          <w:highlight w:val="none"/>
        </w:rPr>
      </w:pPr>
      <w:r>
        <w:rPr>
          <w:rFonts w:hint="eastAsia" w:ascii="宋体" w:hAnsi="宋体"/>
          <w:sz w:val="24"/>
          <w:highlight w:val="none"/>
        </w:rPr>
        <w:t>联系地址：</w:t>
      </w:r>
      <w:r>
        <w:rPr>
          <w:rFonts w:ascii="宋体" w:hAnsi="宋体"/>
          <w:sz w:val="24"/>
          <w:highlight w:val="none"/>
          <w:u w:val="single"/>
        </w:rPr>
        <w:t xml:space="preserve">                   </w:t>
      </w:r>
    </w:p>
    <w:p>
      <w:pPr>
        <w:spacing w:line="480" w:lineRule="exact"/>
        <w:rPr>
          <w:rFonts w:ascii="宋体" w:hAnsi="宋体"/>
          <w:sz w:val="24"/>
          <w:highlight w:val="none"/>
        </w:rPr>
      </w:pPr>
      <w:r>
        <w:rPr>
          <w:rFonts w:ascii="宋体" w:hAnsi="宋体"/>
          <w:sz w:val="24"/>
          <w:highlight w:val="none"/>
        </w:rPr>
        <w:t>乙方对本合同签订及履行事宜的指定联系方式为：</w:t>
      </w:r>
    </w:p>
    <w:p>
      <w:pPr>
        <w:spacing w:line="480" w:lineRule="exact"/>
        <w:rPr>
          <w:rFonts w:ascii="宋体" w:hAnsi="宋体"/>
          <w:sz w:val="24"/>
          <w:highlight w:val="none"/>
        </w:rPr>
      </w:pPr>
      <w:r>
        <w:rPr>
          <w:rFonts w:hint="eastAsia" w:ascii="宋体" w:hAnsi="宋体"/>
          <w:sz w:val="24"/>
          <w:highlight w:val="none"/>
        </w:rPr>
        <w:t>联 系 人：</w:t>
      </w:r>
      <w:r>
        <w:rPr>
          <w:rFonts w:ascii="宋体" w:hAnsi="宋体"/>
          <w:sz w:val="24"/>
          <w:highlight w:val="none"/>
          <w:u w:val="single"/>
        </w:rPr>
        <w:t xml:space="preserve">                       </w:t>
      </w:r>
      <w:r>
        <w:rPr>
          <w:rFonts w:hint="eastAsia" w:ascii="宋体" w:hAnsi="宋体"/>
          <w:sz w:val="24"/>
          <w:highlight w:val="none"/>
        </w:rPr>
        <w:t xml:space="preserve"> </w:t>
      </w:r>
    </w:p>
    <w:p>
      <w:pPr>
        <w:spacing w:line="480" w:lineRule="exact"/>
        <w:rPr>
          <w:rFonts w:ascii="宋体" w:hAnsi="宋体"/>
          <w:sz w:val="24"/>
          <w:highlight w:val="none"/>
        </w:rPr>
      </w:pPr>
      <w:r>
        <w:rPr>
          <w:rFonts w:hint="eastAsia" w:ascii="宋体" w:hAnsi="宋体"/>
          <w:sz w:val="24"/>
          <w:highlight w:val="none"/>
        </w:rPr>
        <w:t>联系电话：</w:t>
      </w:r>
      <w:r>
        <w:rPr>
          <w:rFonts w:ascii="宋体" w:hAnsi="宋体"/>
          <w:sz w:val="24"/>
          <w:highlight w:val="none"/>
          <w:u w:val="single"/>
        </w:rPr>
        <w:t xml:space="preserve">                     </w:t>
      </w:r>
    </w:p>
    <w:p>
      <w:pPr>
        <w:spacing w:line="480" w:lineRule="exact"/>
        <w:rPr>
          <w:rFonts w:ascii="宋体" w:hAnsi="宋体"/>
          <w:sz w:val="24"/>
          <w:highlight w:val="none"/>
        </w:rPr>
      </w:pPr>
      <w:r>
        <w:rPr>
          <w:rFonts w:hint="eastAsia" w:ascii="宋体" w:hAnsi="宋体"/>
          <w:sz w:val="24"/>
          <w:highlight w:val="none"/>
        </w:rPr>
        <w:t>电子邮箱：</w:t>
      </w:r>
      <w:r>
        <w:rPr>
          <w:rFonts w:ascii="宋体" w:hAnsi="宋体"/>
          <w:sz w:val="24"/>
          <w:highlight w:val="none"/>
          <w:u w:val="single"/>
        </w:rPr>
        <w:t xml:space="preserve">                 </w:t>
      </w:r>
      <w:r>
        <w:rPr>
          <w:rFonts w:ascii="宋体" w:hAnsi="宋体"/>
          <w:sz w:val="24"/>
          <w:highlight w:val="none"/>
        </w:rPr>
        <w:t> </w:t>
      </w:r>
    </w:p>
    <w:p>
      <w:pPr>
        <w:spacing w:line="480" w:lineRule="exact"/>
        <w:rPr>
          <w:rFonts w:ascii="宋体" w:hAnsi="宋体"/>
          <w:sz w:val="24"/>
          <w:highlight w:val="none"/>
        </w:rPr>
      </w:pPr>
      <w:r>
        <w:rPr>
          <w:rFonts w:hint="eastAsia" w:ascii="宋体" w:hAnsi="宋体"/>
          <w:sz w:val="24"/>
          <w:highlight w:val="none"/>
        </w:rPr>
        <w:t>联系地址：</w:t>
      </w:r>
      <w:r>
        <w:rPr>
          <w:rFonts w:ascii="宋体" w:hAnsi="宋体"/>
          <w:sz w:val="24"/>
          <w:highlight w:val="none"/>
          <w:u w:val="single"/>
        </w:rPr>
        <w:t xml:space="preserve">                   </w:t>
      </w:r>
    </w:p>
    <w:p>
      <w:pPr>
        <w:spacing w:line="480" w:lineRule="exact"/>
        <w:ind w:firstLine="480" w:firstLineChars="200"/>
        <w:rPr>
          <w:rFonts w:ascii="宋体" w:hAnsi="宋体"/>
          <w:sz w:val="24"/>
          <w:highlight w:val="none"/>
        </w:rPr>
      </w:pPr>
      <w:r>
        <w:rPr>
          <w:rFonts w:hint="eastAsia" w:ascii="宋体" w:hAnsi="宋体"/>
          <w:sz w:val="24"/>
          <w:highlight w:val="none"/>
        </w:rPr>
        <w:t>如需</w:t>
      </w:r>
      <w:r>
        <w:rPr>
          <w:rFonts w:ascii="宋体" w:hAnsi="宋体"/>
          <w:sz w:val="24"/>
          <w:highlight w:val="none"/>
        </w:rPr>
        <w:t>变更以上联系内容，应</w:t>
      </w:r>
      <w:r>
        <w:rPr>
          <w:rFonts w:hint="eastAsia" w:ascii="宋体" w:hAnsi="宋体"/>
          <w:sz w:val="24"/>
          <w:highlight w:val="none"/>
        </w:rPr>
        <w:t>在变更当时</w:t>
      </w:r>
      <w:r>
        <w:rPr>
          <w:rFonts w:ascii="宋体" w:hAnsi="宋体"/>
          <w:sz w:val="24"/>
          <w:highlight w:val="none"/>
        </w:rPr>
        <w:t>通知到对方，否则，相关责任由私自变更方承担。双方的联系和送达相关文书，双方均有权利选择电子邮箱、邮递（包括特快专递、挂号邮寄）方式将文书按照上述约定送达</w:t>
      </w:r>
      <w:r>
        <w:rPr>
          <w:rFonts w:hint="eastAsia" w:ascii="宋体" w:hAnsi="宋体"/>
          <w:sz w:val="24"/>
          <w:highlight w:val="none"/>
        </w:rPr>
        <w:t>予</w:t>
      </w:r>
      <w:r>
        <w:rPr>
          <w:rFonts w:ascii="宋体" w:hAnsi="宋体"/>
          <w:sz w:val="24"/>
          <w:highlight w:val="none"/>
        </w:rPr>
        <w:t>对方。采用电子邮箱方式联系或送达的，以电子邮件发出之日为送达日；采用邮递方式送达的，以对方指定联系人或其工作人员签收日为送达日，对方拒收或因对方联系方式变更等原因导致未签收的，以邮件上载明的退回日为送达日。</w:t>
      </w:r>
    </w:p>
    <w:p>
      <w:pPr>
        <w:spacing w:line="480" w:lineRule="exact"/>
        <w:ind w:firstLine="480" w:firstLineChars="200"/>
        <w:rPr>
          <w:highlight w:val="none"/>
        </w:rPr>
      </w:pPr>
      <w:r>
        <w:rPr>
          <w:rFonts w:ascii="宋体" w:hAnsi="宋体"/>
          <w:sz w:val="24"/>
          <w:highlight w:val="none"/>
        </w:rPr>
        <w:t>如在本合同履行过程中发生纠纷，由第三方（包括但不限于法院、仲裁机构）处理双方纠纷，甲乙双方均认可第三方按照本条规定的联系内容（电话、地址、联系人）向甲乙双方送达法律文书，因联系内容变动导致无法送达的或拒收的，第三方无需公告送达，因此所产生的法律后果和其他责任由私自变更方或拒收方承担。</w:t>
      </w:r>
    </w:p>
    <w:p>
      <w:pPr>
        <w:spacing w:line="360" w:lineRule="auto"/>
        <w:rPr>
          <w:rFonts w:hint="eastAsia"/>
          <w:b/>
          <w:bCs/>
          <w:sz w:val="24"/>
          <w:szCs w:val="28"/>
          <w:highlight w:val="none"/>
        </w:rPr>
      </w:pPr>
      <w:r>
        <w:rPr>
          <w:rFonts w:hint="eastAsia"/>
          <w:b/>
          <w:bCs/>
          <w:sz w:val="24"/>
          <w:szCs w:val="28"/>
          <w:highlight w:val="none"/>
        </w:rPr>
        <w:t xml:space="preserve">十、其他 </w:t>
      </w:r>
    </w:p>
    <w:p>
      <w:pPr>
        <w:adjustRightInd w:val="0"/>
        <w:snapToGrid w:val="0"/>
        <w:spacing w:line="560" w:lineRule="exact"/>
        <w:ind w:firstLine="560"/>
        <w:rPr>
          <w:rFonts w:cs="仿宋_GB2312"/>
          <w:bCs/>
          <w:sz w:val="24"/>
          <w:highlight w:val="none"/>
        </w:rPr>
      </w:pPr>
      <w:r>
        <w:rPr>
          <w:rFonts w:cs="仿宋_GB2312"/>
          <w:bCs/>
          <w:sz w:val="24"/>
          <w:highlight w:val="none"/>
        </w:rPr>
        <w:t>1.本合同所有附件、</w:t>
      </w:r>
      <w:r>
        <w:rPr>
          <w:rFonts w:hint="eastAsia" w:cs="仿宋_GB2312"/>
          <w:bCs/>
          <w:sz w:val="24"/>
          <w:highlight w:val="none"/>
        </w:rPr>
        <w:t>招标</w:t>
      </w:r>
      <w:r>
        <w:rPr>
          <w:rFonts w:cs="仿宋_GB2312"/>
          <w:bCs/>
          <w:sz w:val="24"/>
          <w:highlight w:val="none"/>
        </w:rPr>
        <w:t xml:space="preserve">文件、投标文件、中标通知书均为合同的有效组成部分，与本合同具有同等法律效力。 </w:t>
      </w:r>
    </w:p>
    <w:p>
      <w:pPr>
        <w:adjustRightInd w:val="0"/>
        <w:snapToGrid w:val="0"/>
        <w:spacing w:line="560" w:lineRule="exact"/>
        <w:ind w:firstLine="560"/>
        <w:rPr>
          <w:rFonts w:cs="仿宋_GB2312"/>
          <w:bCs/>
          <w:sz w:val="24"/>
          <w:highlight w:val="none"/>
        </w:rPr>
      </w:pPr>
      <w:r>
        <w:rPr>
          <w:rFonts w:cs="仿宋_GB2312"/>
          <w:bCs/>
          <w:sz w:val="24"/>
          <w:highlight w:val="none"/>
        </w:rPr>
        <w:t xml:space="preserve">2.在执行本合同的过程中，所有经双方签署确认的文件（包括会议纪要、补充协议、往来信函）即成为本合同的有效组成部分。 </w:t>
      </w:r>
    </w:p>
    <w:p>
      <w:pPr>
        <w:adjustRightInd w:val="0"/>
        <w:snapToGrid w:val="0"/>
        <w:spacing w:line="560" w:lineRule="exact"/>
        <w:ind w:firstLine="560"/>
        <w:rPr>
          <w:rFonts w:cs="仿宋_GB2312"/>
          <w:bCs/>
          <w:sz w:val="24"/>
          <w:highlight w:val="none"/>
        </w:rPr>
      </w:pPr>
      <w:r>
        <w:rPr>
          <w:rFonts w:hint="eastAsia" w:cs="仿宋_GB2312"/>
          <w:bCs/>
          <w:sz w:val="24"/>
          <w:highlight w:val="none"/>
        </w:rPr>
        <w:t>3.</w:t>
      </w:r>
      <w:r>
        <w:rPr>
          <w:rFonts w:cs="仿宋_GB2312"/>
          <w:bCs/>
          <w:sz w:val="24"/>
          <w:highlight w:val="none"/>
        </w:rPr>
        <w:t xml:space="preserve">除甲方事先书面同意外，乙方不得部分或全部转让其应履行的合同项下的义务。 </w:t>
      </w:r>
    </w:p>
    <w:p>
      <w:pPr>
        <w:spacing w:line="360" w:lineRule="auto"/>
        <w:rPr>
          <w:rFonts w:hint="eastAsia"/>
          <w:b/>
          <w:bCs/>
          <w:sz w:val="24"/>
          <w:szCs w:val="28"/>
          <w:highlight w:val="none"/>
        </w:rPr>
      </w:pPr>
      <w:r>
        <w:rPr>
          <w:rFonts w:hint="eastAsia"/>
          <w:b/>
          <w:bCs/>
          <w:sz w:val="24"/>
          <w:szCs w:val="28"/>
          <w:highlight w:val="none"/>
        </w:rPr>
        <w:t xml:space="preserve">十一、合同生效 </w:t>
      </w:r>
    </w:p>
    <w:p>
      <w:pPr>
        <w:adjustRightInd w:val="0"/>
        <w:snapToGrid w:val="0"/>
        <w:spacing w:line="560" w:lineRule="exact"/>
        <w:ind w:firstLine="560"/>
        <w:rPr>
          <w:rFonts w:cs="仿宋_GB2312"/>
          <w:sz w:val="24"/>
          <w:highlight w:val="none"/>
        </w:rPr>
      </w:pPr>
      <w:r>
        <w:rPr>
          <w:rFonts w:cs="仿宋_GB2312"/>
          <w:bCs/>
          <w:sz w:val="24"/>
          <w:highlight w:val="none"/>
        </w:rPr>
        <w:t>1.本</w:t>
      </w:r>
      <w:r>
        <w:rPr>
          <w:rFonts w:hint="eastAsia" w:cs="仿宋_GB2312"/>
          <w:sz w:val="24"/>
          <w:highlight w:val="none"/>
        </w:rPr>
        <w:t>合同一式4份，甲乙双方各执2份，经甲乙双方签署后生效。</w:t>
      </w:r>
    </w:p>
    <w:p>
      <w:pPr>
        <w:adjustRightInd w:val="0"/>
        <w:snapToGrid w:val="0"/>
        <w:spacing w:line="560" w:lineRule="exact"/>
        <w:ind w:firstLine="560"/>
        <w:rPr>
          <w:rFonts w:cs="仿宋_GB2312"/>
          <w:sz w:val="24"/>
          <w:highlight w:val="none"/>
        </w:rPr>
      </w:pPr>
      <w:r>
        <w:rPr>
          <w:rFonts w:hint="eastAsia" w:cs="仿宋_GB2312"/>
          <w:sz w:val="24"/>
          <w:highlight w:val="none"/>
        </w:rPr>
        <w:t>2.合同内容如遇国家法律、法规及政策另有规定的，从其规定。</w:t>
      </w:r>
    </w:p>
    <w:p>
      <w:pPr>
        <w:adjustRightInd w:val="0"/>
        <w:snapToGrid w:val="0"/>
        <w:spacing w:line="560" w:lineRule="exact"/>
        <w:ind w:firstLine="560"/>
        <w:rPr>
          <w:rFonts w:cs="仿宋_GB2312"/>
          <w:sz w:val="24"/>
          <w:highlight w:val="none"/>
        </w:rPr>
      </w:pPr>
      <w:r>
        <w:rPr>
          <w:rFonts w:hint="eastAsia" w:cs="仿宋_GB2312"/>
          <w:sz w:val="24"/>
          <w:highlight w:val="none"/>
        </w:rPr>
        <w:t>3.本合同未尽事宜，双方协商解决。</w:t>
      </w:r>
    </w:p>
    <w:p>
      <w:pPr>
        <w:adjustRightInd w:val="0"/>
        <w:snapToGrid w:val="0"/>
        <w:spacing w:line="560" w:lineRule="exact"/>
        <w:rPr>
          <w:rFonts w:cs="仿宋_GB2312"/>
          <w:sz w:val="24"/>
          <w:highlight w:val="none"/>
          <w:u w:val="single"/>
        </w:rPr>
      </w:pPr>
    </w:p>
    <w:p>
      <w:pPr>
        <w:adjustRightInd w:val="0"/>
        <w:snapToGrid w:val="0"/>
        <w:spacing w:line="560" w:lineRule="exact"/>
        <w:ind w:left="5280" w:hanging="5280" w:hangingChars="2200"/>
        <w:rPr>
          <w:rFonts w:cs="仿宋_GB2312"/>
          <w:sz w:val="24"/>
          <w:highlight w:val="none"/>
        </w:rPr>
      </w:pPr>
      <w:r>
        <w:rPr>
          <w:rFonts w:hint="eastAsia" w:cs="仿宋_GB2312"/>
          <w:sz w:val="24"/>
          <w:highlight w:val="none"/>
        </w:rPr>
        <w:t xml:space="preserve">甲  方：郑州市文化广电和旅游局    乙  方： </w:t>
      </w:r>
    </w:p>
    <w:p>
      <w:pPr>
        <w:adjustRightInd w:val="0"/>
        <w:snapToGrid w:val="0"/>
        <w:spacing w:line="560" w:lineRule="exact"/>
        <w:rPr>
          <w:rFonts w:cs="仿宋_GB2312"/>
          <w:sz w:val="24"/>
          <w:highlight w:val="none"/>
        </w:rPr>
      </w:pPr>
      <w:r>
        <w:rPr>
          <w:rFonts w:hint="eastAsia" w:cs="仿宋_GB2312"/>
          <w:sz w:val="24"/>
          <w:highlight w:val="none"/>
        </w:rPr>
        <w:t xml:space="preserve">负责人（或授权代表）：             负责人（或授权代表）： </w:t>
      </w:r>
    </w:p>
    <w:p>
      <w:pPr>
        <w:adjustRightInd w:val="0"/>
        <w:snapToGrid w:val="0"/>
        <w:spacing w:line="560" w:lineRule="exact"/>
        <w:ind w:left="5040" w:hanging="5040" w:hangingChars="2100"/>
        <w:rPr>
          <w:rFonts w:cs="仿宋_GB2312"/>
          <w:sz w:val="24"/>
          <w:highlight w:val="none"/>
        </w:rPr>
      </w:pPr>
      <w:r>
        <w:rPr>
          <w:rFonts w:hint="eastAsia" w:cs="仿宋_GB2312"/>
          <w:sz w:val="24"/>
          <w:highlight w:val="none"/>
        </w:rPr>
        <w:t xml:space="preserve">地  址：                           地  址： </w:t>
      </w:r>
    </w:p>
    <w:p>
      <w:pPr>
        <w:adjustRightInd w:val="0"/>
        <w:snapToGrid w:val="0"/>
        <w:spacing w:line="560" w:lineRule="exact"/>
        <w:rPr>
          <w:rFonts w:cs="仿宋_GB2312"/>
          <w:sz w:val="24"/>
          <w:highlight w:val="none"/>
        </w:rPr>
      </w:pPr>
      <w:r>
        <w:rPr>
          <w:rFonts w:hint="eastAsia" w:cs="仿宋_GB2312"/>
          <w:sz w:val="24"/>
          <w:highlight w:val="none"/>
        </w:rPr>
        <w:t>电  话：                           电  话：</w:t>
      </w:r>
    </w:p>
    <w:p>
      <w:pPr>
        <w:rPr>
          <w:highlight w:val="none"/>
        </w:rPr>
      </w:pPr>
      <w:r>
        <w:rPr>
          <w:rFonts w:hint="eastAsia" w:cs="仿宋_GB2312"/>
          <w:sz w:val="24"/>
          <w:highlight w:val="none"/>
        </w:rPr>
        <w:t>日  期：2023年  月  日             日  期：2023年  月  日</w:t>
      </w:r>
    </w:p>
    <w:p>
      <w:pPr>
        <w:rPr>
          <w:rFonts w:hint="eastAsia"/>
          <w:highlight w:val="none"/>
          <w:lang w:eastAsia="zh-CN"/>
        </w:rPr>
      </w:pPr>
    </w:p>
    <w:bookmarkEnd w:id="44"/>
    <w:p>
      <w:pPr>
        <w:rPr>
          <w:rFonts w:hint="eastAsia" w:asciiTheme="minorEastAsia" w:hAnsiTheme="minorEastAsia"/>
          <w:sz w:val="32"/>
          <w:highlight w:val="none"/>
        </w:rPr>
      </w:pPr>
      <w:r>
        <w:rPr>
          <w:rFonts w:hint="eastAsia" w:ascii="宋体" w:hAnsi="宋体"/>
          <w:sz w:val="32"/>
          <w:highlight w:val="none"/>
        </w:rPr>
        <w:br w:type="page"/>
      </w:r>
    </w:p>
    <w:p>
      <w:pPr>
        <w:pStyle w:val="8"/>
        <w:numPr>
          <w:ilvl w:val="0"/>
          <w:numId w:val="1"/>
        </w:numPr>
        <w:spacing w:before="0" w:after="0"/>
        <w:jc w:val="center"/>
        <w:rPr>
          <w:rFonts w:hint="eastAsia" w:asciiTheme="minorEastAsia" w:hAnsiTheme="minorEastAsia"/>
          <w:sz w:val="32"/>
          <w:highlight w:val="none"/>
          <w:lang w:eastAsia="zh-CN"/>
        </w:rPr>
      </w:pPr>
      <w:bookmarkStart w:id="45" w:name="_Toc1104"/>
      <w:r>
        <w:rPr>
          <w:rFonts w:hint="eastAsia" w:asciiTheme="minorEastAsia" w:hAnsiTheme="minorEastAsia"/>
          <w:sz w:val="32"/>
          <w:highlight w:val="none"/>
          <w:lang w:eastAsia="zh-CN"/>
        </w:rPr>
        <w:t>投标文件格式</w:t>
      </w:r>
      <w:bookmarkEnd w:id="45"/>
    </w:p>
    <w:p>
      <w:pPr>
        <w:jc w:val="left"/>
        <w:rPr>
          <w:rFonts w:asciiTheme="minorEastAsia" w:hAnsiTheme="minorEastAsia"/>
          <w:b/>
          <w:sz w:val="28"/>
          <w:highlight w:val="none"/>
        </w:rPr>
      </w:pPr>
      <w:r>
        <w:rPr>
          <w:rFonts w:hint="eastAsia" w:asciiTheme="minorEastAsia" w:hAnsiTheme="minorEastAsia"/>
          <w:b/>
          <w:sz w:val="28"/>
          <w:highlight w:val="none"/>
        </w:rPr>
        <w:t xml:space="preserve">封面格式                     </w:t>
      </w:r>
    </w:p>
    <w:p>
      <w:pPr>
        <w:jc w:val="left"/>
        <w:rPr>
          <w:rFonts w:asciiTheme="minorEastAsia" w:hAnsiTheme="minorEastAsia"/>
          <w:b/>
          <w:sz w:val="28"/>
          <w:highlight w:val="none"/>
        </w:rPr>
      </w:pPr>
    </w:p>
    <w:p>
      <w:pPr>
        <w:jc w:val="left"/>
        <w:rPr>
          <w:rFonts w:asciiTheme="minorEastAsia" w:hAnsiTheme="minorEastAsia"/>
          <w:b/>
          <w:sz w:val="28"/>
          <w:highlight w:val="none"/>
        </w:rPr>
      </w:pPr>
    </w:p>
    <w:p>
      <w:pPr>
        <w:jc w:val="center"/>
        <w:rPr>
          <w:rFonts w:asciiTheme="minorEastAsia" w:hAnsiTheme="minorEastAsia"/>
          <w:b/>
          <w:sz w:val="28"/>
          <w:highlight w:val="none"/>
        </w:rPr>
      </w:pPr>
      <w:r>
        <w:rPr>
          <w:rFonts w:hint="eastAsia" w:asciiTheme="minorEastAsia" w:hAnsiTheme="minorEastAsia"/>
          <w:b/>
          <w:sz w:val="28"/>
          <w:highlight w:val="none"/>
        </w:rPr>
        <w:t>（项目名称）</w:t>
      </w:r>
    </w:p>
    <w:p>
      <w:pPr>
        <w:jc w:val="left"/>
        <w:rPr>
          <w:rFonts w:asciiTheme="minorEastAsia" w:hAnsiTheme="minorEastAsia"/>
          <w:b/>
          <w:sz w:val="28"/>
          <w:highlight w:val="none"/>
        </w:rPr>
      </w:pPr>
    </w:p>
    <w:p>
      <w:pPr>
        <w:jc w:val="left"/>
        <w:rPr>
          <w:rFonts w:asciiTheme="minorEastAsia" w:hAnsiTheme="minorEastAsia"/>
          <w:b/>
          <w:sz w:val="28"/>
          <w:highlight w:val="none"/>
        </w:rPr>
      </w:pPr>
    </w:p>
    <w:p>
      <w:pPr>
        <w:jc w:val="left"/>
        <w:rPr>
          <w:rFonts w:asciiTheme="minorEastAsia" w:hAnsiTheme="minorEastAsia"/>
          <w:b/>
          <w:sz w:val="28"/>
          <w:highlight w:val="none"/>
        </w:rPr>
      </w:pPr>
    </w:p>
    <w:p>
      <w:pPr>
        <w:jc w:val="left"/>
        <w:rPr>
          <w:rFonts w:asciiTheme="minorEastAsia" w:hAnsiTheme="minorEastAsia"/>
          <w:b/>
          <w:sz w:val="28"/>
          <w:highlight w:val="none"/>
        </w:rPr>
      </w:pPr>
    </w:p>
    <w:p>
      <w:pPr>
        <w:jc w:val="left"/>
        <w:rPr>
          <w:rFonts w:asciiTheme="minorEastAsia" w:hAnsiTheme="minorEastAsia"/>
          <w:b/>
          <w:sz w:val="28"/>
          <w:highlight w:val="none"/>
        </w:rPr>
      </w:pPr>
    </w:p>
    <w:p>
      <w:pPr>
        <w:jc w:val="center"/>
        <w:rPr>
          <w:rFonts w:asciiTheme="minorEastAsia" w:hAnsiTheme="minorEastAsia"/>
          <w:b/>
          <w:sz w:val="44"/>
          <w:highlight w:val="none"/>
        </w:rPr>
      </w:pPr>
      <w:r>
        <w:rPr>
          <w:rFonts w:hint="eastAsia" w:asciiTheme="minorEastAsia" w:hAnsiTheme="minorEastAsia"/>
          <w:b/>
          <w:sz w:val="44"/>
          <w:highlight w:val="none"/>
        </w:rPr>
        <w:t>投  标 文 件</w:t>
      </w:r>
    </w:p>
    <w:p>
      <w:pPr>
        <w:jc w:val="center"/>
        <w:rPr>
          <w:rFonts w:asciiTheme="minorEastAsia" w:hAnsiTheme="minorEastAsia"/>
          <w:b/>
          <w:sz w:val="28"/>
          <w:highlight w:val="none"/>
        </w:rPr>
      </w:pPr>
      <w:r>
        <w:rPr>
          <w:rFonts w:hint="eastAsia" w:asciiTheme="minorEastAsia" w:hAnsiTheme="minorEastAsia"/>
          <w:b/>
          <w:sz w:val="28"/>
          <w:highlight w:val="none"/>
        </w:rPr>
        <w:t>编号：</w:t>
      </w:r>
    </w:p>
    <w:p>
      <w:pPr>
        <w:jc w:val="left"/>
        <w:rPr>
          <w:rFonts w:asciiTheme="minorEastAsia" w:hAnsiTheme="minorEastAsia"/>
          <w:b/>
          <w:sz w:val="28"/>
          <w:highlight w:val="none"/>
        </w:rPr>
      </w:pPr>
    </w:p>
    <w:p>
      <w:pPr>
        <w:jc w:val="left"/>
        <w:rPr>
          <w:rFonts w:asciiTheme="minorEastAsia" w:hAnsiTheme="minorEastAsia"/>
          <w:b/>
          <w:sz w:val="28"/>
          <w:highlight w:val="none"/>
        </w:rPr>
      </w:pPr>
    </w:p>
    <w:p>
      <w:pPr>
        <w:jc w:val="left"/>
        <w:rPr>
          <w:rFonts w:asciiTheme="minorEastAsia" w:hAnsiTheme="minorEastAsia"/>
          <w:b/>
          <w:sz w:val="28"/>
          <w:highlight w:val="none"/>
        </w:rPr>
      </w:pPr>
    </w:p>
    <w:p>
      <w:pPr>
        <w:jc w:val="left"/>
        <w:rPr>
          <w:rFonts w:asciiTheme="minorEastAsia" w:hAnsiTheme="minorEastAsia"/>
          <w:b/>
          <w:sz w:val="28"/>
          <w:highlight w:val="none"/>
        </w:rPr>
      </w:pPr>
    </w:p>
    <w:p>
      <w:pPr>
        <w:jc w:val="left"/>
        <w:rPr>
          <w:rFonts w:asciiTheme="minorEastAsia" w:hAnsiTheme="minorEastAsia"/>
          <w:b/>
          <w:sz w:val="28"/>
          <w:highlight w:val="none"/>
        </w:rPr>
      </w:pPr>
    </w:p>
    <w:p>
      <w:pPr>
        <w:jc w:val="left"/>
        <w:rPr>
          <w:rFonts w:asciiTheme="minorEastAsia" w:hAnsiTheme="minorEastAsia"/>
          <w:b/>
          <w:sz w:val="28"/>
          <w:highlight w:val="none"/>
        </w:rPr>
      </w:pPr>
    </w:p>
    <w:p>
      <w:pPr>
        <w:jc w:val="center"/>
        <w:rPr>
          <w:rFonts w:asciiTheme="minorEastAsia" w:hAnsiTheme="minorEastAsia"/>
          <w:b/>
          <w:sz w:val="28"/>
          <w:highlight w:val="none"/>
        </w:rPr>
      </w:pPr>
      <w:r>
        <w:rPr>
          <w:rFonts w:hint="eastAsia" w:asciiTheme="minorEastAsia" w:hAnsiTheme="minorEastAsia"/>
          <w:b/>
          <w:sz w:val="28"/>
          <w:highlight w:val="none"/>
        </w:rPr>
        <w:t>投标人：（企业电子签章或公章）</w:t>
      </w:r>
    </w:p>
    <w:p>
      <w:pPr>
        <w:jc w:val="center"/>
        <w:rPr>
          <w:rFonts w:asciiTheme="minorEastAsia" w:hAnsiTheme="minorEastAsia"/>
          <w:b/>
          <w:sz w:val="28"/>
          <w:highlight w:val="none"/>
        </w:rPr>
      </w:pPr>
      <w:r>
        <w:rPr>
          <w:rFonts w:hint="eastAsia" w:asciiTheme="minorEastAsia" w:hAnsiTheme="minorEastAsia"/>
          <w:b/>
          <w:sz w:val="28"/>
          <w:highlight w:val="none"/>
        </w:rPr>
        <w:t>法定代表人或其委托代理人：（个人电子签章或签字）</w:t>
      </w:r>
    </w:p>
    <w:p>
      <w:pPr>
        <w:jc w:val="center"/>
        <w:rPr>
          <w:rFonts w:asciiTheme="minorEastAsia" w:hAnsiTheme="minorEastAsia"/>
          <w:b/>
          <w:sz w:val="28"/>
          <w:highlight w:val="none"/>
        </w:rPr>
      </w:pPr>
      <w:r>
        <w:rPr>
          <w:rFonts w:hint="eastAsia" w:asciiTheme="minorEastAsia" w:hAnsiTheme="minorEastAsia"/>
          <w:b/>
          <w:sz w:val="28"/>
          <w:highlight w:val="none"/>
        </w:rPr>
        <w:t>年         月</w:t>
      </w:r>
    </w:p>
    <w:p>
      <w:pPr>
        <w:jc w:val="center"/>
        <w:rPr>
          <w:rFonts w:asciiTheme="minorEastAsia" w:hAnsiTheme="minorEastAsia"/>
          <w:b/>
          <w:sz w:val="28"/>
          <w:highlight w:val="none"/>
        </w:rPr>
      </w:pPr>
    </w:p>
    <w:p>
      <w:pPr>
        <w:jc w:val="center"/>
        <w:rPr>
          <w:rFonts w:asciiTheme="minorEastAsia" w:hAnsiTheme="minorEastAsia"/>
          <w:b/>
          <w:sz w:val="28"/>
          <w:highlight w:val="none"/>
        </w:rPr>
      </w:pPr>
    </w:p>
    <w:p>
      <w:pPr>
        <w:widowControl/>
        <w:jc w:val="left"/>
        <w:rPr>
          <w:rFonts w:asciiTheme="minorEastAsia" w:hAnsiTheme="minorEastAsia"/>
          <w:highlight w:val="none"/>
        </w:rPr>
      </w:pPr>
    </w:p>
    <w:p>
      <w:pPr>
        <w:pStyle w:val="24"/>
        <w:spacing w:before="0" w:after="0"/>
        <w:rPr>
          <w:sz w:val="28"/>
          <w:highlight w:val="none"/>
        </w:rPr>
      </w:pPr>
      <w:bookmarkStart w:id="46" w:name="_Toc25792"/>
      <w:r>
        <w:rPr>
          <w:rFonts w:hint="eastAsia"/>
          <w:sz w:val="28"/>
          <w:highlight w:val="none"/>
        </w:rPr>
        <w:t>第一部分资格证明文件</w:t>
      </w:r>
      <w:bookmarkEnd w:id="46"/>
    </w:p>
    <w:p>
      <w:pPr>
        <w:widowControl/>
        <w:jc w:val="left"/>
        <w:rPr>
          <w:rFonts w:asciiTheme="minorEastAsia" w:hAnsiTheme="minorEastAsia"/>
          <w:highlight w:val="none"/>
        </w:rPr>
      </w:pPr>
      <w:r>
        <w:rPr>
          <w:rFonts w:asciiTheme="minorEastAsia" w:hAnsiTheme="minorEastAsia"/>
          <w:highlight w:val="none"/>
        </w:rPr>
        <w:br w:type="page"/>
      </w:r>
    </w:p>
    <w:p>
      <w:pPr>
        <w:pStyle w:val="10"/>
        <w:spacing w:before="0" w:after="0"/>
        <w:jc w:val="center"/>
        <w:rPr>
          <w:sz w:val="24"/>
          <w:highlight w:val="none"/>
        </w:rPr>
      </w:pPr>
      <w:bookmarkStart w:id="47" w:name="_Toc28055"/>
      <w:r>
        <w:rPr>
          <w:rFonts w:hint="eastAsia"/>
          <w:sz w:val="24"/>
          <w:highlight w:val="none"/>
        </w:rPr>
        <w:t>一、法定代表人授权委托书</w:t>
      </w:r>
      <w:bookmarkEnd w:id="47"/>
    </w:p>
    <w:p>
      <w:pPr>
        <w:spacing w:line="480" w:lineRule="auto"/>
        <w:rPr>
          <w:rFonts w:asciiTheme="minorEastAsia" w:hAnsiTheme="minorEastAsia"/>
          <w:sz w:val="24"/>
          <w:highlight w:val="none"/>
        </w:rPr>
      </w:pPr>
      <w:r>
        <w:rPr>
          <w:rFonts w:hint="eastAsia" w:asciiTheme="minorEastAsia" w:hAnsiTheme="minorEastAsia"/>
          <w:sz w:val="24"/>
          <w:highlight w:val="none"/>
        </w:rPr>
        <w:t xml:space="preserve">    本授权书声明：注册于</w:t>
      </w:r>
      <w:r>
        <w:rPr>
          <w:rFonts w:hint="eastAsia" w:asciiTheme="minorEastAsia" w:hAnsiTheme="minorEastAsia"/>
          <w:sz w:val="24"/>
          <w:highlight w:val="none"/>
          <w:u w:val="single"/>
        </w:rPr>
        <w:t>（注册地址名称）</w:t>
      </w:r>
      <w:r>
        <w:rPr>
          <w:rFonts w:hint="eastAsia" w:asciiTheme="minorEastAsia" w:hAnsiTheme="minorEastAsia"/>
          <w:sz w:val="24"/>
          <w:highlight w:val="none"/>
        </w:rPr>
        <w:t>的（</w:t>
      </w:r>
      <w:r>
        <w:rPr>
          <w:rFonts w:hint="eastAsia" w:asciiTheme="minorEastAsia" w:hAnsiTheme="minorEastAsia"/>
          <w:sz w:val="24"/>
          <w:highlight w:val="none"/>
          <w:u w:val="single"/>
        </w:rPr>
        <w:t>投标人全名）</w:t>
      </w:r>
      <w:r>
        <w:rPr>
          <w:rFonts w:hint="eastAsia" w:asciiTheme="minorEastAsia" w:hAnsiTheme="minorEastAsia"/>
          <w:sz w:val="24"/>
          <w:highlight w:val="none"/>
        </w:rPr>
        <w:t>的在下面签字的             （</w:t>
      </w:r>
      <w:r>
        <w:rPr>
          <w:rFonts w:hint="eastAsia" w:asciiTheme="minorEastAsia" w:hAnsiTheme="minorEastAsia"/>
          <w:sz w:val="24"/>
          <w:highlight w:val="none"/>
          <w:u w:val="single"/>
        </w:rPr>
        <w:t>法定代表人姓名、职务）</w:t>
      </w:r>
      <w:r>
        <w:rPr>
          <w:rFonts w:hint="eastAsia" w:asciiTheme="minorEastAsia" w:hAnsiTheme="minorEastAsia"/>
          <w:sz w:val="24"/>
          <w:highlight w:val="none"/>
        </w:rPr>
        <w:t>代表本公司授权</w:t>
      </w:r>
      <w:r>
        <w:rPr>
          <w:rFonts w:hint="eastAsia" w:asciiTheme="minorEastAsia" w:hAnsiTheme="minorEastAsia"/>
          <w:sz w:val="24"/>
          <w:highlight w:val="none"/>
          <w:u w:val="single"/>
        </w:rPr>
        <w:t>（单位名称）</w:t>
      </w:r>
      <w:r>
        <w:rPr>
          <w:rFonts w:hint="eastAsia" w:asciiTheme="minorEastAsia" w:hAnsiTheme="minorEastAsia"/>
          <w:sz w:val="24"/>
          <w:highlight w:val="none"/>
        </w:rPr>
        <w:t xml:space="preserve">的在下面签字的            </w:t>
      </w:r>
      <w:r>
        <w:rPr>
          <w:rFonts w:hint="eastAsia" w:asciiTheme="minorEastAsia" w:hAnsiTheme="minorEastAsia"/>
          <w:sz w:val="24"/>
          <w:highlight w:val="none"/>
          <w:u w:val="single"/>
        </w:rPr>
        <w:t>（被授权人的姓名、职务）</w:t>
      </w:r>
      <w:r>
        <w:rPr>
          <w:rFonts w:hint="eastAsia" w:asciiTheme="minorEastAsia" w:hAnsiTheme="minorEastAsia"/>
          <w:sz w:val="24"/>
          <w:highlight w:val="none"/>
        </w:rPr>
        <w:t xml:space="preserve">为本公司的合法代理人，就招标编号为              </w:t>
      </w:r>
      <w:r>
        <w:rPr>
          <w:rFonts w:hint="eastAsia" w:asciiTheme="minorEastAsia" w:hAnsiTheme="minorEastAsia"/>
          <w:sz w:val="24"/>
          <w:highlight w:val="none"/>
          <w:u w:val="single"/>
        </w:rPr>
        <w:t>（项目编号）（项目名称）</w:t>
      </w:r>
      <w:r>
        <w:rPr>
          <w:rFonts w:hint="eastAsia" w:asciiTheme="minorEastAsia" w:hAnsiTheme="minorEastAsia"/>
          <w:sz w:val="24"/>
          <w:highlight w:val="none"/>
        </w:rPr>
        <w:t>的投标及合同执行，以本公司名义处理一切与之有关的事务。</w:t>
      </w:r>
    </w:p>
    <w:p>
      <w:pPr>
        <w:spacing w:line="480" w:lineRule="auto"/>
        <w:rPr>
          <w:rFonts w:asciiTheme="minorEastAsia" w:hAnsiTheme="minorEastAsia"/>
          <w:sz w:val="24"/>
          <w:highlight w:val="none"/>
        </w:rPr>
      </w:pPr>
      <w:r>
        <w:rPr>
          <w:rFonts w:hint="eastAsia" w:asciiTheme="minorEastAsia" w:hAnsiTheme="minorEastAsia"/>
          <w:sz w:val="24"/>
          <w:highlight w:val="none"/>
        </w:rPr>
        <w:t xml:space="preserve">    本授权书于</w:t>
      </w:r>
      <w:r>
        <w:rPr>
          <w:rFonts w:hint="eastAsia" w:asciiTheme="minorEastAsia" w:hAnsiTheme="minorEastAsia"/>
          <w:sz w:val="24"/>
          <w:highlight w:val="none"/>
          <w:u w:val="single"/>
        </w:rPr>
        <w:t xml:space="preserve">     </w:t>
      </w:r>
      <w:r>
        <w:rPr>
          <w:rFonts w:hint="eastAsia" w:asciiTheme="minorEastAsia" w:hAnsiTheme="minorEastAsia"/>
          <w:sz w:val="24"/>
          <w:highlight w:val="none"/>
        </w:rPr>
        <w:t>年</w:t>
      </w:r>
      <w:r>
        <w:rPr>
          <w:rFonts w:hint="eastAsia" w:asciiTheme="minorEastAsia" w:hAnsiTheme="minorEastAsia"/>
          <w:sz w:val="24"/>
          <w:highlight w:val="none"/>
          <w:u w:val="single"/>
        </w:rPr>
        <w:t xml:space="preserve">     </w:t>
      </w:r>
      <w:r>
        <w:rPr>
          <w:rFonts w:hint="eastAsia" w:asciiTheme="minorEastAsia" w:hAnsiTheme="minorEastAsia"/>
          <w:sz w:val="24"/>
          <w:highlight w:val="none"/>
        </w:rPr>
        <w:t>月</w:t>
      </w:r>
      <w:r>
        <w:rPr>
          <w:rFonts w:hint="eastAsia" w:asciiTheme="minorEastAsia" w:hAnsiTheme="minorEastAsia"/>
          <w:sz w:val="24"/>
          <w:highlight w:val="none"/>
          <w:u w:val="single"/>
        </w:rPr>
        <w:t xml:space="preserve">     </w:t>
      </w:r>
      <w:r>
        <w:rPr>
          <w:rFonts w:hint="eastAsia" w:asciiTheme="minorEastAsia" w:hAnsiTheme="minorEastAsia"/>
          <w:sz w:val="24"/>
          <w:highlight w:val="none"/>
        </w:rPr>
        <w:t>日签字生效，特此声明。</w:t>
      </w:r>
    </w:p>
    <w:tbl>
      <w:tblPr>
        <w:tblStyle w:val="28"/>
        <w:tblW w:w="89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4"/>
        <w:gridCol w:w="4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6" w:hRule="atLeast"/>
        </w:trPr>
        <w:tc>
          <w:tcPr>
            <w:tcW w:w="4484" w:type="dxa"/>
            <w:vAlign w:val="center"/>
          </w:tcPr>
          <w:p>
            <w:pPr>
              <w:jc w:val="center"/>
              <w:rPr>
                <w:rFonts w:ascii="宋体"/>
                <w:highlight w:val="none"/>
              </w:rPr>
            </w:pPr>
            <w:r>
              <w:rPr>
                <w:rFonts w:hint="eastAsia" w:ascii="宋体"/>
                <w:highlight w:val="none"/>
              </w:rPr>
              <w:t>法定代表人身份证复印件（正面）</w:t>
            </w:r>
          </w:p>
        </w:tc>
        <w:tc>
          <w:tcPr>
            <w:tcW w:w="4485" w:type="dxa"/>
            <w:vAlign w:val="center"/>
          </w:tcPr>
          <w:p>
            <w:pPr>
              <w:jc w:val="center"/>
              <w:rPr>
                <w:rFonts w:ascii="宋体"/>
                <w:highlight w:val="none"/>
              </w:rPr>
            </w:pPr>
            <w:r>
              <w:rPr>
                <w:rFonts w:hint="eastAsia" w:ascii="宋体"/>
                <w:highlight w:val="none"/>
              </w:rPr>
              <w:t>法定代表人身份证复印件（反面）</w:t>
            </w:r>
          </w:p>
        </w:tc>
      </w:tr>
    </w:tbl>
    <w:p>
      <w:pPr>
        <w:jc w:val="center"/>
        <w:rPr>
          <w:rFonts w:ascii="宋体"/>
          <w:highlight w:val="none"/>
        </w:rPr>
      </w:pPr>
    </w:p>
    <w:tbl>
      <w:tblPr>
        <w:tblStyle w:val="28"/>
        <w:tblW w:w="89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91"/>
        <w:gridCol w:w="4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trPr>
        <w:tc>
          <w:tcPr>
            <w:tcW w:w="4491" w:type="dxa"/>
            <w:vAlign w:val="center"/>
          </w:tcPr>
          <w:p>
            <w:pPr>
              <w:jc w:val="center"/>
              <w:rPr>
                <w:highlight w:val="none"/>
              </w:rPr>
            </w:pPr>
            <w:bookmarkStart w:id="48" w:name="_资格证明文件"/>
            <w:bookmarkEnd w:id="48"/>
            <w:bookmarkStart w:id="49" w:name="_Toc364329026"/>
            <w:r>
              <w:rPr>
                <w:rFonts w:hint="eastAsia"/>
                <w:highlight w:val="none"/>
              </w:rPr>
              <w:t>法定代表人授权代表身份证（正面）</w:t>
            </w:r>
            <w:bookmarkEnd w:id="49"/>
          </w:p>
        </w:tc>
        <w:tc>
          <w:tcPr>
            <w:tcW w:w="4492" w:type="dxa"/>
            <w:vAlign w:val="center"/>
          </w:tcPr>
          <w:p>
            <w:pPr>
              <w:jc w:val="center"/>
              <w:rPr>
                <w:highlight w:val="none"/>
              </w:rPr>
            </w:pPr>
            <w:bookmarkStart w:id="50" w:name="_Toc364329027"/>
            <w:r>
              <w:rPr>
                <w:rFonts w:hint="eastAsia"/>
                <w:highlight w:val="none"/>
              </w:rPr>
              <w:t>法定代表人授权代表身份证（</w:t>
            </w:r>
            <w:r>
              <w:rPr>
                <w:rFonts w:hint="eastAsia" w:ascii="宋体"/>
                <w:highlight w:val="none"/>
              </w:rPr>
              <w:t>反面</w:t>
            </w:r>
            <w:r>
              <w:rPr>
                <w:rFonts w:hint="eastAsia"/>
                <w:highlight w:val="none"/>
              </w:rPr>
              <w:t>）</w:t>
            </w:r>
            <w:bookmarkEnd w:id="50"/>
          </w:p>
        </w:tc>
      </w:tr>
    </w:tbl>
    <w:p>
      <w:pPr>
        <w:pStyle w:val="3"/>
        <w:spacing w:line="480" w:lineRule="auto"/>
        <w:ind w:firstLine="424" w:firstLineChars="177"/>
        <w:rPr>
          <w:rFonts w:asciiTheme="minorEastAsia" w:hAnsiTheme="minorEastAsia" w:eastAsiaTheme="minorEastAsia"/>
          <w:sz w:val="24"/>
          <w:highlight w:val="none"/>
        </w:rPr>
      </w:pPr>
      <w:r>
        <w:rPr>
          <w:rFonts w:hint="eastAsia" w:asciiTheme="minorEastAsia" w:hAnsiTheme="minorEastAsia" w:eastAsiaTheme="minorEastAsia"/>
          <w:sz w:val="24"/>
          <w:highlight w:val="none"/>
        </w:rPr>
        <w:t>法定代表人（个人电子签章或签字）：</w:t>
      </w:r>
    </w:p>
    <w:p>
      <w:pPr>
        <w:pStyle w:val="3"/>
        <w:spacing w:line="480" w:lineRule="auto"/>
        <w:ind w:firstLine="424" w:firstLineChars="177"/>
        <w:rPr>
          <w:rFonts w:asciiTheme="minorEastAsia" w:hAnsiTheme="minorEastAsia" w:eastAsiaTheme="minorEastAsia"/>
          <w:sz w:val="24"/>
          <w:highlight w:val="none"/>
        </w:rPr>
      </w:pPr>
      <w:r>
        <w:rPr>
          <w:rFonts w:hint="eastAsia" w:asciiTheme="minorEastAsia" w:hAnsiTheme="minorEastAsia" w:eastAsiaTheme="minorEastAsia"/>
          <w:sz w:val="24"/>
          <w:highlight w:val="none"/>
        </w:rPr>
        <w:t>授权代表（个人电子签章或签字）：</w:t>
      </w:r>
    </w:p>
    <w:p>
      <w:pPr>
        <w:pStyle w:val="3"/>
        <w:spacing w:line="480" w:lineRule="auto"/>
        <w:ind w:firstLine="424" w:firstLineChars="177"/>
        <w:rPr>
          <w:rFonts w:asciiTheme="minorEastAsia" w:hAnsiTheme="minorEastAsia" w:eastAsiaTheme="minorEastAsia"/>
          <w:sz w:val="24"/>
          <w:highlight w:val="none"/>
        </w:rPr>
      </w:pPr>
      <w:r>
        <w:rPr>
          <w:rFonts w:hint="eastAsia" w:asciiTheme="minorEastAsia" w:hAnsiTheme="minorEastAsia" w:eastAsiaTheme="minorEastAsia"/>
          <w:sz w:val="24"/>
          <w:highlight w:val="none"/>
        </w:rPr>
        <w:t>投标人名称（企业电子签章或公章）：</w:t>
      </w:r>
    </w:p>
    <w:p>
      <w:pPr>
        <w:pStyle w:val="3"/>
        <w:spacing w:line="480" w:lineRule="auto"/>
        <w:ind w:firstLine="424" w:firstLineChars="177"/>
        <w:rPr>
          <w:rFonts w:asciiTheme="minorEastAsia" w:hAnsiTheme="minorEastAsia" w:eastAsiaTheme="minorEastAsia"/>
          <w:sz w:val="24"/>
          <w:highlight w:val="none"/>
        </w:rPr>
      </w:pPr>
      <w:r>
        <w:rPr>
          <w:rFonts w:hint="eastAsia" w:asciiTheme="minorEastAsia" w:hAnsiTheme="minorEastAsia" w:eastAsiaTheme="minorEastAsia"/>
          <w:sz w:val="24"/>
          <w:highlight w:val="none"/>
        </w:rPr>
        <w:t>公司地址：</w:t>
      </w:r>
    </w:p>
    <w:p>
      <w:pPr>
        <w:rPr>
          <w:sz w:val="24"/>
          <w:highlight w:val="none"/>
        </w:rPr>
      </w:pPr>
      <w:r>
        <w:rPr>
          <w:rFonts w:hint="eastAsia"/>
          <w:sz w:val="24"/>
          <w:highlight w:val="none"/>
        </w:rPr>
        <w:br w:type="page"/>
      </w:r>
    </w:p>
    <w:p>
      <w:pPr>
        <w:pStyle w:val="10"/>
        <w:spacing w:before="0" w:after="0"/>
        <w:jc w:val="center"/>
        <w:rPr>
          <w:rFonts w:hint="eastAsia"/>
          <w:sz w:val="24"/>
          <w:highlight w:val="none"/>
        </w:rPr>
      </w:pPr>
      <w:bookmarkStart w:id="51" w:name="_Toc30536"/>
      <w:r>
        <w:rPr>
          <w:rFonts w:hint="eastAsia"/>
          <w:sz w:val="24"/>
          <w:highlight w:val="none"/>
        </w:rPr>
        <w:t>二、资格承诺声明函</w:t>
      </w:r>
      <w:bookmarkEnd w:id="51"/>
    </w:p>
    <w:p>
      <w:pPr>
        <w:jc w:val="center"/>
        <w:textAlignment w:val="baseline"/>
        <w:rPr>
          <w:sz w:val="24"/>
          <w:highlight w:val="none"/>
        </w:rPr>
      </w:pPr>
    </w:p>
    <w:p>
      <w:pPr>
        <w:adjustRightInd w:val="0"/>
        <w:snapToGrid w:val="0"/>
        <w:spacing w:line="500" w:lineRule="exact"/>
        <w:contextualSpacing/>
        <w:textAlignment w:val="baseline"/>
        <w:rPr>
          <w:rFonts w:cs="仿宋_GB2312" w:asciiTheme="minorEastAsia" w:hAnsiTheme="minorEastAsia"/>
          <w:kern w:val="0"/>
          <w:sz w:val="24"/>
          <w:szCs w:val="24"/>
          <w:highlight w:val="none"/>
        </w:rPr>
      </w:pPr>
      <w:r>
        <w:rPr>
          <w:rFonts w:hint="eastAsia" w:cs="仿宋_GB2312" w:asciiTheme="minorEastAsia" w:hAnsiTheme="minorEastAsia"/>
          <w:kern w:val="0"/>
          <w:sz w:val="24"/>
          <w:szCs w:val="24"/>
          <w:highlight w:val="none"/>
          <w:u w:val="single"/>
        </w:rPr>
        <w:t>致采购人及采购代理机构</w:t>
      </w:r>
      <w:r>
        <w:rPr>
          <w:rFonts w:hint="eastAsia" w:cs="仿宋_GB2312" w:asciiTheme="minorEastAsia" w:hAnsiTheme="minorEastAsia"/>
          <w:kern w:val="0"/>
          <w:sz w:val="24"/>
          <w:szCs w:val="24"/>
          <w:highlight w:val="none"/>
        </w:rPr>
        <w:t>：</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highlight w:val="none"/>
        </w:rPr>
      </w:pPr>
      <w:r>
        <w:rPr>
          <w:rFonts w:hint="eastAsia" w:cs="仿宋_GB2312" w:asciiTheme="minorEastAsia" w:hAnsiTheme="minorEastAsia"/>
          <w:sz w:val="24"/>
          <w:szCs w:val="24"/>
          <w:highlight w:val="none"/>
        </w:rPr>
        <w:t>我单位自愿参加本次政府采购活动，严格遵守《中华人民共和国政府采购法》及相关法律法规，依法诚信经营，依法遵守本次政府采购活动的各项规定。我单位郑重承诺</w:t>
      </w:r>
      <w:r>
        <w:rPr>
          <w:rFonts w:hint="eastAsia" w:cs="仿宋_GB2312" w:asciiTheme="minorEastAsia" w:hAnsiTheme="minorEastAsia"/>
          <w:kern w:val="0"/>
          <w:sz w:val="24"/>
          <w:szCs w:val="24"/>
          <w:highlight w:val="none"/>
        </w:rPr>
        <w:t>声明如下：</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highlight w:val="none"/>
        </w:rPr>
      </w:pPr>
      <w:r>
        <w:rPr>
          <w:rFonts w:hint="eastAsia" w:cs="仿宋_GB2312" w:asciiTheme="minorEastAsia" w:hAnsiTheme="minorEastAsia"/>
          <w:kern w:val="0"/>
          <w:sz w:val="24"/>
          <w:szCs w:val="24"/>
          <w:highlight w:val="none"/>
        </w:rPr>
        <w:t>一、我单位全称为</w:t>
      </w:r>
      <w:r>
        <w:rPr>
          <w:rFonts w:hint="eastAsia" w:cs="仿宋_GB2312" w:asciiTheme="minorEastAsia" w:hAnsiTheme="minorEastAsia"/>
          <w:kern w:val="0"/>
          <w:sz w:val="24"/>
          <w:szCs w:val="24"/>
          <w:highlight w:val="none"/>
          <w:u w:val="single"/>
        </w:rPr>
        <w:t xml:space="preserve">              ，</w:t>
      </w:r>
      <w:r>
        <w:rPr>
          <w:rFonts w:hint="eastAsia" w:cs="仿宋_GB2312" w:asciiTheme="minorEastAsia" w:hAnsiTheme="minorEastAsia"/>
          <w:kern w:val="0"/>
          <w:sz w:val="24"/>
          <w:szCs w:val="24"/>
          <w:highlight w:val="none"/>
        </w:rPr>
        <w:t>注册地点为</w:t>
      </w:r>
      <w:r>
        <w:rPr>
          <w:rFonts w:hint="eastAsia" w:cs="仿宋_GB2312" w:asciiTheme="minorEastAsia" w:hAnsiTheme="minorEastAsia"/>
          <w:kern w:val="0"/>
          <w:sz w:val="24"/>
          <w:szCs w:val="24"/>
          <w:highlight w:val="none"/>
          <w:u w:val="single"/>
        </w:rPr>
        <w:t xml:space="preserve">                     ，</w:t>
      </w:r>
      <w:r>
        <w:rPr>
          <w:rFonts w:hint="eastAsia" w:cs="仿宋_GB2312" w:asciiTheme="minorEastAsia" w:hAnsiTheme="minorEastAsia"/>
          <w:kern w:val="0"/>
          <w:sz w:val="24"/>
          <w:szCs w:val="24"/>
          <w:highlight w:val="none"/>
        </w:rPr>
        <w:t>统一社会信用代码为</w:t>
      </w:r>
      <w:r>
        <w:rPr>
          <w:rFonts w:hint="eastAsia" w:cs="仿宋_GB2312" w:asciiTheme="minorEastAsia" w:hAnsiTheme="minorEastAsia"/>
          <w:kern w:val="0"/>
          <w:sz w:val="24"/>
          <w:szCs w:val="24"/>
          <w:highlight w:val="none"/>
          <w:u w:val="single"/>
        </w:rPr>
        <w:t xml:space="preserve">                   ，</w:t>
      </w:r>
      <w:r>
        <w:rPr>
          <w:rFonts w:hint="eastAsia" w:cs="仿宋_GB2312" w:asciiTheme="minorEastAsia" w:hAnsiTheme="minorEastAsia"/>
          <w:kern w:val="0"/>
          <w:sz w:val="24"/>
          <w:szCs w:val="24"/>
          <w:highlight w:val="none"/>
        </w:rPr>
        <w:t>法定代表人（单位负责人）为</w:t>
      </w:r>
      <w:r>
        <w:rPr>
          <w:rFonts w:hint="eastAsia" w:cs="仿宋_GB2312" w:asciiTheme="minorEastAsia" w:hAnsiTheme="minorEastAsia"/>
          <w:kern w:val="0"/>
          <w:sz w:val="24"/>
          <w:szCs w:val="24"/>
          <w:highlight w:val="none"/>
          <w:u w:val="single"/>
        </w:rPr>
        <w:t xml:space="preserve">           ，</w:t>
      </w:r>
      <w:r>
        <w:rPr>
          <w:rFonts w:hint="eastAsia" w:cs="仿宋_GB2312" w:asciiTheme="minorEastAsia" w:hAnsiTheme="minorEastAsia"/>
          <w:kern w:val="0"/>
          <w:sz w:val="24"/>
          <w:szCs w:val="24"/>
          <w:highlight w:val="none"/>
        </w:rPr>
        <w:t>联系方式为</w:t>
      </w:r>
      <w:r>
        <w:rPr>
          <w:rFonts w:hint="eastAsia" w:cs="仿宋_GB2312" w:asciiTheme="minorEastAsia" w:hAnsiTheme="minorEastAsia"/>
          <w:kern w:val="0"/>
          <w:sz w:val="24"/>
          <w:szCs w:val="24"/>
          <w:highlight w:val="none"/>
          <w:u w:val="single"/>
        </w:rPr>
        <w:t xml:space="preserve">                 。</w:t>
      </w:r>
      <w:r>
        <w:rPr>
          <w:rFonts w:hint="eastAsia" w:cs="仿宋_GB2312" w:asciiTheme="minorEastAsia" w:hAnsiTheme="minorEastAsia"/>
          <w:kern w:val="0"/>
          <w:sz w:val="24"/>
          <w:szCs w:val="24"/>
          <w:highlight w:val="none"/>
        </w:rPr>
        <w:t xml:space="preserve">      </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highlight w:val="none"/>
        </w:rPr>
      </w:pPr>
      <w:r>
        <w:rPr>
          <w:rFonts w:hint="eastAsia" w:cs="仿宋_GB2312" w:asciiTheme="minorEastAsia" w:hAnsiTheme="minorEastAsia"/>
          <w:kern w:val="0"/>
          <w:sz w:val="24"/>
          <w:szCs w:val="24"/>
          <w:highlight w:val="none"/>
        </w:rPr>
        <w:t>二、我单位具有独立承担民事责任的能力。</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highlight w:val="none"/>
        </w:rPr>
      </w:pPr>
      <w:r>
        <w:rPr>
          <w:rFonts w:hint="eastAsia" w:cs="仿宋_GB2312" w:asciiTheme="minorEastAsia" w:hAnsiTheme="minorEastAsia"/>
          <w:kern w:val="0"/>
          <w:sz w:val="24"/>
          <w:szCs w:val="24"/>
          <w:highlight w:val="none"/>
        </w:rPr>
        <w:t>三、我单位具有良好的商业信誉和健全的财务会计制度。</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highlight w:val="none"/>
        </w:rPr>
      </w:pPr>
      <w:r>
        <w:rPr>
          <w:rFonts w:hint="eastAsia" w:cs="仿宋_GB2312" w:asciiTheme="minorEastAsia" w:hAnsiTheme="minorEastAsia"/>
          <w:kern w:val="0"/>
          <w:sz w:val="24"/>
          <w:szCs w:val="24"/>
          <w:highlight w:val="none"/>
        </w:rPr>
        <w:t>四、我单位具有履行合同所必需的设备和专业技术能力。</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highlight w:val="none"/>
        </w:rPr>
      </w:pPr>
      <w:r>
        <w:rPr>
          <w:rFonts w:hint="eastAsia" w:cs="仿宋_GB2312" w:asciiTheme="minorEastAsia" w:hAnsiTheme="minorEastAsia"/>
          <w:kern w:val="0"/>
          <w:sz w:val="24"/>
          <w:szCs w:val="24"/>
          <w:highlight w:val="none"/>
        </w:rPr>
        <w:t>五、我单位有依法缴纳税收和社会保障资金的良好记录。</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highlight w:val="none"/>
        </w:rPr>
      </w:pPr>
      <w:r>
        <w:rPr>
          <w:rFonts w:hint="eastAsia" w:cs="仿宋_GB2312" w:asciiTheme="minorEastAsia" w:hAnsiTheme="minorEastAsia"/>
          <w:kern w:val="0"/>
          <w:sz w:val="24"/>
          <w:szCs w:val="24"/>
          <w:highlight w:val="none"/>
        </w:rPr>
        <w:t>六、我单位参加政府采购活动前三年内，在经营活动中没有重大违法记录。（重大违法记录，是指供应商因违法经营受到刑事处罚或者责令停产停业、吊销许可证或者执照、较大数额罚款等行政处罚。）</w:t>
      </w:r>
    </w:p>
    <w:p>
      <w:pPr>
        <w:adjustRightInd w:val="0"/>
        <w:snapToGrid w:val="0"/>
        <w:spacing w:line="500" w:lineRule="exact"/>
        <w:ind w:firstLine="480" w:firstLineChars="200"/>
        <w:contextualSpacing/>
        <w:textAlignment w:val="baseline"/>
        <w:rPr>
          <w:rFonts w:cs="仿宋_GB2312" w:asciiTheme="minorEastAsia" w:hAnsiTheme="minorEastAsia"/>
          <w:kern w:val="0"/>
          <w:sz w:val="24"/>
          <w:szCs w:val="24"/>
          <w:highlight w:val="none"/>
        </w:rPr>
      </w:pPr>
      <w:r>
        <w:rPr>
          <w:rFonts w:hint="eastAsia" w:cs="仿宋_GB2312" w:asciiTheme="minorEastAsia" w:hAnsiTheme="minorEastAsia"/>
          <w:kern w:val="0"/>
          <w:sz w:val="24"/>
          <w:szCs w:val="24"/>
          <w:highlight w:val="none"/>
        </w:rPr>
        <w:t>七、我单位具备法律、行政法规规定的其他条件。</w:t>
      </w:r>
    </w:p>
    <w:p>
      <w:pPr>
        <w:adjustRightInd w:val="0"/>
        <w:snapToGrid w:val="0"/>
        <w:spacing w:line="500" w:lineRule="exact"/>
        <w:ind w:firstLine="480" w:firstLineChars="200"/>
        <w:contextualSpacing/>
        <w:textAlignment w:val="baseline"/>
        <w:rPr>
          <w:rFonts w:cs="Times New Roman" w:asciiTheme="minorEastAsia" w:hAnsiTheme="minorEastAsia"/>
          <w:kern w:val="0"/>
          <w:sz w:val="24"/>
          <w:szCs w:val="24"/>
          <w:highlight w:val="none"/>
        </w:rPr>
      </w:pPr>
      <w:r>
        <w:rPr>
          <w:rFonts w:hint="eastAsia" w:cs="仿宋_GB2312" w:asciiTheme="minorEastAsia" w:hAnsiTheme="minorEastAsia"/>
          <w:kern w:val="0"/>
          <w:sz w:val="24"/>
          <w:szCs w:val="24"/>
          <w:highlight w:val="none"/>
        </w:rPr>
        <w:t>我单位保证上述声明的事项都是真实的，符合《中华人民共和国</w:t>
      </w:r>
      <w:r>
        <w:rPr>
          <w:rFonts w:hint="eastAsia" w:cs="Times New Roman" w:asciiTheme="minorEastAsia" w:hAnsiTheme="minorEastAsia"/>
          <w:kern w:val="0"/>
          <w:sz w:val="24"/>
          <w:szCs w:val="24"/>
          <w:highlight w:val="none"/>
        </w:rPr>
        <w:t>政府采购法》规定的供应商资格条件。如有弄虚作假，</w:t>
      </w:r>
      <w:r>
        <w:rPr>
          <w:rFonts w:cs="Times New Roman" w:asciiTheme="minorEastAsia" w:hAnsiTheme="minorEastAsia"/>
          <w:kern w:val="0"/>
          <w:sz w:val="24"/>
          <w:szCs w:val="24"/>
          <w:highlight w:val="none"/>
        </w:rPr>
        <w:t>我单位愿意</w:t>
      </w:r>
      <w:r>
        <w:rPr>
          <w:rFonts w:hint="eastAsia" w:cs="Times New Roman" w:asciiTheme="minorEastAsia" w:hAnsiTheme="minorEastAsia"/>
          <w:kern w:val="0"/>
          <w:sz w:val="24"/>
          <w:szCs w:val="24"/>
          <w:highlight w:val="none"/>
        </w:rPr>
        <w:t>按照“</w:t>
      </w:r>
      <w:r>
        <w:rPr>
          <w:rFonts w:hint="eastAsia" w:cs="仿宋_GB2312" w:asciiTheme="minorEastAsia" w:hAnsiTheme="minorEastAsia"/>
          <w:sz w:val="24"/>
          <w:szCs w:val="24"/>
          <w:highlight w:val="none"/>
        </w:rPr>
        <w:t>提供虚假材料谋取中标、成交</w:t>
      </w:r>
      <w:r>
        <w:rPr>
          <w:rFonts w:hint="eastAsia" w:cs="Times New Roman" w:asciiTheme="minorEastAsia" w:hAnsiTheme="minorEastAsia"/>
          <w:kern w:val="0"/>
          <w:sz w:val="24"/>
          <w:szCs w:val="24"/>
          <w:highlight w:val="none"/>
        </w:rPr>
        <w:t>”</w:t>
      </w:r>
      <w:r>
        <w:rPr>
          <w:rFonts w:cs="Times New Roman" w:asciiTheme="minorEastAsia" w:hAnsiTheme="minorEastAsia"/>
          <w:kern w:val="0"/>
          <w:sz w:val="24"/>
          <w:szCs w:val="24"/>
          <w:highlight w:val="none"/>
        </w:rPr>
        <w:t>承担相应的法律责任，</w:t>
      </w:r>
      <w:r>
        <w:rPr>
          <w:rFonts w:hint="eastAsia" w:cs="Times New Roman" w:asciiTheme="minorEastAsia" w:hAnsiTheme="minorEastAsia"/>
          <w:kern w:val="0"/>
          <w:sz w:val="24"/>
          <w:szCs w:val="24"/>
          <w:highlight w:val="none"/>
        </w:rPr>
        <w:t>同意将违背承诺行为作为失信行为记录到社会信用信息平台，</w:t>
      </w:r>
      <w:r>
        <w:rPr>
          <w:rFonts w:cs="Times New Roman" w:asciiTheme="minorEastAsia" w:hAnsiTheme="minorEastAsia"/>
          <w:kern w:val="0"/>
          <w:sz w:val="24"/>
          <w:szCs w:val="24"/>
          <w:highlight w:val="none"/>
        </w:rPr>
        <w:t>并承担因此所造成的一切损失。</w:t>
      </w:r>
    </w:p>
    <w:p>
      <w:pPr>
        <w:adjustRightInd w:val="0"/>
        <w:snapToGrid w:val="0"/>
        <w:spacing w:line="500" w:lineRule="exact"/>
        <w:ind w:firstLine="480" w:firstLineChars="200"/>
        <w:contextualSpacing/>
        <w:jc w:val="center"/>
        <w:textAlignment w:val="baseline"/>
        <w:rPr>
          <w:rFonts w:cs="Times New Roman" w:asciiTheme="minorEastAsia" w:hAnsiTheme="minorEastAsia"/>
          <w:kern w:val="0"/>
          <w:sz w:val="24"/>
          <w:szCs w:val="24"/>
          <w:highlight w:val="none"/>
        </w:rPr>
      </w:pPr>
      <w:r>
        <w:rPr>
          <w:rFonts w:cs="Times New Roman" w:asciiTheme="minorEastAsia" w:hAnsiTheme="minorEastAsia"/>
          <w:kern w:val="0"/>
          <w:sz w:val="24"/>
          <w:szCs w:val="24"/>
          <w:highlight w:val="none"/>
        </w:rPr>
        <w:t>承诺单位（盖章）：</w:t>
      </w:r>
    </w:p>
    <w:p>
      <w:pPr>
        <w:adjustRightInd w:val="0"/>
        <w:snapToGrid w:val="0"/>
        <w:spacing w:line="500" w:lineRule="exact"/>
        <w:ind w:firstLine="480" w:firstLineChars="200"/>
        <w:contextualSpacing/>
        <w:jc w:val="center"/>
        <w:textAlignment w:val="baseline"/>
        <w:rPr>
          <w:rFonts w:cs="Times New Roman" w:asciiTheme="minorEastAsia" w:hAnsiTheme="minorEastAsia"/>
          <w:kern w:val="0"/>
          <w:sz w:val="24"/>
          <w:szCs w:val="24"/>
          <w:highlight w:val="none"/>
        </w:rPr>
      </w:pPr>
      <w:r>
        <w:rPr>
          <w:rFonts w:cs="Times New Roman" w:asciiTheme="minorEastAsia" w:hAnsiTheme="minorEastAsia"/>
          <w:kern w:val="0"/>
          <w:sz w:val="24"/>
          <w:szCs w:val="24"/>
          <w:highlight w:val="none"/>
        </w:rPr>
        <w:t xml:space="preserve">                  法定代表人或授权代表（签名或盖章）：</w:t>
      </w:r>
    </w:p>
    <w:p>
      <w:pPr>
        <w:adjustRightInd w:val="0"/>
        <w:snapToGrid w:val="0"/>
        <w:spacing w:line="500" w:lineRule="exact"/>
        <w:ind w:firstLine="480" w:firstLineChars="200"/>
        <w:contextualSpacing/>
        <w:jc w:val="center"/>
        <w:textAlignment w:val="baseline"/>
        <w:rPr>
          <w:rFonts w:cs="Times New Roman" w:asciiTheme="minorEastAsia" w:hAnsiTheme="minorEastAsia"/>
          <w:kern w:val="0"/>
          <w:sz w:val="24"/>
          <w:szCs w:val="24"/>
          <w:highlight w:val="none"/>
        </w:rPr>
      </w:pPr>
      <w:r>
        <w:rPr>
          <w:rFonts w:cs="Times New Roman" w:asciiTheme="minorEastAsia" w:hAnsiTheme="minorEastAsia"/>
          <w:kern w:val="0"/>
          <w:sz w:val="24"/>
          <w:szCs w:val="24"/>
          <w:highlight w:val="none"/>
        </w:rPr>
        <w:t xml:space="preserve">     日期：    年   月   日</w:t>
      </w:r>
    </w:p>
    <w:p>
      <w:pPr>
        <w:spacing w:line="400" w:lineRule="exact"/>
        <w:rPr>
          <w:rFonts w:cs="Times New Roman" w:asciiTheme="minorEastAsia" w:hAnsiTheme="minorEastAsia"/>
          <w:sz w:val="24"/>
          <w:szCs w:val="24"/>
          <w:highlight w:val="none"/>
        </w:rPr>
      </w:pPr>
      <w:r>
        <w:rPr>
          <w:rFonts w:cs="Times New Roman" w:asciiTheme="minorEastAsia" w:hAnsiTheme="minorEastAsia"/>
          <w:sz w:val="24"/>
          <w:szCs w:val="24"/>
          <w:highlight w:val="none"/>
        </w:rPr>
        <w:t>注：1.投标人须在投标文件中按此模板提供承诺函，未提供视为未实质性响应招标文件要求，按无效投标处理。</w:t>
      </w:r>
    </w:p>
    <w:p>
      <w:pPr>
        <w:widowControl/>
        <w:numPr>
          <w:ilvl w:val="0"/>
          <w:numId w:val="9"/>
        </w:numPr>
        <w:ind w:firstLine="480" w:firstLineChars="200"/>
        <w:jc w:val="left"/>
        <w:rPr>
          <w:rFonts w:cs="仿宋_GB2312" w:asciiTheme="minorEastAsia" w:hAnsiTheme="minorEastAsia"/>
          <w:sz w:val="24"/>
          <w:szCs w:val="24"/>
          <w:highlight w:val="none"/>
        </w:rPr>
      </w:pPr>
      <w:r>
        <w:rPr>
          <w:rFonts w:cs="Times New Roman" w:asciiTheme="minorEastAsia" w:hAnsiTheme="minorEastAsia"/>
          <w:sz w:val="24"/>
          <w:szCs w:val="24"/>
          <w:highlight w:val="none"/>
        </w:rPr>
        <w:t>投标人的法定代表人或者授权代表的签字或盖章应真实、有效</w:t>
      </w:r>
      <w:r>
        <w:rPr>
          <w:rFonts w:hint="eastAsia" w:cs="仿宋_GB2312" w:asciiTheme="minorEastAsia" w:hAnsiTheme="minorEastAsia"/>
          <w:sz w:val="24"/>
          <w:szCs w:val="24"/>
          <w:highlight w:val="none"/>
        </w:rPr>
        <w:t>。</w:t>
      </w:r>
    </w:p>
    <w:p>
      <w:pPr>
        <w:widowControl/>
        <w:numPr>
          <w:ilvl w:val="0"/>
          <w:numId w:val="9"/>
        </w:numPr>
        <w:ind w:firstLine="480" w:firstLineChars="200"/>
        <w:jc w:val="left"/>
        <w:rPr>
          <w:rFonts w:cs="Times New Roman" w:asciiTheme="minorEastAsia" w:hAnsiTheme="minorEastAsia"/>
          <w:b w:val="0"/>
          <w:bCs w:val="0"/>
          <w:sz w:val="24"/>
          <w:szCs w:val="24"/>
          <w:highlight w:val="none"/>
        </w:rPr>
      </w:pPr>
      <w:r>
        <w:rPr>
          <w:rFonts w:hint="eastAsia" w:cs="Times New Roman" w:asciiTheme="minorEastAsia" w:hAnsiTheme="minorEastAsia"/>
          <w:b w:val="0"/>
          <w:bCs w:val="0"/>
          <w:sz w:val="24"/>
          <w:szCs w:val="24"/>
          <w:highlight w:val="none"/>
        </w:rPr>
        <w:t>附投标人营业执照</w:t>
      </w:r>
    </w:p>
    <w:p>
      <w:pPr>
        <w:rPr>
          <w:highlight w:val="none"/>
        </w:rPr>
      </w:pPr>
      <w:r>
        <w:rPr>
          <w:rFonts w:hint="eastAsia"/>
          <w:highlight w:val="none"/>
        </w:rPr>
        <w:br w:type="page"/>
      </w:r>
    </w:p>
    <w:p>
      <w:pPr>
        <w:pStyle w:val="10"/>
        <w:spacing w:before="0" w:after="0"/>
        <w:jc w:val="center"/>
        <w:rPr>
          <w:rFonts w:hint="eastAsia"/>
          <w:sz w:val="24"/>
          <w:highlight w:val="none"/>
        </w:rPr>
      </w:pPr>
      <w:bookmarkStart w:id="52" w:name="_Toc17797"/>
      <w:r>
        <w:rPr>
          <w:rFonts w:hint="eastAsia"/>
          <w:sz w:val="24"/>
          <w:highlight w:val="none"/>
          <w:lang w:val="en-US" w:eastAsia="zh-CN"/>
        </w:rPr>
        <w:t>三、</w:t>
      </w:r>
      <w:r>
        <w:rPr>
          <w:rFonts w:hint="eastAsia"/>
          <w:sz w:val="24"/>
          <w:highlight w:val="none"/>
        </w:rPr>
        <w:t>信用记录查询</w:t>
      </w:r>
      <w:bookmarkEnd w:id="52"/>
    </w:p>
    <w:p>
      <w:pPr>
        <w:spacing w:line="360" w:lineRule="auto"/>
        <w:ind w:firstLine="480" w:firstLineChars="200"/>
        <w:rPr>
          <w:rFonts w:asciiTheme="minorEastAsia" w:hAnsiTheme="minorEastAsia"/>
          <w:sz w:val="24"/>
          <w:highlight w:val="none"/>
        </w:rPr>
      </w:pPr>
    </w:p>
    <w:p>
      <w:pPr>
        <w:spacing w:line="360" w:lineRule="auto"/>
        <w:ind w:firstLine="480" w:firstLineChars="200"/>
        <w:rPr>
          <w:rFonts w:ascii="Times New Roman" w:hAnsi="Times New Roman" w:eastAsia="宋体"/>
          <w:sz w:val="24"/>
          <w:highlight w:val="none"/>
        </w:rPr>
      </w:pPr>
      <w:bookmarkStart w:id="53" w:name="_Hlk135046015"/>
      <w:r>
        <w:rPr>
          <w:rFonts w:hint="eastAsia" w:ascii="Times New Roman" w:hAnsi="Times New Roman" w:eastAsia="宋体"/>
          <w:sz w:val="24"/>
          <w:highlight w:val="none"/>
        </w:rPr>
        <w:t>查询渠道：</w:t>
      </w:r>
    </w:p>
    <w:p>
      <w:pPr>
        <w:spacing w:line="360" w:lineRule="auto"/>
        <w:ind w:firstLine="480" w:firstLineChars="200"/>
        <w:rPr>
          <w:rFonts w:ascii="Times New Roman" w:hAnsi="Times New Roman" w:eastAsia="宋体"/>
          <w:sz w:val="24"/>
          <w:highlight w:val="none"/>
        </w:rPr>
      </w:pPr>
      <w:r>
        <w:rPr>
          <w:rFonts w:hint="eastAsia" w:ascii="Times New Roman" w:hAnsi="Times New Roman" w:eastAsia="宋体"/>
          <w:sz w:val="24"/>
          <w:highlight w:val="none"/>
        </w:rPr>
        <w:t>“中国执行信息公开网”网站：查询失信被执行人；</w:t>
      </w:r>
    </w:p>
    <w:p>
      <w:pPr>
        <w:spacing w:line="360" w:lineRule="auto"/>
        <w:ind w:firstLine="480" w:firstLineChars="200"/>
        <w:rPr>
          <w:rFonts w:ascii="Times New Roman" w:hAnsi="Times New Roman" w:eastAsia="宋体"/>
          <w:sz w:val="24"/>
          <w:highlight w:val="none"/>
        </w:rPr>
      </w:pPr>
      <w:r>
        <w:rPr>
          <w:rFonts w:hint="eastAsia" w:ascii="Times New Roman" w:hAnsi="Times New Roman" w:eastAsia="宋体"/>
          <w:sz w:val="24"/>
          <w:highlight w:val="none"/>
        </w:rPr>
        <w:t>“信用中国”网站：查询重大税收违法失信主体；</w:t>
      </w:r>
    </w:p>
    <w:p>
      <w:pPr>
        <w:spacing w:line="360" w:lineRule="auto"/>
        <w:ind w:firstLine="480" w:firstLineChars="200"/>
        <w:rPr>
          <w:rFonts w:ascii="Times New Roman" w:hAnsi="Times New Roman" w:eastAsia="宋体"/>
          <w:sz w:val="24"/>
          <w:highlight w:val="none"/>
        </w:rPr>
      </w:pPr>
      <w:r>
        <w:rPr>
          <w:rFonts w:hint="eastAsia" w:ascii="Times New Roman" w:hAnsi="Times New Roman" w:eastAsia="宋体"/>
          <w:sz w:val="24"/>
          <w:highlight w:val="none"/>
        </w:rPr>
        <w:t>“中国政府采购网”网站：查询政府采购严重违法失信行为记录名单。</w:t>
      </w:r>
    </w:p>
    <w:p>
      <w:pPr>
        <w:spacing w:line="360" w:lineRule="auto"/>
        <w:ind w:firstLine="480" w:firstLineChars="200"/>
        <w:rPr>
          <w:rFonts w:ascii="Times New Roman" w:hAnsi="Times New Roman" w:eastAsia="宋体"/>
          <w:sz w:val="24"/>
          <w:highlight w:val="none"/>
        </w:rPr>
      </w:pPr>
    </w:p>
    <w:p>
      <w:pPr>
        <w:spacing w:line="360" w:lineRule="auto"/>
        <w:ind w:firstLine="480" w:firstLineChars="200"/>
        <w:rPr>
          <w:rFonts w:ascii="Times New Roman" w:hAnsi="Times New Roman" w:eastAsia="宋体"/>
          <w:sz w:val="28"/>
          <w:szCs w:val="24"/>
          <w:highlight w:val="none"/>
        </w:rPr>
      </w:pPr>
      <w:r>
        <w:rPr>
          <w:rFonts w:hint="eastAsia" w:ascii="Times New Roman" w:hAnsi="Times New Roman" w:eastAsia="宋体"/>
          <w:sz w:val="24"/>
          <w:highlight w:val="none"/>
        </w:rPr>
        <w:t>采购人或采购代理机构开标后对所有供应商信用记录进行查询，投标供应商不良信用记录以开标后查询结果为准。</w:t>
      </w:r>
    </w:p>
    <w:bookmarkEnd w:id="53"/>
    <w:p>
      <w:pPr>
        <w:widowControl/>
        <w:jc w:val="left"/>
        <w:rPr>
          <w:rFonts w:ascii="Times New Roman" w:hAnsi="Times New Roman" w:eastAsia="宋体"/>
          <w:highlight w:val="none"/>
        </w:rPr>
      </w:pPr>
      <w:r>
        <w:rPr>
          <w:rFonts w:ascii="Times New Roman" w:hAnsi="Times New Roman" w:eastAsia="宋体"/>
          <w:highlight w:val="none"/>
        </w:rPr>
        <w:br w:type="page"/>
      </w:r>
    </w:p>
    <w:p>
      <w:pPr>
        <w:pStyle w:val="10"/>
        <w:spacing w:before="0" w:after="0"/>
        <w:jc w:val="center"/>
        <w:rPr>
          <w:rFonts w:hint="eastAsia"/>
          <w:sz w:val="24"/>
          <w:highlight w:val="none"/>
        </w:rPr>
      </w:pPr>
      <w:bookmarkStart w:id="54" w:name="_Toc20750"/>
      <w:r>
        <w:rPr>
          <w:rFonts w:hint="eastAsia"/>
          <w:sz w:val="24"/>
          <w:highlight w:val="none"/>
          <w:lang w:val="en-US" w:eastAsia="zh-CN"/>
        </w:rPr>
        <w:t>四</w:t>
      </w:r>
      <w:r>
        <w:rPr>
          <w:rFonts w:hint="eastAsia"/>
          <w:sz w:val="24"/>
          <w:highlight w:val="none"/>
        </w:rPr>
        <w:t>、单位负责人为同一人或者存在直接控股、管理关系的不同投标人，不得参加同一合同项下的政府采购活动声明函</w:t>
      </w:r>
      <w:bookmarkEnd w:id="54"/>
    </w:p>
    <w:p>
      <w:pPr>
        <w:spacing w:line="360" w:lineRule="auto"/>
        <w:rPr>
          <w:rFonts w:asciiTheme="minorEastAsia" w:hAnsiTheme="minorEastAsia"/>
          <w:sz w:val="24"/>
          <w:highlight w:val="none"/>
        </w:rPr>
      </w:pPr>
    </w:p>
    <w:p>
      <w:pPr>
        <w:spacing w:line="360" w:lineRule="auto"/>
        <w:ind w:firstLine="480" w:firstLineChars="200"/>
        <w:rPr>
          <w:rFonts w:asciiTheme="minorEastAsia" w:hAnsiTheme="minorEastAsia"/>
          <w:sz w:val="24"/>
          <w:highlight w:val="none"/>
        </w:rPr>
      </w:pPr>
      <w:r>
        <w:rPr>
          <w:rFonts w:hint="eastAsia" w:asciiTheme="minorEastAsia" w:hAnsiTheme="minorEastAsia"/>
          <w:sz w:val="24"/>
          <w:highlight w:val="none"/>
        </w:rPr>
        <w:t>针对是否存在“单位负责人为同一人或者存在直接控股、管理关系的不同投标人，同时参加本项目同一合同项下的政府采购活动”情形的声明函（格式自拟）；</w:t>
      </w:r>
    </w:p>
    <w:p>
      <w:pPr>
        <w:rPr>
          <w:highlight w:val="none"/>
        </w:rPr>
      </w:pPr>
      <w:r>
        <w:rPr>
          <w:highlight w:val="none"/>
        </w:rPr>
        <w:br w:type="page"/>
      </w:r>
    </w:p>
    <w:p>
      <w:pPr>
        <w:pStyle w:val="10"/>
        <w:spacing w:before="0" w:after="0"/>
        <w:jc w:val="center"/>
        <w:rPr>
          <w:rFonts w:hint="eastAsia"/>
          <w:sz w:val="24"/>
          <w:highlight w:val="none"/>
          <w:lang w:val="en-US" w:eastAsia="zh-CN"/>
        </w:rPr>
      </w:pPr>
      <w:bookmarkStart w:id="55" w:name="_Toc25383"/>
      <w:r>
        <w:rPr>
          <w:rFonts w:hint="eastAsia"/>
          <w:sz w:val="24"/>
          <w:highlight w:val="none"/>
          <w:lang w:val="en-US" w:eastAsia="zh-CN"/>
        </w:rPr>
        <w:t>五、反商业贿赂承诺书</w:t>
      </w:r>
      <w:bookmarkEnd w:id="55"/>
    </w:p>
    <w:p>
      <w:pPr>
        <w:spacing w:line="600" w:lineRule="exact"/>
        <w:rPr>
          <w:rFonts w:ascii="宋体" w:hAnsi="宋体"/>
          <w:sz w:val="24"/>
          <w:highlight w:val="none"/>
        </w:rPr>
      </w:pPr>
      <w:r>
        <w:rPr>
          <w:rFonts w:hint="eastAsia" w:ascii="宋体" w:hAnsi="宋体"/>
          <w:sz w:val="24"/>
          <w:highlight w:val="none"/>
        </w:rPr>
        <w:t>我公司承诺：</w:t>
      </w:r>
    </w:p>
    <w:p>
      <w:pPr>
        <w:spacing w:line="600" w:lineRule="exact"/>
        <w:ind w:firstLine="480" w:firstLineChars="200"/>
        <w:rPr>
          <w:rFonts w:ascii="宋体" w:hAnsi="宋体"/>
          <w:sz w:val="24"/>
          <w:highlight w:val="none"/>
        </w:rPr>
      </w:pPr>
      <w:r>
        <w:rPr>
          <w:rFonts w:hint="eastAsia" w:ascii="宋体" w:hAnsi="宋体"/>
          <w:sz w:val="24"/>
          <w:highlight w:val="none"/>
        </w:rPr>
        <w:t>在本次招标活动中，我公司保证做到：</w:t>
      </w:r>
    </w:p>
    <w:p>
      <w:pPr>
        <w:spacing w:line="600" w:lineRule="exact"/>
        <w:ind w:firstLine="480" w:firstLineChars="200"/>
        <w:rPr>
          <w:rFonts w:ascii="宋体" w:hAnsi="宋体"/>
          <w:sz w:val="24"/>
          <w:highlight w:val="none"/>
        </w:rPr>
      </w:pPr>
      <w:r>
        <w:rPr>
          <w:rFonts w:hint="eastAsia" w:ascii="宋体" w:hAnsi="宋体"/>
          <w:sz w:val="24"/>
          <w:highlight w:val="none"/>
        </w:rPr>
        <w:t>一、公平竞争参加本次招标活动。</w:t>
      </w:r>
    </w:p>
    <w:p>
      <w:pPr>
        <w:spacing w:line="600" w:lineRule="exact"/>
        <w:ind w:firstLine="480" w:firstLineChars="200"/>
        <w:rPr>
          <w:rFonts w:ascii="宋体" w:hAnsi="宋体"/>
          <w:sz w:val="24"/>
          <w:highlight w:val="none"/>
        </w:rPr>
      </w:pPr>
      <w:r>
        <w:rPr>
          <w:rFonts w:hint="eastAsia" w:ascii="宋体" w:hAnsi="宋体"/>
          <w:sz w:val="24"/>
          <w:highlight w:val="none"/>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pPr>
        <w:spacing w:line="600" w:lineRule="exact"/>
        <w:ind w:firstLine="480" w:firstLineChars="200"/>
        <w:rPr>
          <w:rFonts w:ascii="宋体" w:hAnsi="宋体"/>
          <w:sz w:val="24"/>
          <w:highlight w:val="none"/>
        </w:rPr>
      </w:pPr>
      <w:r>
        <w:rPr>
          <w:rFonts w:hint="eastAsia" w:ascii="宋体" w:hAnsi="宋体"/>
          <w:sz w:val="24"/>
          <w:highlight w:val="none"/>
        </w:rPr>
        <w:t>三、若出现上述行为，我公司及参与招标的工作人员愿意接受按照国家法律法规等有关规定给予的处罚。</w:t>
      </w:r>
    </w:p>
    <w:p>
      <w:pPr>
        <w:spacing w:line="600" w:lineRule="exact"/>
        <w:rPr>
          <w:rFonts w:ascii="宋体" w:hAnsi="宋体"/>
          <w:sz w:val="24"/>
          <w:highlight w:val="none"/>
        </w:rPr>
      </w:pPr>
    </w:p>
    <w:p>
      <w:pPr>
        <w:spacing w:line="600" w:lineRule="exact"/>
        <w:rPr>
          <w:rFonts w:ascii="宋体" w:hAnsi="宋体"/>
          <w:sz w:val="24"/>
          <w:highlight w:val="none"/>
        </w:rPr>
      </w:pPr>
    </w:p>
    <w:p>
      <w:pPr>
        <w:spacing w:line="360" w:lineRule="auto"/>
        <w:ind w:firstLine="2400" w:firstLineChars="1000"/>
        <w:rPr>
          <w:rFonts w:asciiTheme="minorEastAsia" w:hAnsiTheme="minorEastAsia"/>
          <w:sz w:val="24"/>
          <w:highlight w:val="none"/>
        </w:rPr>
      </w:pPr>
      <w:r>
        <w:rPr>
          <w:rFonts w:hint="eastAsia" w:asciiTheme="minorEastAsia" w:hAnsiTheme="minorEastAsia"/>
          <w:sz w:val="24"/>
          <w:highlight w:val="none"/>
        </w:rPr>
        <w:t xml:space="preserve">法定代表人或授权代表（个人电子签章或签字）：   </w:t>
      </w:r>
    </w:p>
    <w:p>
      <w:pPr>
        <w:spacing w:line="360" w:lineRule="auto"/>
        <w:rPr>
          <w:rFonts w:asciiTheme="minorEastAsia" w:hAnsiTheme="minorEastAsia"/>
          <w:sz w:val="24"/>
          <w:highlight w:val="none"/>
        </w:rPr>
      </w:pPr>
    </w:p>
    <w:p>
      <w:pPr>
        <w:spacing w:line="360" w:lineRule="auto"/>
        <w:ind w:firstLine="2400" w:firstLineChars="1000"/>
        <w:rPr>
          <w:rFonts w:asciiTheme="minorEastAsia" w:hAnsiTheme="minorEastAsia"/>
          <w:sz w:val="24"/>
          <w:highlight w:val="none"/>
        </w:rPr>
      </w:pPr>
      <w:r>
        <w:rPr>
          <w:rFonts w:hint="eastAsia" w:asciiTheme="minorEastAsia" w:hAnsiTheme="minorEastAsia"/>
          <w:sz w:val="24"/>
          <w:highlight w:val="none"/>
        </w:rPr>
        <w:t>投标人名称（企业电子签章或公章）：</w:t>
      </w:r>
    </w:p>
    <w:p>
      <w:pPr>
        <w:spacing w:line="360" w:lineRule="auto"/>
        <w:rPr>
          <w:rFonts w:asciiTheme="minorEastAsia" w:hAnsiTheme="minorEastAsia"/>
          <w:sz w:val="24"/>
          <w:highlight w:val="none"/>
        </w:rPr>
      </w:pPr>
    </w:p>
    <w:p>
      <w:pPr>
        <w:spacing w:line="360" w:lineRule="auto"/>
        <w:ind w:firstLine="2640" w:firstLineChars="1100"/>
        <w:rPr>
          <w:rFonts w:asciiTheme="minorEastAsia" w:hAnsiTheme="minorEastAsia"/>
          <w:sz w:val="24"/>
          <w:highlight w:val="none"/>
        </w:rPr>
      </w:pPr>
      <w:r>
        <w:rPr>
          <w:rFonts w:hint="eastAsia" w:asciiTheme="minorEastAsia" w:hAnsiTheme="minorEastAsia"/>
          <w:sz w:val="24"/>
          <w:highlight w:val="none"/>
        </w:rPr>
        <w:t>日期：</w:t>
      </w:r>
    </w:p>
    <w:p>
      <w:pPr>
        <w:spacing w:line="600" w:lineRule="exact"/>
        <w:jc w:val="center"/>
        <w:rPr>
          <w:rFonts w:ascii="宋体" w:hAnsi="宋体"/>
          <w:sz w:val="24"/>
          <w:highlight w:val="none"/>
        </w:rPr>
      </w:pPr>
    </w:p>
    <w:p>
      <w:pPr>
        <w:spacing w:line="600" w:lineRule="exact"/>
        <w:jc w:val="center"/>
        <w:rPr>
          <w:rFonts w:ascii="宋体" w:hAnsi="宋体"/>
          <w:sz w:val="24"/>
          <w:highlight w:val="none"/>
        </w:rPr>
      </w:pPr>
    </w:p>
    <w:p>
      <w:pPr>
        <w:spacing w:line="600" w:lineRule="exact"/>
        <w:jc w:val="center"/>
        <w:rPr>
          <w:rFonts w:ascii="宋体" w:hAnsi="宋体"/>
          <w:sz w:val="24"/>
          <w:highlight w:val="none"/>
        </w:rPr>
      </w:pPr>
    </w:p>
    <w:p>
      <w:pPr>
        <w:spacing w:line="600" w:lineRule="exact"/>
        <w:jc w:val="center"/>
        <w:rPr>
          <w:rFonts w:ascii="宋体" w:hAnsi="宋体"/>
          <w:sz w:val="24"/>
          <w:highlight w:val="none"/>
        </w:rPr>
      </w:pPr>
    </w:p>
    <w:p>
      <w:pPr>
        <w:spacing w:line="600" w:lineRule="exact"/>
        <w:jc w:val="center"/>
        <w:rPr>
          <w:rFonts w:ascii="宋体" w:hAnsi="宋体"/>
          <w:sz w:val="24"/>
          <w:highlight w:val="none"/>
        </w:rPr>
      </w:pPr>
    </w:p>
    <w:p>
      <w:pPr>
        <w:spacing w:line="600" w:lineRule="exact"/>
        <w:jc w:val="center"/>
        <w:rPr>
          <w:rFonts w:ascii="宋体" w:hAnsi="宋体"/>
          <w:sz w:val="24"/>
          <w:highlight w:val="none"/>
        </w:rPr>
      </w:pPr>
    </w:p>
    <w:p>
      <w:pPr>
        <w:spacing w:line="600" w:lineRule="exact"/>
        <w:jc w:val="center"/>
        <w:rPr>
          <w:rFonts w:ascii="宋体" w:hAnsi="宋体"/>
          <w:sz w:val="24"/>
          <w:highlight w:val="none"/>
        </w:rPr>
      </w:pPr>
    </w:p>
    <w:p>
      <w:pPr>
        <w:spacing w:line="600" w:lineRule="exact"/>
        <w:jc w:val="center"/>
        <w:rPr>
          <w:rFonts w:ascii="宋体" w:hAnsi="宋体"/>
          <w:sz w:val="24"/>
          <w:highlight w:val="none"/>
        </w:rPr>
      </w:pPr>
    </w:p>
    <w:p>
      <w:pPr>
        <w:spacing w:line="600" w:lineRule="exact"/>
        <w:jc w:val="center"/>
        <w:rPr>
          <w:rFonts w:ascii="宋体" w:hAnsi="宋体"/>
          <w:sz w:val="24"/>
          <w:highlight w:val="none"/>
        </w:rPr>
      </w:pPr>
    </w:p>
    <w:p>
      <w:pPr>
        <w:rPr>
          <w:highlight w:val="none"/>
        </w:rPr>
      </w:pPr>
    </w:p>
    <w:p>
      <w:pPr>
        <w:pStyle w:val="24"/>
        <w:rPr>
          <w:sz w:val="28"/>
          <w:highlight w:val="none"/>
        </w:rPr>
      </w:pPr>
      <w:bookmarkStart w:id="56" w:name="_Toc2162"/>
      <w:r>
        <w:rPr>
          <w:rFonts w:hint="eastAsia"/>
          <w:sz w:val="28"/>
          <w:highlight w:val="none"/>
        </w:rPr>
        <w:t>第二部分商务、技术文件</w:t>
      </w:r>
      <w:bookmarkEnd w:id="56"/>
    </w:p>
    <w:p>
      <w:pPr>
        <w:widowControl/>
        <w:jc w:val="left"/>
        <w:rPr>
          <w:rFonts w:asciiTheme="minorEastAsia" w:hAnsiTheme="minorEastAsia"/>
          <w:highlight w:val="none"/>
        </w:rPr>
      </w:pPr>
      <w:r>
        <w:rPr>
          <w:rFonts w:asciiTheme="minorEastAsia" w:hAnsiTheme="minorEastAsia"/>
          <w:highlight w:val="none"/>
        </w:rPr>
        <w:br w:type="page"/>
      </w:r>
    </w:p>
    <w:p>
      <w:pPr>
        <w:pStyle w:val="10"/>
        <w:spacing w:before="0" w:after="0"/>
        <w:jc w:val="center"/>
        <w:rPr>
          <w:rFonts w:hint="eastAsia"/>
          <w:sz w:val="24"/>
          <w:highlight w:val="none"/>
          <w:lang w:val="en-US" w:eastAsia="zh-CN"/>
        </w:rPr>
      </w:pPr>
      <w:bookmarkStart w:id="57" w:name="_Toc22713"/>
      <w:r>
        <w:rPr>
          <w:rFonts w:hint="eastAsia"/>
          <w:sz w:val="24"/>
          <w:highlight w:val="none"/>
          <w:lang w:val="en-US" w:eastAsia="zh-CN"/>
        </w:rPr>
        <w:t>一、投标函</w:t>
      </w:r>
      <w:bookmarkEnd w:id="57"/>
    </w:p>
    <w:p>
      <w:pPr>
        <w:spacing w:line="360" w:lineRule="auto"/>
        <w:rPr>
          <w:rFonts w:asciiTheme="minorEastAsia" w:hAnsiTheme="minorEastAsia"/>
          <w:sz w:val="24"/>
          <w:highlight w:val="none"/>
        </w:rPr>
      </w:pPr>
      <w:r>
        <w:rPr>
          <w:rFonts w:hint="eastAsia" w:asciiTheme="minorEastAsia" w:hAnsiTheme="minorEastAsia"/>
          <w:sz w:val="24"/>
          <w:highlight w:val="none"/>
        </w:rPr>
        <w:t>致：</w:t>
      </w:r>
      <w:r>
        <w:rPr>
          <w:rFonts w:hint="eastAsia" w:asciiTheme="minorEastAsia" w:hAnsiTheme="minorEastAsia"/>
          <w:sz w:val="24"/>
          <w:highlight w:val="none"/>
          <w:u w:val="single"/>
        </w:rPr>
        <w:t>（采购人或采购代理机构名称）</w:t>
      </w:r>
    </w:p>
    <w:p>
      <w:pPr>
        <w:spacing w:line="360" w:lineRule="auto"/>
        <w:ind w:firstLine="480" w:firstLineChars="200"/>
        <w:rPr>
          <w:rFonts w:asciiTheme="minorEastAsia" w:hAnsiTheme="minorEastAsia"/>
          <w:sz w:val="24"/>
          <w:highlight w:val="none"/>
        </w:rPr>
      </w:pPr>
      <w:r>
        <w:rPr>
          <w:rFonts w:hint="eastAsia" w:asciiTheme="minorEastAsia" w:hAnsiTheme="minorEastAsia"/>
          <w:sz w:val="24"/>
          <w:highlight w:val="none"/>
        </w:rPr>
        <w:t>1.</w:t>
      </w:r>
      <w:r>
        <w:rPr>
          <w:rFonts w:hint="eastAsia" w:asciiTheme="minorEastAsia" w:hAnsiTheme="minorEastAsia"/>
          <w:sz w:val="24"/>
          <w:highlight w:val="none"/>
        </w:rPr>
        <w:tab/>
      </w:r>
      <w:r>
        <w:rPr>
          <w:rFonts w:hint="eastAsia" w:asciiTheme="minorEastAsia" w:hAnsiTheme="minorEastAsia"/>
          <w:sz w:val="24"/>
          <w:highlight w:val="none"/>
        </w:rPr>
        <w:t>我方已仔细研究了</w:t>
      </w:r>
      <w:r>
        <w:rPr>
          <w:rFonts w:hint="eastAsia" w:asciiTheme="minorEastAsia" w:hAnsiTheme="minorEastAsia"/>
          <w:sz w:val="24"/>
          <w:highlight w:val="none"/>
          <w:u w:val="single"/>
        </w:rPr>
        <w:t xml:space="preserve"> </w:t>
      </w:r>
      <w:r>
        <w:rPr>
          <w:rFonts w:hint="eastAsia" w:asciiTheme="minorEastAsia" w:hAnsiTheme="minorEastAsia"/>
          <w:sz w:val="24"/>
          <w:highlight w:val="none"/>
          <w:u w:val="single"/>
        </w:rPr>
        <w:tab/>
      </w:r>
      <w:r>
        <w:rPr>
          <w:rFonts w:hint="eastAsia" w:asciiTheme="minorEastAsia" w:hAnsiTheme="minorEastAsia"/>
          <w:sz w:val="24"/>
          <w:highlight w:val="none"/>
          <w:u w:val="single"/>
        </w:rPr>
        <w:tab/>
      </w:r>
      <w:r>
        <w:rPr>
          <w:rFonts w:asciiTheme="minorEastAsia" w:hAnsiTheme="minorEastAsia"/>
          <w:sz w:val="24"/>
          <w:highlight w:val="none"/>
          <w:u w:val="single"/>
        </w:rPr>
        <w:t xml:space="preserve">    </w:t>
      </w:r>
      <w:r>
        <w:rPr>
          <w:rFonts w:hint="eastAsia" w:asciiTheme="minorEastAsia" w:hAnsiTheme="minorEastAsia"/>
          <w:sz w:val="24"/>
          <w:highlight w:val="none"/>
          <w:u w:val="single"/>
        </w:rPr>
        <w:t xml:space="preserve">（项目名称） </w:t>
      </w:r>
      <w:r>
        <w:rPr>
          <w:rFonts w:asciiTheme="minorEastAsia" w:hAnsiTheme="minorEastAsia"/>
          <w:sz w:val="24"/>
          <w:highlight w:val="none"/>
          <w:u w:val="single"/>
        </w:rPr>
        <w:t xml:space="preserve">  </w:t>
      </w:r>
      <w:r>
        <w:rPr>
          <w:rFonts w:hint="eastAsia" w:asciiTheme="minorEastAsia" w:hAnsiTheme="minorEastAsia"/>
          <w:sz w:val="24"/>
          <w:highlight w:val="none"/>
        </w:rPr>
        <w:t>项目招标文件的全部内容，愿意以人民币（大写）</w:t>
      </w:r>
      <w:r>
        <w:rPr>
          <w:rFonts w:hint="eastAsia" w:asciiTheme="minorEastAsia" w:hAnsiTheme="minorEastAsia"/>
          <w:sz w:val="24"/>
          <w:highlight w:val="none"/>
          <w:u w:val="single"/>
        </w:rPr>
        <w:t xml:space="preserve"> </w:t>
      </w:r>
      <w:r>
        <w:rPr>
          <w:rFonts w:asciiTheme="minorEastAsia" w:hAnsiTheme="minorEastAsia"/>
          <w:sz w:val="24"/>
          <w:highlight w:val="none"/>
          <w:u w:val="single"/>
        </w:rPr>
        <w:t xml:space="preserve">   </w:t>
      </w:r>
      <w:r>
        <w:rPr>
          <w:rFonts w:hint="eastAsia" w:asciiTheme="minorEastAsia" w:hAnsiTheme="minorEastAsia"/>
          <w:sz w:val="24"/>
          <w:highlight w:val="none"/>
          <w:u w:val="single"/>
        </w:rPr>
        <w:tab/>
      </w:r>
      <w:r>
        <w:rPr>
          <w:rFonts w:hint="eastAsia" w:asciiTheme="minorEastAsia" w:hAnsiTheme="minorEastAsia"/>
          <w:sz w:val="24"/>
          <w:highlight w:val="none"/>
        </w:rPr>
        <w:t>（¥</w:t>
      </w:r>
      <w:r>
        <w:rPr>
          <w:rFonts w:hint="eastAsia" w:asciiTheme="minorEastAsia" w:hAnsiTheme="minorEastAsia"/>
          <w:sz w:val="24"/>
          <w:highlight w:val="none"/>
          <w:u w:val="single"/>
        </w:rPr>
        <w:t xml:space="preserve"> </w:t>
      </w:r>
      <w:r>
        <w:rPr>
          <w:rFonts w:asciiTheme="minorEastAsia" w:hAnsiTheme="minorEastAsia"/>
          <w:sz w:val="24"/>
          <w:highlight w:val="none"/>
          <w:u w:val="single"/>
        </w:rPr>
        <w:t xml:space="preserve">   </w:t>
      </w:r>
      <w:r>
        <w:rPr>
          <w:rFonts w:hint="eastAsia" w:asciiTheme="minorEastAsia" w:hAnsiTheme="minorEastAsia"/>
          <w:sz w:val="24"/>
          <w:highlight w:val="none"/>
          <w:u w:val="single"/>
        </w:rPr>
        <w:tab/>
      </w:r>
      <w:r>
        <w:rPr>
          <w:rFonts w:hint="eastAsia" w:asciiTheme="minorEastAsia" w:hAnsiTheme="minorEastAsia"/>
          <w:sz w:val="24"/>
          <w:highlight w:val="none"/>
        </w:rPr>
        <w:t>）的投标总报价，</w:t>
      </w:r>
      <w:r>
        <w:rPr>
          <w:rFonts w:hint="eastAsia" w:asciiTheme="minorEastAsia" w:hAnsiTheme="minorEastAsia"/>
          <w:sz w:val="24"/>
          <w:highlight w:val="none"/>
          <w:lang w:eastAsia="zh-CN"/>
        </w:rPr>
        <w:t>服务期限</w:t>
      </w:r>
      <w:r>
        <w:rPr>
          <w:rFonts w:hint="eastAsia" w:asciiTheme="minorEastAsia" w:hAnsiTheme="minorEastAsia"/>
          <w:sz w:val="24"/>
          <w:highlight w:val="none"/>
        </w:rPr>
        <w:t>：</w:t>
      </w:r>
      <w:r>
        <w:rPr>
          <w:rFonts w:hint="eastAsia" w:asciiTheme="minorEastAsia" w:hAnsiTheme="minorEastAsia"/>
          <w:sz w:val="24"/>
          <w:highlight w:val="none"/>
          <w:u w:val="single"/>
        </w:rPr>
        <w:t xml:space="preserve"> </w:t>
      </w:r>
      <w:r>
        <w:rPr>
          <w:rFonts w:asciiTheme="minorEastAsia" w:hAnsiTheme="minorEastAsia"/>
          <w:sz w:val="24"/>
          <w:highlight w:val="none"/>
          <w:u w:val="single"/>
        </w:rPr>
        <w:t xml:space="preserve">   </w:t>
      </w:r>
      <w:r>
        <w:rPr>
          <w:rFonts w:hint="eastAsia" w:asciiTheme="minorEastAsia" w:hAnsiTheme="minorEastAsia"/>
          <w:sz w:val="24"/>
          <w:highlight w:val="none"/>
          <w:u w:val="single"/>
        </w:rPr>
        <w:tab/>
      </w:r>
      <w:r>
        <w:rPr>
          <w:rFonts w:hint="eastAsia" w:asciiTheme="minorEastAsia" w:hAnsiTheme="minorEastAsia"/>
          <w:sz w:val="24"/>
          <w:highlight w:val="none"/>
        </w:rPr>
        <w:t>，按合同约定完成全部工作。</w:t>
      </w:r>
    </w:p>
    <w:p>
      <w:pPr>
        <w:spacing w:line="360" w:lineRule="auto"/>
        <w:ind w:firstLine="480" w:firstLineChars="200"/>
        <w:rPr>
          <w:rFonts w:asciiTheme="minorEastAsia" w:hAnsiTheme="minorEastAsia"/>
          <w:sz w:val="24"/>
          <w:highlight w:val="none"/>
        </w:rPr>
      </w:pPr>
      <w:r>
        <w:rPr>
          <w:rFonts w:hint="eastAsia" w:asciiTheme="minorEastAsia" w:hAnsiTheme="minorEastAsia"/>
          <w:sz w:val="24"/>
          <w:highlight w:val="none"/>
        </w:rPr>
        <w:t>2.</w:t>
      </w:r>
      <w:r>
        <w:rPr>
          <w:rFonts w:hint="eastAsia" w:asciiTheme="minorEastAsia" w:hAnsiTheme="minorEastAsia"/>
          <w:sz w:val="24"/>
          <w:highlight w:val="none"/>
        </w:rPr>
        <w:tab/>
      </w:r>
      <w:r>
        <w:rPr>
          <w:rFonts w:hint="eastAsia" w:asciiTheme="minorEastAsia" w:hAnsiTheme="minorEastAsia"/>
          <w:sz w:val="24"/>
          <w:highlight w:val="none"/>
        </w:rPr>
        <w:t>如果我方中标，我方将按招标文件的规定签订并严格履行合同中的责任和义务，在签订合同时不向你方提出附加条件，在合同约定的期限内完成合同规定的全部内容。</w:t>
      </w:r>
    </w:p>
    <w:p>
      <w:pPr>
        <w:spacing w:line="360" w:lineRule="auto"/>
        <w:ind w:firstLine="480" w:firstLineChars="200"/>
        <w:rPr>
          <w:rFonts w:asciiTheme="minorEastAsia" w:hAnsiTheme="minorEastAsia"/>
          <w:sz w:val="24"/>
          <w:highlight w:val="none"/>
        </w:rPr>
      </w:pPr>
      <w:r>
        <w:rPr>
          <w:rFonts w:hint="eastAsia" w:asciiTheme="minorEastAsia" w:hAnsiTheme="minorEastAsia"/>
          <w:sz w:val="24"/>
          <w:highlight w:val="none"/>
        </w:rPr>
        <w:t>3.</w:t>
      </w:r>
      <w:r>
        <w:rPr>
          <w:rFonts w:hint="eastAsia" w:asciiTheme="minorEastAsia" w:hAnsiTheme="minorEastAsia"/>
          <w:sz w:val="24"/>
          <w:highlight w:val="none"/>
        </w:rPr>
        <w:tab/>
      </w:r>
      <w:r>
        <w:rPr>
          <w:rFonts w:hint="eastAsia" w:asciiTheme="minorEastAsia" w:hAnsiTheme="minorEastAsia"/>
          <w:sz w:val="24"/>
          <w:highlight w:val="none"/>
        </w:rPr>
        <w:t>我方已详细审查全部招标文件，包括修改文件以及全部参考资料和有关附件。我们完全理解并同意放弃对这方面有不明及误解的权力。</w:t>
      </w:r>
    </w:p>
    <w:p>
      <w:pPr>
        <w:spacing w:line="360" w:lineRule="auto"/>
        <w:ind w:firstLine="480" w:firstLineChars="200"/>
        <w:rPr>
          <w:rFonts w:asciiTheme="minorEastAsia" w:hAnsiTheme="minorEastAsia"/>
          <w:sz w:val="24"/>
          <w:highlight w:val="none"/>
        </w:rPr>
      </w:pPr>
      <w:r>
        <w:rPr>
          <w:rFonts w:hint="eastAsia" w:asciiTheme="minorEastAsia" w:hAnsiTheme="minorEastAsia"/>
          <w:sz w:val="24"/>
          <w:highlight w:val="none"/>
        </w:rPr>
        <w:t>4.</w:t>
      </w:r>
      <w:r>
        <w:rPr>
          <w:rFonts w:hint="eastAsia" w:asciiTheme="minorEastAsia" w:hAnsiTheme="minorEastAsia"/>
          <w:sz w:val="24"/>
          <w:highlight w:val="none"/>
        </w:rPr>
        <w:tab/>
      </w:r>
      <w:r>
        <w:rPr>
          <w:rFonts w:hint="eastAsia" w:asciiTheme="minorEastAsia" w:hAnsiTheme="minorEastAsia"/>
          <w:sz w:val="24"/>
          <w:highlight w:val="none"/>
        </w:rPr>
        <w:t>投标有效期为提交投标文件的截止之日起 60 日历天。</w:t>
      </w:r>
    </w:p>
    <w:p>
      <w:pPr>
        <w:spacing w:line="360" w:lineRule="auto"/>
        <w:ind w:firstLine="480" w:firstLineChars="200"/>
        <w:rPr>
          <w:rFonts w:asciiTheme="minorEastAsia" w:hAnsiTheme="minorEastAsia"/>
          <w:sz w:val="24"/>
          <w:highlight w:val="none"/>
        </w:rPr>
      </w:pPr>
      <w:r>
        <w:rPr>
          <w:rFonts w:hint="eastAsia" w:asciiTheme="minorEastAsia" w:hAnsiTheme="minorEastAsia"/>
          <w:sz w:val="24"/>
          <w:highlight w:val="none"/>
        </w:rPr>
        <w:t>5.</w:t>
      </w:r>
      <w:r>
        <w:rPr>
          <w:rFonts w:hint="eastAsia" w:asciiTheme="minorEastAsia" w:hAnsiTheme="minorEastAsia"/>
          <w:sz w:val="24"/>
          <w:highlight w:val="none"/>
        </w:rPr>
        <w:tab/>
      </w:r>
      <w:r>
        <w:rPr>
          <w:rFonts w:hint="eastAsia" w:asciiTheme="minorEastAsia" w:hAnsiTheme="minorEastAsia"/>
          <w:sz w:val="24"/>
          <w:highlight w:val="none"/>
        </w:rPr>
        <w:t>如果在规定的开标时间后，我方承诺在投标有效期内不撤回投标。</w:t>
      </w:r>
    </w:p>
    <w:p>
      <w:pPr>
        <w:spacing w:line="360" w:lineRule="auto"/>
        <w:ind w:firstLine="480" w:firstLineChars="200"/>
        <w:rPr>
          <w:rFonts w:asciiTheme="minorEastAsia" w:hAnsiTheme="minorEastAsia"/>
          <w:sz w:val="24"/>
          <w:highlight w:val="none"/>
        </w:rPr>
      </w:pPr>
      <w:r>
        <w:rPr>
          <w:rFonts w:hint="eastAsia" w:asciiTheme="minorEastAsia" w:hAnsiTheme="minorEastAsia"/>
          <w:sz w:val="24"/>
          <w:highlight w:val="none"/>
        </w:rPr>
        <w:t>6.</w:t>
      </w:r>
      <w:r>
        <w:rPr>
          <w:rFonts w:hint="eastAsia" w:asciiTheme="minorEastAsia" w:hAnsiTheme="minorEastAsia"/>
          <w:sz w:val="24"/>
          <w:highlight w:val="none"/>
        </w:rPr>
        <w:tab/>
      </w:r>
      <w:r>
        <w:rPr>
          <w:rFonts w:hint="eastAsia" w:asciiTheme="minorEastAsia" w:hAnsiTheme="minorEastAsia"/>
          <w:sz w:val="24"/>
          <w:highlight w:val="none"/>
        </w:rPr>
        <w:t>我方在此声明，所递交的投标文件及有关资料内容完整、真实和准确。</w:t>
      </w:r>
    </w:p>
    <w:p>
      <w:pPr>
        <w:spacing w:line="360" w:lineRule="auto"/>
        <w:ind w:firstLine="480" w:firstLineChars="200"/>
        <w:rPr>
          <w:rFonts w:asciiTheme="minorEastAsia" w:hAnsiTheme="minorEastAsia"/>
          <w:sz w:val="24"/>
          <w:highlight w:val="none"/>
        </w:rPr>
      </w:pPr>
      <w:r>
        <w:rPr>
          <w:rFonts w:hint="eastAsia" w:asciiTheme="minorEastAsia" w:hAnsiTheme="minorEastAsia"/>
          <w:sz w:val="24"/>
          <w:highlight w:val="none"/>
        </w:rPr>
        <w:t>7.</w:t>
      </w:r>
      <w:r>
        <w:rPr>
          <w:rFonts w:hint="eastAsia" w:asciiTheme="minorEastAsia" w:hAnsiTheme="minorEastAsia"/>
          <w:sz w:val="24"/>
          <w:highlight w:val="none"/>
        </w:rPr>
        <w:tab/>
      </w:r>
      <w:r>
        <w:rPr>
          <w:rFonts w:hint="eastAsia" w:asciiTheme="minorEastAsia" w:hAnsiTheme="minorEastAsia"/>
          <w:sz w:val="24"/>
          <w:highlight w:val="none"/>
        </w:rPr>
        <w:t>我方同意提供按照贵方可能要求的与其投标有关的一切数据或资料，完全理解贵方不一定接受最低价的投标或收到的任何投标。</w:t>
      </w:r>
    </w:p>
    <w:p>
      <w:pPr>
        <w:spacing w:line="360" w:lineRule="auto"/>
        <w:ind w:firstLine="480" w:firstLineChars="200"/>
        <w:rPr>
          <w:rFonts w:asciiTheme="minorEastAsia" w:hAnsiTheme="minorEastAsia"/>
          <w:sz w:val="24"/>
          <w:highlight w:val="none"/>
        </w:rPr>
      </w:pPr>
      <w:r>
        <w:rPr>
          <w:rFonts w:hint="eastAsia" w:asciiTheme="minorEastAsia" w:hAnsiTheme="minorEastAsia"/>
          <w:sz w:val="24"/>
          <w:highlight w:val="none"/>
        </w:rPr>
        <w:t>8.</w:t>
      </w:r>
      <w:r>
        <w:rPr>
          <w:rFonts w:hint="eastAsia" w:asciiTheme="minorEastAsia" w:hAnsiTheme="minorEastAsia"/>
          <w:sz w:val="24"/>
          <w:highlight w:val="none"/>
        </w:rPr>
        <w:tab/>
      </w:r>
      <w:r>
        <w:rPr>
          <w:rFonts w:hint="eastAsia" w:asciiTheme="minorEastAsia" w:hAnsiTheme="minorEastAsia"/>
          <w:sz w:val="24"/>
          <w:highlight w:val="none"/>
        </w:rPr>
        <w:t>我方承诺完全响应采购需求中的内容。</w:t>
      </w:r>
    </w:p>
    <w:p>
      <w:pPr>
        <w:spacing w:line="360" w:lineRule="auto"/>
        <w:rPr>
          <w:rFonts w:asciiTheme="minorEastAsia" w:hAnsiTheme="minorEastAsia"/>
          <w:sz w:val="24"/>
          <w:highlight w:val="none"/>
        </w:rPr>
      </w:pPr>
    </w:p>
    <w:p>
      <w:pPr>
        <w:spacing w:line="360" w:lineRule="auto"/>
        <w:rPr>
          <w:rFonts w:asciiTheme="minorEastAsia" w:hAnsiTheme="minorEastAsia"/>
          <w:sz w:val="24"/>
          <w:highlight w:val="none"/>
        </w:rPr>
      </w:pPr>
      <w:r>
        <w:rPr>
          <w:rFonts w:hint="eastAsia" w:asciiTheme="minorEastAsia" w:hAnsiTheme="minorEastAsia"/>
          <w:sz w:val="24"/>
          <w:highlight w:val="none"/>
        </w:rPr>
        <w:t xml:space="preserve">法定代表人或授权代表（个人电子签章或签字）：   </w:t>
      </w:r>
    </w:p>
    <w:p>
      <w:pPr>
        <w:spacing w:line="360" w:lineRule="auto"/>
        <w:rPr>
          <w:rFonts w:asciiTheme="minorEastAsia" w:hAnsiTheme="minorEastAsia"/>
          <w:sz w:val="24"/>
          <w:highlight w:val="none"/>
        </w:rPr>
      </w:pPr>
      <w:r>
        <w:rPr>
          <w:rFonts w:hint="eastAsia" w:asciiTheme="minorEastAsia" w:hAnsiTheme="minorEastAsia"/>
          <w:sz w:val="24"/>
          <w:highlight w:val="none"/>
        </w:rPr>
        <w:t>投标人名称（企业电子签章或公章）：</w:t>
      </w:r>
    </w:p>
    <w:p>
      <w:pPr>
        <w:spacing w:line="360" w:lineRule="auto"/>
        <w:rPr>
          <w:rFonts w:asciiTheme="minorEastAsia" w:hAnsiTheme="minorEastAsia"/>
          <w:sz w:val="24"/>
          <w:highlight w:val="none"/>
        </w:rPr>
      </w:pPr>
      <w:r>
        <w:rPr>
          <w:rFonts w:hint="eastAsia" w:asciiTheme="minorEastAsia" w:hAnsiTheme="minorEastAsia"/>
          <w:sz w:val="24"/>
          <w:highlight w:val="none"/>
        </w:rPr>
        <w:t>日期：</w:t>
      </w:r>
    </w:p>
    <w:p>
      <w:pPr>
        <w:widowControl/>
        <w:jc w:val="left"/>
        <w:rPr>
          <w:rFonts w:asciiTheme="minorEastAsia" w:hAnsiTheme="minorEastAsia"/>
          <w:highlight w:val="none"/>
        </w:rPr>
      </w:pPr>
      <w:r>
        <w:rPr>
          <w:rFonts w:asciiTheme="minorEastAsia" w:hAnsiTheme="minorEastAsia"/>
          <w:highlight w:val="none"/>
        </w:rPr>
        <w:br w:type="page"/>
      </w:r>
    </w:p>
    <w:p>
      <w:pPr>
        <w:pStyle w:val="10"/>
        <w:spacing w:before="0" w:after="0"/>
        <w:jc w:val="center"/>
        <w:rPr>
          <w:rFonts w:hint="eastAsia"/>
          <w:sz w:val="24"/>
          <w:highlight w:val="none"/>
          <w:lang w:val="en-US" w:eastAsia="zh-CN"/>
        </w:rPr>
      </w:pPr>
      <w:bookmarkStart w:id="58" w:name="_Toc28316"/>
      <w:r>
        <w:rPr>
          <w:rFonts w:hint="eastAsia"/>
          <w:sz w:val="24"/>
          <w:highlight w:val="none"/>
          <w:lang w:val="en-US" w:eastAsia="zh-CN"/>
        </w:rPr>
        <w:t>二、投标报价表格</w:t>
      </w:r>
      <w:bookmarkEnd w:id="58"/>
    </w:p>
    <w:p>
      <w:pPr>
        <w:pStyle w:val="11"/>
        <w:spacing w:before="0" w:after="0"/>
        <w:jc w:val="center"/>
        <w:rPr>
          <w:sz w:val="24"/>
          <w:highlight w:val="none"/>
        </w:rPr>
      </w:pPr>
      <w:bookmarkStart w:id="59" w:name="_Toc30860"/>
      <w:r>
        <w:rPr>
          <w:rFonts w:hint="eastAsia"/>
          <w:sz w:val="24"/>
          <w:highlight w:val="none"/>
        </w:rPr>
        <w:t>1．开标一览表</w:t>
      </w:r>
    </w:p>
    <w:bookmarkEnd w:id="59"/>
    <w:p>
      <w:pPr>
        <w:jc w:val="right"/>
        <w:rPr>
          <w:rFonts w:asciiTheme="minorEastAsia" w:hAnsiTheme="minorEastAsia"/>
          <w:highlight w:val="none"/>
        </w:rPr>
      </w:pPr>
      <w:r>
        <w:rPr>
          <w:rFonts w:hint="eastAsia" w:asciiTheme="minorEastAsia" w:hAnsiTheme="minorEastAsia"/>
          <w:highlight w:val="none"/>
        </w:rPr>
        <w:t>金额单位：元</w:t>
      </w:r>
    </w:p>
    <w:tbl>
      <w:tblPr>
        <w:tblStyle w:val="29"/>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3"/>
        <w:gridCol w:w="6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Align w:val="center"/>
          </w:tcPr>
          <w:p>
            <w:pPr>
              <w:rPr>
                <w:rFonts w:asciiTheme="minorEastAsia" w:hAnsiTheme="minorEastAsia"/>
                <w:b/>
                <w:bCs/>
                <w:sz w:val="24"/>
                <w:szCs w:val="28"/>
                <w:highlight w:val="none"/>
              </w:rPr>
            </w:pPr>
            <w:r>
              <w:rPr>
                <w:rFonts w:hint="eastAsia" w:asciiTheme="minorEastAsia" w:hAnsiTheme="minorEastAsia"/>
                <w:b/>
                <w:bCs/>
                <w:sz w:val="24"/>
                <w:szCs w:val="28"/>
                <w:highlight w:val="none"/>
              </w:rPr>
              <w:t>投标人名称</w:t>
            </w:r>
          </w:p>
        </w:tc>
        <w:tc>
          <w:tcPr>
            <w:tcW w:w="6253" w:type="dxa"/>
            <w:vAlign w:val="center"/>
          </w:tcPr>
          <w:p>
            <w:pPr>
              <w:rPr>
                <w:rFonts w:asciiTheme="minorEastAsia" w:hAnsiTheme="minorEastAsia"/>
                <w:b/>
                <w:bCs/>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Merge w:val="restart"/>
            <w:vAlign w:val="center"/>
          </w:tcPr>
          <w:p>
            <w:pPr>
              <w:rPr>
                <w:rFonts w:asciiTheme="minorEastAsia" w:hAnsiTheme="minorEastAsia"/>
                <w:b/>
                <w:bCs/>
                <w:sz w:val="24"/>
                <w:szCs w:val="28"/>
                <w:highlight w:val="none"/>
              </w:rPr>
            </w:pPr>
            <w:r>
              <w:rPr>
                <w:rFonts w:hint="eastAsia" w:asciiTheme="minorEastAsia" w:hAnsiTheme="minorEastAsia"/>
                <w:b/>
                <w:bCs/>
                <w:sz w:val="24"/>
                <w:szCs w:val="28"/>
                <w:highlight w:val="none"/>
              </w:rPr>
              <w:t>投标报价</w:t>
            </w:r>
          </w:p>
        </w:tc>
        <w:tc>
          <w:tcPr>
            <w:tcW w:w="6253" w:type="dxa"/>
            <w:vAlign w:val="center"/>
          </w:tcPr>
          <w:p>
            <w:pPr>
              <w:rPr>
                <w:rFonts w:asciiTheme="minorEastAsia" w:hAnsiTheme="minorEastAsia"/>
                <w:b/>
                <w:bCs/>
                <w:sz w:val="24"/>
                <w:szCs w:val="28"/>
                <w:highlight w:val="none"/>
              </w:rPr>
            </w:pPr>
            <w:r>
              <w:rPr>
                <w:rFonts w:hint="eastAsia" w:asciiTheme="minorEastAsia" w:hAnsiTheme="minorEastAsia"/>
                <w:b/>
                <w:bCs/>
                <w:sz w:val="24"/>
                <w:szCs w:val="28"/>
                <w:highlight w:val="none"/>
              </w:rPr>
              <w:t>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Merge w:val="continue"/>
            <w:vAlign w:val="center"/>
          </w:tcPr>
          <w:p>
            <w:pPr>
              <w:rPr>
                <w:rFonts w:asciiTheme="minorEastAsia" w:hAnsiTheme="minorEastAsia"/>
                <w:b/>
                <w:bCs/>
                <w:sz w:val="24"/>
                <w:szCs w:val="28"/>
                <w:highlight w:val="none"/>
              </w:rPr>
            </w:pPr>
          </w:p>
        </w:tc>
        <w:tc>
          <w:tcPr>
            <w:tcW w:w="6253" w:type="dxa"/>
            <w:vAlign w:val="center"/>
          </w:tcPr>
          <w:p>
            <w:pPr>
              <w:rPr>
                <w:rFonts w:asciiTheme="minorEastAsia" w:hAnsiTheme="minorEastAsia"/>
                <w:b/>
                <w:bCs/>
                <w:sz w:val="24"/>
                <w:szCs w:val="28"/>
                <w:highlight w:val="none"/>
              </w:rPr>
            </w:pPr>
            <w:r>
              <w:rPr>
                <w:rFonts w:hint="eastAsia" w:asciiTheme="minorEastAsia" w:hAnsiTheme="minorEastAsia"/>
                <w:b/>
                <w:bCs/>
                <w:sz w:val="24"/>
                <w:szCs w:val="28"/>
                <w:highlight w:val="none"/>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Align w:val="center"/>
          </w:tcPr>
          <w:p>
            <w:pPr>
              <w:rPr>
                <w:rFonts w:hint="eastAsia" w:asciiTheme="minorEastAsia" w:hAnsiTheme="minorEastAsia" w:eastAsiaTheme="minorEastAsia"/>
                <w:b/>
                <w:bCs/>
                <w:sz w:val="24"/>
                <w:szCs w:val="28"/>
                <w:highlight w:val="none"/>
                <w:lang w:eastAsia="zh-CN"/>
              </w:rPr>
            </w:pPr>
            <w:r>
              <w:rPr>
                <w:rFonts w:hint="eastAsia" w:asciiTheme="minorEastAsia" w:hAnsiTheme="minorEastAsia"/>
                <w:b/>
                <w:bCs/>
                <w:sz w:val="24"/>
                <w:szCs w:val="28"/>
                <w:highlight w:val="none"/>
                <w:lang w:eastAsia="zh-CN"/>
              </w:rPr>
              <w:t>服务期限</w:t>
            </w:r>
          </w:p>
        </w:tc>
        <w:tc>
          <w:tcPr>
            <w:tcW w:w="6253" w:type="dxa"/>
            <w:vAlign w:val="center"/>
          </w:tcPr>
          <w:p>
            <w:pPr>
              <w:rPr>
                <w:rFonts w:asciiTheme="minorEastAsia" w:hAnsiTheme="minorEastAsia"/>
                <w:b/>
                <w:bCs/>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Align w:val="center"/>
          </w:tcPr>
          <w:p>
            <w:pPr>
              <w:rPr>
                <w:rFonts w:asciiTheme="minorEastAsia" w:hAnsiTheme="minorEastAsia"/>
                <w:b/>
                <w:bCs/>
                <w:sz w:val="24"/>
                <w:szCs w:val="28"/>
                <w:highlight w:val="none"/>
              </w:rPr>
            </w:pPr>
            <w:r>
              <w:rPr>
                <w:rFonts w:hint="eastAsia" w:asciiTheme="minorEastAsia" w:hAnsiTheme="minorEastAsia"/>
                <w:b/>
                <w:bCs/>
                <w:sz w:val="24"/>
                <w:szCs w:val="28"/>
                <w:highlight w:val="none"/>
              </w:rPr>
              <w:t>质量要求</w:t>
            </w:r>
          </w:p>
        </w:tc>
        <w:tc>
          <w:tcPr>
            <w:tcW w:w="6253" w:type="dxa"/>
            <w:vAlign w:val="center"/>
          </w:tcPr>
          <w:p>
            <w:pPr>
              <w:rPr>
                <w:rFonts w:asciiTheme="minorEastAsia" w:hAnsiTheme="minorEastAsia"/>
                <w:b/>
                <w:bCs/>
                <w:sz w:val="24"/>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Align w:val="center"/>
          </w:tcPr>
          <w:p>
            <w:pPr>
              <w:rPr>
                <w:rFonts w:asciiTheme="minorEastAsia" w:hAnsiTheme="minorEastAsia"/>
                <w:b/>
                <w:bCs/>
                <w:sz w:val="24"/>
                <w:szCs w:val="28"/>
                <w:highlight w:val="none"/>
              </w:rPr>
            </w:pPr>
            <w:r>
              <w:rPr>
                <w:rFonts w:hint="eastAsia" w:asciiTheme="minorEastAsia" w:hAnsiTheme="minorEastAsia"/>
                <w:b/>
                <w:bCs/>
                <w:sz w:val="24"/>
                <w:szCs w:val="28"/>
                <w:highlight w:val="none"/>
              </w:rPr>
              <w:t>投标有效期</w:t>
            </w:r>
          </w:p>
        </w:tc>
        <w:tc>
          <w:tcPr>
            <w:tcW w:w="6253" w:type="dxa"/>
            <w:vAlign w:val="center"/>
          </w:tcPr>
          <w:p>
            <w:pPr>
              <w:rPr>
                <w:rFonts w:asciiTheme="minorEastAsia" w:hAnsiTheme="minorEastAsia"/>
                <w:b/>
                <w:bCs/>
                <w:sz w:val="24"/>
                <w:szCs w:val="28"/>
                <w:highlight w:val="none"/>
              </w:rPr>
            </w:pPr>
            <w:r>
              <w:rPr>
                <w:rFonts w:hint="eastAsia" w:asciiTheme="minorEastAsia" w:hAnsiTheme="minorEastAsia"/>
                <w:kern w:val="0"/>
                <w:szCs w:val="21"/>
                <w:highlight w:val="none"/>
              </w:rPr>
              <w:t>自投标截止之日起60日历天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043" w:type="dxa"/>
            <w:vAlign w:val="center"/>
          </w:tcPr>
          <w:p>
            <w:pPr>
              <w:rPr>
                <w:rFonts w:asciiTheme="minorEastAsia" w:hAnsiTheme="minorEastAsia"/>
                <w:b/>
                <w:bCs/>
                <w:sz w:val="24"/>
                <w:szCs w:val="28"/>
                <w:highlight w:val="none"/>
              </w:rPr>
            </w:pPr>
            <w:r>
              <w:rPr>
                <w:rFonts w:hint="eastAsia" w:asciiTheme="minorEastAsia" w:hAnsiTheme="minorEastAsia"/>
                <w:b/>
                <w:bCs/>
                <w:sz w:val="24"/>
                <w:szCs w:val="28"/>
                <w:highlight w:val="none"/>
              </w:rPr>
              <w:t>其他声明</w:t>
            </w:r>
          </w:p>
        </w:tc>
        <w:tc>
          <w:tcPr>
            <w:tcW w:w="6253" w:type="dxa"/>
            <w:vAlign w:val="center"/>
          </w:tcPr>
          <w:p>
            <w:pPr>
              <w:rPr>
                <w:rFonts w:asciiTheme="minorEastAsia" w:hAnsiTheme="minorEastAsia"/>
                <w:b/>
                <w:bCs/>
                <w:sz w:val="24"/>
                <w:szCs w:val="28"/>
                <w:highlight w:val="none"/>
              </w:rPr>
            </w:pPr>
          </w:p>
        </w:tc>
      </w:tr>
    </w:tbl>
    <w:p>
      <w:pPr>
        <w:rPr>
          <w:rFonts w:asciiTheme="minorEastAsia" w:hAnsiTheme="minorEastAsia"/>
          <w:highlight w:val="none"/>
        </w:rPr>
      </w:pPr>
    </w:p>
    <w:p>
      <w:pPr>
        <w:widowControl/>
        <w:jc w:val="left"/>
        <w:rPr>
          <w:rFonts w:asciiTheme="minorEastAsia" w:hAnsiTheme="minorEastAsia"/>
          <w:highlight w:val="none"/>
        </w:rPr>
      </w:pP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法定代表人或授权代表（</w:t>
      </w:r>
      <w:r>
        <w:rPr>
          <w:rFonts w:hint="eastAsia" w:asciiTheme="minorEastAsia" w:hAnsiTheme="minorEastAsia"/>
          <w:sz w:val="24"/>
          <w:highlight w:val="none"/>
        </w:rPr>
        <w:t>个人电子签章或签字</w:t>
      </w:r>
      <w:r>
        <w:rPr>
          <w:rFonts w:hint="eastAsia" w:asciiTheme="minorEastAsia" w:hAnsiTheme="minorEastAsia"/>
          <w:sz w:val="24"/>
          <w:szCs w:val="24"/>
          <w:highlight w:val="none"/>
        </w:rPr>
        <w:t xml:space="preserve">）：   </w:t>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投标人名称（企业电子签章或公章）：</w:t>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日期：</w:t>
      </w:r>
    </w:p>
    <w:p>
      <w:pPr>
        <w:rPr>
          <w:rFonts w:hint="eastAsia" w:asciiTheme="majorHAnsi" w:hAnsiTheme="majorHAnsi" w:eastAsiaTheme="majorEastAsia" w:cstheme="majorBidi"/>
          <w:b/>
          <w:bCs/>
          <w:kern w:val="2"/>
          <w:sz w:val="24"/>
          <w:szCs w:val="28"/>
          <w:highlight w:val="none"/>
          <w:lang w:val="en-US" w:eastAsia="zh-CN" w:bidi="ar-SA"/>
        </w:rPr>
      </w:pPr>
      <w:bookmarkStart w:id="60" w:name="_Toc9150"/>
      <w:r>
        <w:rPr>
          <w:rFonts w:hint="eastAsia" w:asciiTheme="majorHAnsi" w:hAnsiTheme="majorHAnsi" w:eastAsiaTheme="majorEastAsia" w:cstheme="majorBidi"/>
          <w:b/>
          <w:bCs/>
          <w:kern w:val="2"/>
          <w:sz w:val="24"/>
          <w:szCs w:val="28"/>
          <w:highlight w:val="none"/>
          <w:lang w:val="en-US" w:eastAsia="zh-CN" w:bidi="ar-SA"/>
        </w:rPr>
        <w:br w:type="page"/>
      </w:r>
    </w:p>
    <w:bookmarkEnd w:id="60"/>
    <w:p>
      <w:pPr>
        <w:pStyle w:val="11"/>
        <w:numPr>
          <w:ilvl w:val="0"/>
          <w:numId w:val="10"/>
        </w:numPr>
        <w:spacing w:before="0" w:after="0"/>
        <w:jc w:val="center"/>
        <w:rPr>
          <w:rFonts w:hint="eastAsia"/>
          <w:highlight w:val="none"/>
        </w:rPr>
      </w:pPr>
      <w:r>
        <w:rPr>
          <w:rFonts w:hint="eastAsia"/>
          <w:sz w:val="24"/>
          <w:highlight w:val="none"/>
          <w:lang w:val="en-US" w:eastAsia="zh-CN"/>
        </w:rPr>
        <w:t>投标报价明细表</w:t>
      </w:r>
    </w:p>
    <w:p>
      <w:pPr>
        <w:spacing w:line="360" w:lineRule="auto"/>
        <w:jc w:val="right"/>
        <w:rPr>
          <w:rFonts w:hint="eastAsia"/>
          <w:highlight w:val="none"/>
        </w:rPr>
      </w:pPr>
      <w:r>
        <w:rPr>
          <w:rFonts w:hint="eastAsia" w:asciiTheme="minorEastAsia" w:hAnsiTheme="minorEastAsia"/>
          <w:sz w:val="24"/>
          <w:szCs w:val="24"/>
          <w:highlight w:val="none"/>
        </w:rPr>
        <w:t>金额单位：元</w:t>
      </w:r>
    </w:p>
    <w:tbl>
      <w:tblPr>
        <w:tblStyle w:val="28"/>
        <w:tblW w:w="886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9"/>
        <w:gridCol w:w="1746"/>
        <w:gridCol w:w="3989"/>
        <w:gridCol w:w="1160"/>
        <w:gridCol w:w="876"/>
        <w:gridCol w:w="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2175" w:type="dxa"/>
            <w:gridSpan w:val="2"/>
            <w:tcBorders>
              <w:tl2br w:val="nil"/>
              <w:tr2bl w:val="nil"/>
            </w:tcBorders>
            <w:shd w:val="clear" w:color="auto" w:fill="auto"/>
            <w:vAlign w:val="center"/>
          </w:tcPr>
          <w:p>
            <w:pPr>
              <w:widowControl/>
              <w:jc w:val="center"/>
              <w:rPr>
                <w:rFonts w:hint="default" w:ascii="宋体" w:hAnsi="宋体" w:eastAsia="宋体" w:cs="宋体"/>
                <w:b/>
                <w:bCs/>
                <w:kern w:val="0"/>
                <w:sz w:val="21"/>
                <w:szCs w:val="21"/>
                <w:highlight w:val="none"/>
                <w:lang w:val="en-US" w:eastAsia="zh-CN" w:bidi="ar-SA"/>
              </w:rPr>
            </w:pPr>
            <w:r>
              <w:rPr>
                <w:rFonts w:hint="eastAsia" w:ascii="宋体" w:hAnsi="宋体" w:eastAsia="宋体" w:cs="宋体"/>
                <w:b/>
                <w:bCs/>
                <w:kern w:val="0"/>
                <w:szCs w:val="21"/>
                <w:highlight w:val="none"/>
                <w:lang w:val="en-US" w:eastAsia="zh-CN"/>
              </w:rPr>
              <w:t>项目内容</w:t>
            </w:r>
          </w:p>
        </w:tc>
        <w:tc>
          <w:tcPr>
            <w:tcW w:w="3989" w:type="dxa"/>
            <w:tcBorders>
              <w:tl2br w:val="nil"/>
              <w:tr2bl w:val="nil"/>
            </w:tcBorders>
            <w:shd w:val="clear" w:color="auto" w:fill="auto"/>
            <w:vAlign w:val="center"/>
          </w:tcPr>
          <w:p>
            <w:pPr>
              <w:widowControl/>
              <w:jc w:val="center"/>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Cs w:val="21"/>
                <w:highlight w:val="none"/>
              </w:rPr>
              <w:t>规格</w:t>
            </w:r>
          </w:p>
        </w:tc>
        <w:tc>
          <w:tcPr>
            <w:tcW w:w="1160" w:type="dxa"/>
            <w:tcBorders>
              <w:tl2br w:val="nil"/>
              <w:tr2bl w:val="nil"/>
            </w:tcBorders>
            <w:shd w:val="clear" w:color="auto" w:fill="auto"/>
            <w:vAlign w:val="center"/>
          </w:tcPr>
          <w:p>
            <w:pPr>
              <w:widowControl/>
              <w:jc w:val="center"/>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Cs w:val="21"/>
                <w:highlight w:val="none"/>
              </w:rPr>
              <w:t>数量</w:t>
            </w:r>
          </w:p>
        </w:tc>
        <w:tc>
          <w:tcPr>
            <w:tcW w:w="876" w:type="dxa"/>
            <w:tcBorders>
              <w:tl2br w:val="nil"/>
              <w:tr2bl w:val="nil"/>
            </w:tcBorders>
            <w:shd w:val="clear" w:color="auto" w:fill="auto"/>
            <w:vAlign w:val="center"/>
          </w:tcPr>
          <w:p>
            <w:pPr>
              <w:widowControl/>
              <w:jc w:val="center"/>
              <w:rPr>
                <w:rFonts w:hint="eastAsia" w:ascii="宋体" w:hAnsi="宋体" w:eastAsia="宋体" w:cs="宋体"/>
                <w:b/>
                <w:bCs/>
                <w:kern w:val="0"/>
                <w:szCs w:val="21"/>
                <w:highlight w:val="none"/>
                <w:lang w:val="en-US" w:eastAsia="zh-CN"/>
              </w:rPr>
            </w:pPr>
            <w:r>
              <w:rPr>
                <w:rFonts w:hint="eastAsia" w:ascii="宋体" w:hAnsi="宋体" w:eastAsia="宋体" w:cs="宋体"/>
                <w:b/>
                <w:bCs/>
                <w:kern w:val="0"/>
                <w:szCs w:val="21"/>
                <w:highlight w:val="none"/>
                <w:lang w:val="en-US" w:eastAsia="zh-CN"/>
              </w:rPr>
              <w:t>单价</w:t>
            </w:r>
          </w:p>
        </w:tc>
        <w:tc>
          <w:tcPr>
            <w:tcW w:w="663" w:type="dxa"/>
            <w:tcBorders>
              <w:tl2br w:val="nil"/>
              <w:tr2bl w:val="nil"/>
            </w:tcBorders>
            <w:shd w:val="clear" w:color="auto" w:fill="auto"/>
            <w:vAlign w:val="center"/>
          </w:tcPr>
          <w:p>
            <w:pPr>
              <w:widowControl/>
              <w:jc w:val="center"/>
              <w:rPr>
                <w:rFonts w:hint="eastAsia" w:ascii="宋体" w:hAnsi="宋体" w:eastAsia="宋体" w:cs="宋体"/>
                <w:b/>
                <w:bCs/>
                <w:kern w:val="0"/>
                <w:szCs w:val="21"/>
                <w:highlight w:val="none"/>
                <w:lang w:val="en-US" w:eastAsia="zh-CN"/>
              </w:rPr>
            </w:pPr>
            <w:r>
              <w:rPr>
                <w:rFonts w:hint="eastAsia" w:ascii="宋体" w:hAnsi="宋体" w:eastAsia="宋体" w:cs="宋体"/>
                <w:b/>
                <w:bCs/>
                <w:kern w:val="0"/>
                <w:szCs w:val="21"/>
                <w:highlight w:val="none"/>
                <w:lang w:val="en-US" w:eastAsia="zh-CN"/>
              </w:rPr>
              <w:t>合价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7324" w:type="dxa"/>
            <w:gridSpan w:val="4"/>
            <w:tcBorders>
              <w:tl2br w:val="nil"/>
              <w:tr2bl w:val="nil"/>
            </w:tcBorders>
            <w:shd w:val="clear" w:color="auto" w:fill="auto"/>
            <w:vAlign w:val="center"/>
          </w:tcPr>
          <w:p>
            <w:pPr>
              <w:widowControl/>
              <w:jc w:val="center"/>
              <w:rPr>
                <w:rFonts w:hint="eastAsia" w:ascii="宋体" w:hAnsi="宋体" w:eastAsia="宋体" w:cs="宋体"/>
                <w:b/>
                <w:bCs/>
                <w:kern w:val="0"/>
                <w:szCs w:val="21"/>
                <w:highlight w:val="none"/>
              </w:rPr>
            </w:pPr>
            <w:r>
              <w:rPr>
                <w:rFonts w:hint="eastAsia" w:ascii="宋体" w:hAnsi="宋体" w:eastAsia="宋体" w:cs="宋体"/>
                <w:b/>
                <w:bCs/>
                <w:kern w:val="0"/>
                <w:szCs w:val="21"/>
                <w:highlight w:val="none"/>
                <w:lang w:val="en-US" w:eastAsia="zh-CN"/>
              </w:rPr>
              <w:t>一、氛围场景</w:t>
            </w:r>
          </w:p>
        </w:tc>
        <w:tc>
          <w:tcPr>
            <w:tcW w:w="876" w:type="dxa"/>
            <w:tcBorders>
              <w:tl2br w:val="nil"/>
              <w:tr2bl w:val="nil"/>
            </w:tcBorders>
            <w:shd w:val="clear" w:color="auto" w:fill="auto"/>
            <w:vAlign w:val="center"/>
          </w:tcPr>
          <w:p>
            <w:pPr>
              <w:widowControl/>
              <w:jc w:val="center"/>
              <w:rPr>
                <w:rFonts w:hint="eastAsia" w:ascii="宋体" w:hAnsi="宋体" w:eastAsia="宋体" w:cs="宋体"/>
                <w:b/>
                <w:bCs/>
                <w:kern w:val="0"/>
                <w:szCs w:val="21"/>
                <w:highlight w:val="none"/>
                <w:lang w:val="en-US" w:eastAsia="zh-CN"/>
              </w:rPr>
            </w:pPr>
          </w:p>
        </w:tc>
        <w:tc>
          <w:tcPr>
            <w:tcW w:w="663" w:type="dxa"/>
            <w:tcBorders>
              <w:tl2br w:val="nil"/>
              <w:tr2bl w:val="nil"/>
            </w:tcBorders>
            <w:shd w:val="clear" w:color="auto" w:fill="auto"/>
            <w:vAlign w:val="center"/>
          </w:tcPr>
          <w:p>
            <w:pPr>
              <w:widowControl/>
              <w:jc w:val="center"/>
              <w:rPr>
                <w:rFonts w:hint="eastAsia" w:ascii="宋体" w:hAnsi="宋体" w:eastAsia="宋体" w:cs="宋体"/>
                <w:b/>
                <w:bCs/>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429" w:type="dxa"/>
            <w:vMerge w:val="restart"/>
            <w:tcBorders>
              <w:tl2br w:val="nil"/>
              <w:tr2bl w:val="nil"/>
            </w:tcBorders>
            <w:shd w:val="clear" w:color="auto" w:fill="auto"/>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1</w:t>
            </w:r>
          </w:p>
        </w:tc>
        <w:tc>
          <w:tcPr>
            <w:tcW w:w="1746" w:type="dxa"/>
            <w:vMerge w:val="restart"/>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kern w:val="0"/>
                <w:szCs w:val="21"/>
                <w:highlight w:val="none"/>
                <w:lang w:val="en-US" w:eastAsia="zh-CN"/>
              </w:rPr>
              <w:t>迎宾</w:t>
            </w:r>
            <w:r>
              <w:rPr>
                <w:rFonts w:hint="eastAsia" w:ascii="宋体" w:hAnsi="宋体" w:eastAsia="宋体" w:cs="宋体"/>
                <w:b w:val="0"/>
                <w:bCs w:val="0"/>
                <w:i w:val="0"/>
                <w:iCs w:val="0"/>
                <w:color w:val="000000"/>
                <w:kern w:val="0"/>
                <w:sz w:val="20"/>
                <w:szCs w:val="20"/>
                <w:highlight w:val="none"/>
                <w:u w:val="none"/>
                <w:lang w:val="en-US" w:eastAsia="zh-CN" w:bidi="ar"/>
              </w:rPr>
              <w:t>氛围营造</w:t>
            </w:r>
          </w:p>
        </w:tc>
        <w:tc>
          <w:tcPr>
            <w:tcW w:w="3989" w:type="dxa"/>
            <w:tcBorders>
              <w:tl2br w:val="nil"/>
              <w:tr2bl w:val="nil"/>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郑州图书馆裙房楼体主题画面</w:t>
            </w:r>
          </w:p>
        </w:tc>
        <w:tc>
          <w:tcPr>
            <w:tcW w:w="116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1项</w:t>
            </w:r>
          </w:p>
        </w:tc>
        <w:tc>
          <w:tcPr>
            <w:tcW w:w="87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66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429" w:type="dxa"/>
            <w:vMerge w:val="continue"/>
            <w:tcBorders>
              <w:tl2br w:val="nil"/>
              <w:tr2bl w:val="nil"/>
            </w:tcBorders>
            <w:shd w:val="clear" w:color="auto" w:fill="auto"/>
            <w:vAlign w:val="center"/>
          </w:tcPr>
          <w:p>
            <w:pPr>
              <w:pStyle w:val="2"/>
              <w:rPr>
                <w:highlight w:val="none"/>
              </w:rPr>
            </w:pPr>
          </w:p>
        </w:tc>
        <w:tc>
          <w:tcPr>
            <w:tcW w:w="1746" w:type="dxa"/>
            <w:vMerge w:val="continue"/>
            <w:tcBorders>
              <w:tl2br w:val="nil"/>
              <w:tr2bl w:val="nil"/>
            </w:tcBorders>
            <w:shd w:val="clear" w:color="auto" w:fill="auto"/>
            <w:vAlign w:val="center"/>
          </w:tcPr>
          <w:p>
            <w:pPr>
              <w:pStyle w:val="2"/>
              <w:rPr>
                <w:b w:val="0"/>
                <w:bCs w:val="0"/>
                <w:highlight w:val="none"/>
              </w:rPr>
            </w:pPr>
          </w:p>
        </w:tc>
        <w:tc>
          <w:tcPr>
            <w:tcW w:w="3989" w:type="dxa"/>
            <w:tcBorders>
              <w:tl2br w:val="nil"/>
              <w:tr2bl w:val="nil"/>
            </w:tcBorders>
            <w:shd w:val="clear" w:color="auto" w:fill="auto"/>
            <w:vAlign w:val="center"/>
          </w:tcPr>
          <w:p>
            <w:pPr>
              <w:pStyle w:val="2"/>
              <w:ind w:left="0" w:leftChars="0" w:firstLine="0" w:firstLineChars="0"/>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主题迎宾拱门造型</w:t>
            </w:r>
          </w:p>
        </w:tc>
        <w:tc>
          <w:tcPr>
            <w:tcW w:w="1160" w:type="dxa"/>
            <w:tcBorders>
              <w:tl2br w:val="nil"/>
              <w:tr2bl w:val="nil"/>
            </w:tcBorders>
            <w:shd w:val="clear" w:color="auto" w:fill="auto"/>
            <w:vAlign w:val="center"/>
          </w:tcPr>
          <w:p>
            <w:pPr>
              <w:pStyle w:val="2"/>
              <w:jc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至少1个</w:t>
            </w:r>
          </w:p>
        </w:tc>
        <w:tc>
          <w:tcPr>
            <w:tcW w:w="876" w:type="dxa"/>
            <w:tcBorders>
              <w:tl2br w:val="nil"/>
              <w:tr2bl w:val="nil"/>
            </w:tcBorders>
            <w:shd w:val="clear" w:color="auto" w:fill="auto"/>
            <w:vAlign w:val="center"/>
          </w:tcPr>
          <w:p>
            <w:pPr>
              <w:pStyle w:val="2"/>
              <w:jc w:val="center"/>
              <w:rPr>
                <w:rFonts w:hint="eastAsia" w:ascii="宋体" w:hAnsi="宋体" w:eastAsia="宋体" w:cs="宋体"/>
                <w:i w:val="0"/>
                <w:iCs w:val="0"/>
                <w:color w:val="000000"/>
                <w:kern w:val="0"/>
                <w:sz w:val="20"/>
                <w:szCs w:val="20"/>
                <w:highlight w:val="none"/>
                <w:u w:val="none"/>
                <w:lang w:val="en-US" w:eastAsia="zh-CN" w:bidi="ar"/>
              </w:rPr>
            </w:pPr>
          </w:p>
        </w:tc>
        <w:tc>
          <w:tcPr>
            <w:tcW w:w="663" w:type="dxa"/>
            <w:tcBorders>
              <w:tl2br w:val="nil"/>
              <w:tr2bl w:val="nil"/>
            </w:tcBorders>
            <w:shd w:val="clear" w:color="auto" w:fill="auto"/>
            <w:vAlign w:val="center"/>
          </w:tcPr>
          <w:p>
            <w:pPr>
              <w:pStyle w:val="2"/>
              <w:jc w:val="center"/>
              <w:rPr>
                <w:rFonts w:hint="eastAsia" w:ascii="宋体" w:hAnsi="宋体" w:eastAsia="宋体" w:cs="宋体"/>
                <w:i w:val="0"/>
                <w:iCs w:val="0"/>
                <w:color w:val="000000"/>
                <w:kern w:val="0"/>
                <w:sz w:val="20"/>
                <w:szCs w:val="20"/>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429" w:type="dxa"/>
            <w:vMerge w:val="continue"/>
            <w:tcBorders>
              <w:tl2br w:val="nil"/>
              <w:tr2bl w:val="nil"/>
            </w:tcBorders>
            <w:shd w:val="clear" w:color="auto" w:fill="auto"/>
            <w:vAlign w:val="center"/>
          </w:tcPr>
          <w:p>
            <w:pPr>
              <w:pStyle w:val="2"/>
              <w:rPr>
                <w:rFonts w:hint="eastAsia"/>
                <w:highlight w:val="none"/>
                <w:lang w:val="en-US" w:eastAsia="zh-CN"/>
              </w:rPr>
            </w:pPr>
          </w:p>
        </w:tc>
        <w:tc>
          <w:tcPr>
            <w:tcW w:w="1746" w:type="dxa"/>
            <w:vMerge w:val="continue"/>
            <w:tcBorders>
              <w:tl2br w:val="nil"/>
              <w:tr2bl w:val="nil"/>
            </w:tcBorders>
            <w:shd w:val="clear" w:color="auto" w:fill="auto"/>
            <w:vAlign w:val="center"/>
          </w:tcPr>
          <w:p>
            <w:pPr>
              <w:pStyle w:val="2"/>
              <w:rPr>
                <w:rFonts w:hint="eastAsia"/>
                <w:b w:val="0"/>
                <w:bCs w:val="0"/>
                <w:highlight w:val="none"/>
                <w:lang w:val="en-US" w:eastAsia="zh-CN"/>
              </w:rPr>
            </w:pPr>
          </w:p>
        </w:tc>
        <w:tc>
          <w:tcPr>
            <w:tcW w:w="3989" w:type="dxa"/>
            <w:tcBorders>
              <w:tl2br w:val="nil"/>
              <w:tr2bl w:val="nil"/>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导视牌</w:t>
            </w:r>
          </w:p>
        </w:tc>
        <w:tc>
          <w:tcPr>
            <w:tcW w:w="116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不少于10个</w:t>
            </w:r>
          </w:p>
        </w:tc>
        <w:tc>
          <w:tcPr>
            <w:tcW w:w="87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66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429" w:type="dxa"/>
            <w:tcBorders>
              <w:tl2br w:val="nil"/>
              <w:tr2bl w:val="nil"/>
            </w:tcBorders>
            <w:shd w:val="clear" w:color="auto" w:fill="auto"/>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ascii="宋体" w:hAnsi="宋体" w:eastAsia="宋体" w:cs="宋体"/>
                <w:b w:val="0"/>
                <w:bCs w:val="0"/>
                <w:kern w:val="0"/>
                <w:szCs w:val="21"/>
                <w:highlight w:val="none"/>
              </w:rPr>
            </w:pPr>
            <w:r>
              <w:rPr>
                <w:rFonts w:hint="eastAsia" w:ascii="宋体" w:hAnsi="宋体" w:eastAsia="宋体" w:cs="宋体"/>
                <w:b w:val="0"/>
                <w:bCs w:val="0"/>
                <w:kern w:val="0"/>
                <w:szCs w:val="21"/>
                <w:highlight w:val="none"/>
                <w:lang w:val="en-US" w:eastAsia="zh-CN"/>
              </w:rPr>
              <w:t>休闲区</w:t>
            </w:r>
            <w:r>
              <w:rPr>
                <w:rFonts w:hint="eastAsia" w:ascii="宋体" w:hAnsi="宋体" w:eastAsia="宋体" w:cs="宋体"/>
                <w:b w:val="0"/>
                <w:bCs w:val="0"/>
                <w:i w:val="0"/>
                <w:iCs w:val="0"/>
                <w:color w:val="000000"/>
                <w:kern w:val="0"/>
                <w:sz w:val="20"/>
                <w:szCs w:val="20"/>
                <w:highlight w:val="none"/>
                <w:u w:val="none"/>
                <w:lang w:val="en-US" w:eastAsia="zh-CN" w:bidi="ar"/>
              </w:rPr>
              <w:t>户外露营风桌椅</w:t>
            </w:r>
          </w:p>
        </w:tc>
        <w:tc>
          <w:tcPr>
            <w:tcW w:w="3989" w:type="dxa"/>
            <w:tcBorders>
              <w:tl2br w:val="nil"/>
              <w:tr2bl w:val="nil"/>
            </w:tcBorders>
            <w:shd w:val="clear" w:color="auto" w:fill="auto"/>
            <w:vAlign w:val="center"/>
          </w:tcPr>
          <w:p>
            <w:pPr>
              <w:keepNext w:val="0"/>
              <w:keepLines w:val="0"/>
              <w:widowControl/>
              <w:suppressLineNumbers w:val="0"/>
              <w:jc w:val="both"/>
              <w:textAlignment w:val="center"/>
              <w:rPr>
                <w:rFonts w:hint="default" w:ascii="宋体" w:hAnsi="宋体" w:eastAsia="宋体" w:cs="宋体"/>
                <w:kern w:val="0"/>
                <w:szCs w:val="21"/>
                <w:highlight w:val="none"/>
              </w:rPr>
            </w:pPr>
            <w:r>
              <w:rPr>
                <w:rFonts w:hint="default" w:ascii="宋体" w:hAnsi="宋体" w:eastAsia="宋体" w:cs="宋体"/>
                <w:i w:val="0"/>
                <w:iCs w:val="0"/>
                <w:color w:val="000000"/>
                <w:kern w:val="0"/>
                <w:sz w:val="20"/>
                <w:szCs w:val="20"/>
                <w:highlight w:val="none"/>
                <w:u w:val="none"/>
                <w:lang w:eastAsia="zh-CN" w:bidi="ar"/>
              </w:rPr>
              <w:t>购置，</w:t>
            </w:r>
            <w:r>
              <w:rPr>
                <w:rFonts w:hint="eastAsia" w:ascii="宋体" w:hAnsi="宋体" w:eastAsia="宋体" w:cs="宋体"/>
                <w:i w:val="0"/>
                <w:iCs w:val="0"/>
                <w:color w:val="000000"/>
                <w:kern w:val="0"/>
                <w:sz w:val="20"/>
                <w:szCs w:val="20"/>
                <w:highlight w:val="none"/>
                <w:u w:val="none"/>
                <w:lang w:val="en-US" w:eastAsia="zh-CN" w:bidi="ar"/>
              </w:rPr>
              <w:t>每套含：长条桌、四张椅子</w:t>
            </w:r>
          </w:p>
        </w:tc>
        <w:tc>
          <w:tcPr>
            <w:tcW w:w="1160" w:type="dxa"/>
            <w:tcBorders>
              <w:tl2br w:val="nil"/>
              <w:tr2bl w:val="nil"/>
            </w:tcBorders>
            <w:shd w:val="clear" w:color="auto" w:fill="auto"/>
            <w:vAlign w:val="top"/>
          </w:tcPr>
          <w:p>
            <w:pPr>
              <w:widowControl/>
              <w:jc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不少于15套</w:t>
            </w:r>
          </w:p>
        </w:tc>
        <w:tc>
          <w:tcPr>
            <w:tcW w:w="876" w:type="dxa"/>
            <w:tcBorders>
              <w:tl2br w:val="nil"/>
              <w:tr2bl w:val="nil"/>
            </w:tcBorders>
            <w:shd w:val="clear" w:color="auto" w:fill="auto"/>
            <w:vAlign w:val="top"/>
          </w:tcPr>
          <w:p>
            <w:pPr>
              <w:widowControl/>
              <w:jc w:val="center"/>
              <w:rPr>
                <w:rFonts w:hint="eastAsia" w:ascii="宋体" w:hAnsi="宋体" w:eastAsia="宋体" w:cs="宋体"/>
                <w:i w:val="0"/>
                <w:iCs w:val="0"/>
                <w:color w:val="000000"/>
                <w:kern w:val="0"/>
                <w:sz w:val="20"/>
                <w:szCs w:val="20"/>
                <w:highlight w:val="none"/>
                <w:u w:val="none"/>
                <w:lang w:val="en-US" w:eastAsia="zh-CN" w:bidi="ar"/>
              </w:rPr>
            </w:pPr>
          </w:p>
        </w:tc>
        <w:tc>
          <w:tcPr>
            <w:tcW w:w="663" w:type="dxa"/>
            <w:tcBorders>
              <w:tl2br w:val="nil"/>
              <w:tr2bl w:val="nil"/>
            </w:tcBorders>
            <w:shd w:val="clear" w:color="auto" w:fill="auto"/>
            <w:vAlign w:val="top"/>
          </w:tcPr>
          <w:p>
            <w:pPr>
              <w:widowControl/>
              <w:jc w:val="center"/>
              <w:rPr>
                <w:rFonts w:hint="eastAsia" w:ascii="宋体" w:hAnsi="宋体" w:eastAsia="宋体" w:cs="宋体"/>
                <w:i w:val="0"/>
                <w:iCs w:val="0"/>
                <w:color w:val="000000"/>
                <w:kern w:val="0"/>
                <w:sz w:val="20"/>
                <w:szCs w:val="20"/>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7324" w:type="dxa"/>
            <w:gridSpan w:val="4"/>
            <w:tcBorders>
              <w:tl2br w:val="nil"/>
              <w:tr2bl w:val="nil"/>
            </w:tcBorders>
            <w:shd w:val="clear" w:color="auto" w:fill="auto"/>
            <w:vAlign w:val="center"/>
          </w:tcPr>
          <w:p>
            <w:pPr>
              <w:widowControl/>
              <w:jc w:val="center"/>
              <w:rPr>
                <w:rFonts w:hint="eastAsia" w:ascii="宋体" w:hAnsi="宋体" w:eastAsia="宋体" w:cs="宋体"/>
                <w:b/>
                <w:bCs/>
                <w:kern w:val="0"/>
                <w:szCs w:val="21"/>
                <w:highlight w:val="none"/>
              </w:rPr>
            </w:pPr>
            <w:r>
              <w:rPr>
                <w:rFonts w:hint="eastAsia" w:ascii="宋体" w:hAnsi="宋体" w:eastAsia="宋体" w:cs="宋体"/>
                <w:b/>
                <w:bCs/>
                <w:kern w:val="0"/>
                <w:szCs w:val="21"/>
                <w:highlight w:val="none"/>
                <w:lang w:val="en-US" w:eastAsia="zh-CN"/>
              </w:rPr>
              <w:t>二、</w:t>
            </w:r>
            <w:r>
              <w:rPr>
                <w:rFonts w:hint="eastAsia" w:ascii="宋体" w:hAnsi="宋体" w:eastAsia="宋体" w:cs="宋体"/>
                <w:b/>
                <w:bCs/>
                <w:kern w:val="0"/>
                <w:szCs w:val="21"/>
                <w:highlight w:val="none"/>
              </w:rPr>
              <w:t>廊里文创展示</w:t>
            </w:r>
          </w:p>
        </w:tc>
        <w:tc>
          <w:tcPr>
            <w:tcW w:w="876" w:type="dxa"/>
            <w:tcBorders>
              <w:tl2br w:val="nil"/>
              <w:tr2bl w:val="nil"/>
            </w:tcBorders>
            <w:shd w:val="clear" w:color="auto" w:fill="auto"/>
            <w:vAlign w:val="center"/>
          </w:tcPr>
          <w:p>
            <w:pPr>
              <w:widowControl/>
              <w:jc w:val="center"/>
              <w:rPr>
                <w:rFonts w:hint="eastAsia" w:ascii="宋体" w:hAnsi="宋体" w:eastAsia="宋体" w:cs="宋体"/>
                <w:b/>
                <w:bCs/>
                <w:kern w:val="0"/>
                <w:szCs w:val="21"/>
                <w:highlight w:val="none"/>
                <w:lang w:val="en-US" w:eastAsia="zh-CN"/>
              </w:rPr>
            </w:pPr>
          </w:p>
        </w:tc>
        <w:tc>
          <w:tcPr>
            <w:tcW w:w="663" w:type="dxa"/>
            <w:tcBorders>
              <w:tl2br w:val="nil"/>
              <w:tr2bl w:val="nil"/>
            </w:tcBorders>
            <w:shd w:val="clear" w:color="auto" w:fill="auto"/>
            <w:vAlign w:val="center"/>
          </w:tcPr>
          <w:p>
            <w:pPr>
              <w:widowControl/>
              <w:jc w:val="center"/>
              <w:rPr>
                <w:rFonts w:hint="eastAsia" w:ascii="宋体" w:hAnsi="宋体" w:eastAsia="宋体" w:cs="宋体"/>
                <w:b/>
                <w:bCs/>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429" w:type="dxa"/>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1746" w:type="dxa"/>
            <w:vMerge w:val="restart"/>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展台</w:t>
            </w:r>
          </w:p>
        </w:tc>
        <w:tc>
          <w:tcPr>
            <w:tcW w:w="3989" w:type="dxa"/>
            <w:tcBorders>
              <w:tl2br w:val="nil"/>
              <w:tr2bl w:val="nil"/>
            </w:tcBorders>
            <w:shd w:val="clear" w:color="auto" w:fill="auto"/>
            <w:vAlign w:val="center"/>
          </w:tcPr>
          <w:p>
            <w:pPr>
              <w:keepNext w:val="0"/>
              <w:keepLines w:val="0"/>
              <w:widowControl/>
              <w:suppressLineNumbers w:val="0"/>
              <w:jc w:val="both"/>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玻璃造型展示空间，定制</w:t>
            </w:r>
          </w:p>
        </w:tc>
        <w:tc>
          <w:tcPr>
            <w:tcW w:w="1160"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2个</w:t>
            </w:r>
          </w:p>
        </w:tc>
        <w:tc>
          <w:tcPr>
            <w:tcW w:w="876"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663"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429" w:type="dxa"/>
            <w:vMerge w:val="continue"/>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1746" w:type="dxa"/>
            <w:vMerge w:val="continue"/>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3989" w:type="dxa"/>
            <w:tcBorders>
              <w:tl2br w:val="nil"/>
              <w:tr2bl w:val="nil"/>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固定展示台，定制</w:t>
            </w:r>
          </w:p>
        </w:tc>
        <w:tc>
          <w:tcPr>
            <w:tcW w:w="1160"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20个</w:t>
            </w:r>
          </w:p>
        </w:tc>
        <w:tc>
          <w:tcPr>
            <w:tcW w:w="876"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663"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429" w:type="dxa"/>
            <w:vMerge w:val="continue"/>
            <w:tcBorders>
              <w:tl2br w:val="nil"/>
              <w:tr2bl w:val="nil"/>
            </w:tcBorders>
            <w:shd w:val="clear" w:color="auto" w:fill="auto"/>
            <w:vAlign w:val="center"/>
          </w:tcPr>
          <w:p>
            <w:pPr>
              <w:widowControl/>
              <w:jc w:val="center"/>
              <w:rPr>
                <w:rFonts w:ascii="宋体" w:hAnsi="宋体" w:eastAsia="宋体" w:cs="宋体"/>
                <w:kern w:val="0"/>
                <w:szCs w:val="21"/>
                <w:highlight w:val="none"/>
              </w:rPr>
            </w:pPr>
          </w:p>
        </w:tc>
        <w:tc>
          <w:tcPr>
            <w:tcW w:w="1746" w:type="dxa"/>
            <w:vMerge w:val="continue"/>
            <w:tcBorders>
              <w:tl2br w:val="nil"/>
              <w:tr2bl w:val="nil"/>
            </w:tcBorders>
            <w:shd w:val="clear" w:color="auto" w:fill="auto"/>
            <w:vAlign w:val="center"/>
          </w:tcPr>
          <w:p>
            <w:pPr>
              <w:widowControl/>
              <w:jc w:val="center"/>
              <w:rPr>
                <w:rFonts w:ascii="宋体" w:hAnsi="宋体" w:eastAsia="宋体" w:cs="宋体"/>
                <w:kern w:val="0"/>
                <w:szCs w:val="21"/>
                <w:highlight w:val="none"/>
              </w:rPr>
            </w:pPr>
          </w:p>
        </w:tc>
        <w:tc>
          <w:tcPr>
            <w:tcW w:w="3989" w:type="dxa"/>
            <w:tcBorders>
              <w:tl2br w:val="nil"/>
              <w:tr2bl w:val="nil"/>
            </w:tcBorders>
            <w:shd w:val="clear" w:color="auto" w:fill="auto"/>
            <w:vAlign w:val="center"/>
          </w:tcPr>
          <w:p>
            <w:pPr>
              <w:widowControl/>
              <w:jc w:val="both"/>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图书文创类展架，定制</w:t>
            </w:r>
          </w:p>
        </w:tc>
        <w:tc>
          <w:tcPr>
            <w:tcW w:w="1160" w:type="dxa"/>
            <w:tcBorders>
              <w:tl2br w:val="nil"/>
              <w:tr2bl w:val="nil"/>
            </w:tcBorders>
            <w:shd w:val="clear" w:color="auto" w:fill="auto"/>
            <w:vAlign w:val="top"/>
          </w:tcPr>
          <w:p>
            <w:pPr>
              <w:widowControl/>
              <w:jc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25个</w:t>
            </w:r>
          </w:p>
        </w:tc>
        <w:tc>
          <w:tcPr>
            <w:tcW w:w="876" w:type="dxa"/>
            <w:tcBorders>
              <w:tl2br w:val="nil"/>
              <w:tr2bl w:val="nil"/>
            </w:tcBorders>
            <w:shd w:val="clear" w:color="auto" w:fill="auto"/>
            <w:vAlign w:val="top"/>
          </w:tcPr>
          <w:p>
            <w:pPr>
              <w:widowControl/>
              <w:jc w:val="center"/>
              <w:rPr>
                <w:rFonts w:hint="eastAsia" w:ascii="宋体" w:hAnsi="宋体" w:eastAsia="宋体" w:cs="宋体"/>
                <w:i w:val="0"/>
                <w:iCs w:val="0"/>
                <w:color w:val="000000"/>
                <w:kern w:val="0"/>
                <w:sz w:val="20"/>
                <w:szCs w:val="20"/>
                <w:highlight w:val="none"/>
                <w:u w:val="none"/>
                <w:lang w:val="en-US" w:eastAsia="zh-CN" w:bidi="ar"/>
              </w:rPr>
            </w:pPr>
          </w:p>
        </w:tc>
        <w:tc>
          <w:tcPr>
            <w:tcW w:w="663" w:type="dxa"/>
            <w:tcBorders>
              <w:tl2br w:val="nil"/>
              <w:tr2bl w:val="nil"/>
            </w:tcBorders>
            <w:shd w:val="clear" w:color="auto" w:fill="auto"/>
            <w:vAlign w:val="top"/>
          </w:tcPr>
          <w:p>
            <w:pPr>
              <w:widowControl/>
              <w:jc w:val="center"/>
              <w:rPr>
                <w:rFonts w:hint="eastAsia" w:ascii="宋体" w:hAnsi="宋体" w:eastAsia="宋体" w:cs="宋体"/>
                <w:i w:val="0"/>
                <w:iCs w:val="0"/>
                <w:color w:val="000000"/>
                <w:kern w:val="0"/>
                <w:sz w:val="20"/>
                <w:szCs w:val="20"/>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429" w:type="dxa"/>
            <w:vMerge w:val="continue"/>
            <w:tcBorders>
              <w:tl2br w:val="nil"/>
              <w:tr2bl w:val="nil"/>
            </w:tcBorders>
            <w:shd w:val="clear" w:color="auto" w:fill="auto"/>
            <w:vAlign w:val="center"/>
          </w:tcPr>
          <w:p>
            <w:pPr>
              <w:widowControl/>
              <w:jc w:val="center"/>
              <w:rPr>
                <w:rFonts w:ascii="宋体" w:hAnsi="宋体" w:eastAsia="宋体" w:cs="宋体"/>
                <w:kern w:val="0"/>
                <w:szCs w:val="21"/>
                <w:highlight w:val="none"/>
              </w:rPr>
            </w:pPr>
          </w:p>
        </w:tc>
        <w:tc>
          <w:tcPr>
            <w:tcW w:w="1746" w:type="dxa"/>
            <w:vMerge w:val="continue"/>
            <w:tcBorders>
              <w:tl2br w:val="nil"/>
              <w:tr2bl w:val="nil"/>
            </w:tcBorders>
            <w:shd w:val="clear" w:color="auto" w:fill="auto"/>
            <w:vAlign w:val="center"/>
          </w:tcPr>
          <w:p>
            <w:pPr>
              <w:widowControl/>
              <w:jc w:val="center"/>
              <w:rPr>
                <w:rFonts w:ascii="宋体" w:hAnsi="宋体" w:eastAsia="宋体" w:cs="宋体"/>
                <w:kern w:val="0"/>
                <w:szCs w:val="21"/>
                <w:highlight w:val="none"/>
              </w:rPr>
            </w:pPr>
          </w:p>
        </w:tc>
        <w:tc>
          <w:tcPr>
            <w:tcW w:w="3989" w:type="dxa"/>
            <w:tcBorders>
              <w:tl2br w:val="nil"/>
              <w:tr2bl w:val="nil"/>
            </w:tcBorders>
            <w:shd w:val="clear" w:color="auto" w:fill="auto"/>
            <w:vAlign w:val="center"/>
          </w:tcPr>
          <w:p>
            <w:pPr>
              <w:widowControl/>
              <w:jc w:val="both"/>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展桌、展椅（含桌布、椅布），租赁</w:t>
            </w:r>
          </w:p>
        </w:tc>
        <w:tc>
          <w:tcPr>
            <w:tcW w:w="1160" w:type="dxa"/>
            <w:tcBorders>
              <w:tl2br w:val="nil"/>
              <w:tr2bl w:val="nil"/>
            </w:tcBorders>
            <w:shd w:val="clear" w:color="auto" w:fill="auto"/>
            <w:vAlign w:val="top"/>
          </w:tcPr>
          <w:p>
            <w:pPr>
              <w:widowControl/>
              <w:jc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240套</w:t>
            </w:r>
          </w:p>
        </w:tc>
        <w:tc>
          <w:tcPr>
            <w:tcW w:w="876" w:type="dxa"/>
            <w:tcBorders>
              <w:tl2br w:val="nil"/>
              <w:tr2bl w:val="nil"/>
            </w:tcBorders>
            <w:shd w:val="clear" w:color="auto" w:fill="auto"/>
            <w:vAlign w:val="top"/>
          </w:tcPr>
          <w:p>
            <w:pPr>
              <w:widowControl/>
              <w:jc w:val="center"/>
              <w:rPr>
                <w:rFonts w:hint="eastAsia" w:ascii="宋体" w:hAnsi="宋体" w:eastAsia="宋体" w:cs="宋体"/>
                <w:i w:val="0"/>
                <w:iCs w:val="0"/>
                <w:color w:val="000000"/>
                <w:kern w:val="0"/>
                <w:sz w:val="20"/>
                <w:szCs w:val="20"/>
                <w:highlight w:val="none"/>
                <w:u w:val="none"/>
                <w:lang w:val="en-US" w:eastAsia="zh-CN" w:bidi="ar"/>
              </w:rPr>
            </w:pPr>
          </w:p>
        </w:tc>
        <w:tc>
          <w:tcPr>
            <w:tcW w:w="663" w:type="dxa"/>
            <w:tcBorders>
              <w:tl2br w:val="nil"/>
              <w:tr2bl w:val="nil"/>
            </w:tcBorders>
            <w:shd w:val="clear" w:color="auto" w:fill="auto"/>
            <w:vAlign w:val="top"/>
          </w:tcPr>
          <w:p>
            <w:pPr>
              <w:widowControl/>
              <w:jc w:val="center"/>
              <w:rPr>
                <w:rFonts w:hint="eastAsia" w:ascii="宋体" w:hAnsi="宋体" w:eastAsia="宋体" w:cs="宋体"/>
                <w:i w:val="0"/>
                <w:iCs w:val="0"/>
                <w:color w:val="000000"/>
                <w:kern w:val="0"/>
                <w:sz w:val="20"/>
                <w:szCs w:val="20"/>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429" w:type="dxa"/>
            <w:vMerge w:val="restart"/>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w:t>
            </w:r>
          </w:p>
        </w:tc>
        <w:tc>
          <w:tcPr>
            <w:tcW w:w="1746" w:type="dxa"/>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主理人</w:t>
            </w:r>
          </w:p>
        </w:tc>
        <w:tc>
          <w:tcPr>
            <w:tcW w:w="3989" w:type="dxa"/>
            <w:tcBorders>
              <w:tl2br w:val="nil"/>
              <w:tr2bl w:val="nil"/>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非遗传承人</w:t>
            </w:r>
          </w:p>
        </w:tc>
        <w:tc>
          <w:tcPr>
            <w:tcW w:w="1160"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不少于30人</w:t>
            </w:r>
          </w:p>
        </w:tc>
        <w:tc>
          <w:tcPr>
            <w:tcW w:w="876"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663"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429" w:type="dxa"/>
            <w:vMerge w:val="continue"/>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1746" w:type="dxa"/>
            <w:vMerge w:val="continue"/>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3989" w:type="dxa"/>
            <w:tcBorders>
              <w:tl2br w:val="nil"/>
              <w:tr2bl w:val="nil"/>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文化主理人（藏书等特色）</w:t>
            </w:r>
          </w:p>
        </w:tc>
        <w:tc>
          <w:tcPr>
            <w:tcW w:w="1160"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不少于30人</w:t>
            </w:r>
          </w:p>
        </w:tc>
        <w:tc>
          <w:tcPr>
            <w:tcW w:w="876"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663"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429"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设备</w:t>
            </w:r>
          </w:p>
        </w:tc>
        <w:tc>
          <w:tcPr>
            <w:tcW w:w="3989" w:type="dxa"/>
            <w:tcBorders>
              <w:tl2br w:val="nil"/>
              <w:tr2bl w:val="nil"/>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全区域电线电缆铺设</w:t>
            </w:r>
          </w:p>
        </w:tc>
        <w:tc>
          <w:tcPr>
            <w:tcW w:w="1160"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根据实际需求布置</w:t>
            </w:r>
          </w:p>
        </w:tc>
        <w:tc>
          <w:tcPr>
            <w:tcW w:w="876"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663"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429"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饮用水</w:t>
            </w:r>
          </w:p>
        </w:tc>
        <w:tc>
          <w:tcPr>
            <w:tcW w:w="3989" w:type="dxa"/>
            <w:tcBorders>
              <w:tl2br w:val="nil"/>
              <w:tr2bl w:val="nil"/>
            </w:tcBorders>
            <w:shd w:val="clear" w:color="auto" w:fill="auto"/>
            <w:vAlign w:val="center"/>
          </w:tcPr>
          <w:p>
            <w:pPr>
              <w:keepNext w:val="0"/>
              <w:keepLines w:val="0"/>
              <w:widowControl/>
              <w:suppressLineNumbers w:val="0"/>
              <w:jc w:val="both"/>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矿泉水</w:t>
            </w:r>
          </w:p>
        </w:tc>
        <w:tc>
          <w:tcPr>
            <w:tcW w:w="1160" w:type="dxa"/>
            <w:tcBorders>
              <w:tl2br w:val="nil"/>
              <w:tr2bl w:val="nil"/>
            </w:tcBorders>
            <w:shd w:val="clear" w:color="auto" w:fill="auto"/>
            <w:vAlign w:val="top"/>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eastAsia="zh-CN" w:bidi="ar"/>
              </w:rPr>
            </w:pPr>
            <w:r>
              <w:rPr>
                <w:rFonts w:hint="eastAsia" w:ascii="宋体" w:hAnsi="宋体" w:eastAsia="宋体" w:cs="宋体"/>
                <w:i w:val="0"/>
                <w:iCs w:val="0"/>
                <w:color w:val="000000"/>
                <w:kern w:val="0"/>
                <w:sz w:val="20"/>
                <w:szCs w:val="20"/>
                <w:highlight w:val="none"/>
                <w:u w:val="none"/>
                <w:lang w:val="en-US" w:eastAsia="zh-CN" w:bidi="ar"/>
              </w:rPr>
              <w:t>不少于150</w:t>
            </w:r>
            <w:r>
              <w:rPr>
                <w:rFonts w:hint="default" w:ascii="宋体" w:hAnsi="宋体" w:eastAsia="宋体" w:cs="宋体"/>
                <w:i w:val="0"/>
                <w:iCs w:val="0"/>
                <w:color w:val="000000"/>
                <w:kern w:val="0"/>
                <w:sz w:val="20"/>
                <w:szCs w:val="20"/>
                <w:highlight w:val="none"/>
                <w:u w:val="none"/>
                <w:lang w:eastAsia="zh-CN" w:bidi="ar"/>
              </w:rPr>
              <w:t>件</w:t>
            </w:r>
          </w:p>
        </w:tc>
        <w:tc>
          <w:tcPr>
            <w:tcW w:w="876"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663"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7324" w:type="dxa"/>
            <w:gridSpan w:val="4"/>
            <w:tcBorders>
              <w:tl2br w:val="nil"/>
              <w:tr2bl w:val="nil"/>
            </w:tcBorders>
            <w:shd w:val="clear" w:color="auto" w:fill="auto"/>
            <w:vAlign w:val="center"/>
          </w:tcPr>
          <w:p>
            <w:pPr>
              <w:widowControl/>
              <w:jc w:val="center"/>
              <w:rPr>
                <w:rFonts w:hint="eastAsia" w:ascii="宋体" w:hAnsi="宋体" w:eastAsia="宋体" w:cs="宋体"/>
                <w:b/>
                <w:bCs/>
                <w:kern w:val="0"/>
                <w:szCs w:val="21"/>
                <w:highlight w:val="none"/>
                <w:lang w:val="en-US" w:eastAsia="zh-CN"/>
              </w:rPr>
            </w:pPr>
            <w:r>
              <w:rPr>
                <w:rFonts w:hint="eastAsia" w:ascii="宋体" w:hAnsi="宋体" w:eastAsia="宋体" w:cs="宋体"/>
                <w:b/>
                <w:bCs/>
                <w:kern w:val="0"/>
                <w:szCs w:val="21"/>
                <w:highlight w:val="none"/>
                <w:lang w:val="en-US" w:eastAsia="zh-CN"/>
              </w:rPr>
              <w:t>三、设计</w:t>
            </w:r>
          </w:p>
        </w:tc>
        <w:tc>
          <w:tcPr>
            <w:tcW w:w="876" w:type="dxa"/>
            <w:tcBorders>
              <w:tl2br w:val="nil"/>
              <w:tr2bl w:val="nil"/>
            </w:tcBorders>
            <w:shd w:val="clear" w:color="auto" w:fill="auto"/>
            <w:vAlign w:val="center"/>
          </w:tcPr>
          <w:p>
            <w:pPr>
              <w:widowControl/>
              <w:jc w:val="center"/>
              <w:rPr>
                <w:rFonts w:hint="eastAsia" w:ascii="宋体" w:hAnsi="宋体" w:eastAsia="宋体" w:cs="宋体"/>
                <w:b/>
                <w:bCs/>
                <w:kern w:val="0"/>
                <w:szCs w:val="21"/>
                <w:highlight w:val="none"/>
                <w:lang w:val="en-US" w:eastAsia="zh-CN"/>
              </w:rPr>
            </w:pPr>
          </w:p>
        </w:tc>
        <w:tc>
          <w:tcPr>
            <w:tcW w:w="663" w:type="dxa"/>
            <w:tcBorders>
              <w:tl2br w:val="nil"/>
              <w:tr2bl w:val="nil"/>
            </w:tcBorders>
            <w:shd w:val="clear" w:color="auto" w:fill="auto"/>
            <w:vAlign w:val="center"/>
          </w:tcPr>
          <w:p>
            <w:pPr>
              <w:widowControl/>
              <w:jc w:val="center"/>
              <w:rPr>
                <w:rFonts w:hint="eastAsia" w:ascii="宋体" w:hAnsi="宋体" w:eastAsia="宋体" w:cs="宋体"/>
                <w:b/>
                <w:bCs/>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42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平面设计</w:t>
            </w:r>
          </w:p>
        </w:tc>
        <w:tc>
          <w:tcPr>
            <w:tcW w:w="3989" w:type="dxa"/>
            <w:tcBorders>
              <w:tl2br w:val="nil"/>
              <w:tr2bl w:val="nil"/>
            </w:tcBorders>
            <w:shd w:val="clear" w:color="auto" w:fill="auto"/>
            <w:vAlign w:val="center"/>
          </w:tcPr>
          <w:p>
            <w:pPr>
              <w:keepNext w:val="0"/>
              <w:keepLines w:val="0"/>
              <w:widowControl/>
              <w:suppressLineNumbers w:val="0"/>
              <w:jc w:val="both"/>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视觉设计、演艺节目单设计和布局图设计等</w:t>
            </w:r>
          </w:p>
        </w:tc>
        <w:tc>
          <w:tcPr>
            <w:tcW w:w="1160" w:type="dxa"/>
            <w:tcBorders>
              <w:tl2br w:val="nil"/>
              <w:tr2bl w:val="nil"/>
            </w:tcBorders>
            <w:shd w:val="clear" w:color="auto" w:fill="auto"/>
            <w:vAlign w:val="top"/>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1项</w:t>
            </w:r>
          </w:p>
        </w:tc>
        <w:tc>
          <w:tcPr>
            <w:tcW w:w="876"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663"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42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动态视频</w:t>
            </w:r>
          </w:p>
        </w:tc>
        <w:tc>
          <w:tcPr>
            <w:tcW w:w="3989" w:type="dxa"/>
            <w:tcBorders>
              <w:tl2br w:val="nil"/>
              <w:tr2bl w:val="nil"/>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动态视频剪辑制作</w:t>
            </w:r>
          </w:p>
        </w:tc>
        <w:tc>
          <w:tcPr>
            <w:tcW w:w="1160" w:type="dxa"/>
            <w:tcBorders>
              <w:tl2br w:val="nil"/>
              <w:tr2bl w:val="nil"/>
            </w:tcBorders>
            <w:shd w:val="clear" w:color="auto" w:fill="auto"/>
            <w:vAlign w:val="top"/>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不少于90秒</w:t>
            </w:r>
          </w:p>
        </w:tc>
        <w:tc>
          <w:tcPr>
            <w:tcW w:w="876"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663"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7324" w:type="dxa"/>
            <w:gridSpan w:val="4"/>
            <w:tcBorders>
              <w:tl2br w:val="nil"/>
              <w:tr2bl w:val="nil"/>
            </w:tcBorders>
            <w:shd w:val="clear" w:color="auto" w:fill="auto"/>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b/>
                <w:bCs/>
                <w:kern w:val="0"/>
                <w:szCs w:val="21"/>
                <w:highlight w:val="none"/>
                <w:lang w:val="en-US" w:eastAsia="zh-CN"/>
              </w:rPr>
              <w:t>四、节目制作</w:t>
            </w:r>
          </w:p>
        </w:tc>
        <w:tc>
          <w:tcPr>
            <w:tcW w:w="876" w:type="dxa"/>
            <w:tcBorders>
              <w:tl2br w:val="nil"/>
              <w:tr2bl w:val="nil"/>
            </w:tcBorders>
            <w:shd w:val="clear" w:color="auto" w:fill="auto"/>
            <w:vAlign w:val="center"/>
          </w:tcPr>
          <w:p>
            <w:pPr>
              <w:widowControl/>
              <w:jc w:val="center"/>
              <w:rPr>
                <w:rFonts w:hint="eastAsia" w:ascii="宋体" w:hAnsi="宋体" w:eastAsia="宋体" w:cs="宋体"/>
                <w:b/>
                <w:bCs/>
                <w:kern w:val="0"/>
                <w:szCs w:val="21"/>
                <w:highlight w:val="none"/>
                <w:lang w:val="en-US" w:eastAsia="zh-CN"/>
              </w:rPr>
            </w:pPr>
          </w:p>
        </w:tc>
        <w:tc>
          <w:tcPr>
            <w:tcW w:w="663" w:type="dxa"/>
            <w:tcBorders>
              <w:tl2br w:val="nil"/>
              <w:tr2bl w:val="nil"/>
            </w:tcBorders>
            <w:shd w:val="clear" w:color="auto" w:fill="auto"/>
            <w:vAlign w:val="center"/>
          </w:tcPr>
          <w:p>
            <w:pPr>
              <w:widowControl/>
              <w:jc w:val="center"/>
              <w:rPr>
                <w:rFonts w:hint="eastAsia" w:ascii="宋体" w:hAnsi="宋体" w:eastAsia="宋体" w:cs="宋体"/>
                <w:b/>
                <w:bCs/>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42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原创歌曲</w:t>
            </w:r>
          </w:p>
        </w:tc>
        <w:tc>
          <w:tcPr>
            <w:tcW w:w="3989" w:type="dxa"/>
            <w:tcBorders>
              <w:tl2br w:val="nil"/>
              <w:tr2bl w:val="nil"/>
            </w:tcBorders>
            <w:shd w:val="clear" w:color="auto" w:fill="auto"/>
            <w:vAlign w:val="center"/>
          </w:tcPr>
          <w:p>
            <w:pPr>
              <w:keepNext w:val="0"/>
              <w:keepLines w:val="0"/>
              <w:widowControl/>
              <w:suppressLineNumbers w:val="0"/>
              <w:jc w:val="both"/>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原创歌曲作词作曲、编曲和制作等</w:t>
            </w:r>
          </w:p>
        </w:tc>
        <w:tc>
          <w:tcPr>
            <w:tcW w:w="116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1项</w:t>
            </w:r>
          </w:p>
        </w:tc>
        <w:tc>
          <w:tcPr>
            <w:tcW w:w="87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66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429"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文艺节目</w:t>
            </w:r>
          </w:p>
        </w:tc>
        <w:tc>
          <w:tcPr>
            <w:tcW w:w="3989" w:type="dxa"/>
            <w:tcBorders>
              <w:tl2br w:val="nil"/>
              <w:tr2bl w:val="nil"/>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不少于5个文艺节目，管乐器、弦乐器、钢琴等各种艺术展演形式，循环演出3个小时。</w:t>
            </w:r>
          </w:p>
        </w:tc>
        <w:tc>
          <w:tcPr>
            <w:tcW w:w="1160"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5个</w:t>
            </w:r>
          </w:p>
        </w:tc>
        <w:tc>
          <w:tcPr>
            <w:tcW w:w="87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66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7324" w:type="dxa"/>
            <w:gridSpan w:val="4"/>
            <w:tcBorders>
              <w:tl2br w:val="nil"/>
              <w:tr2bl w:val="nil"/>
            </w:tcBorders>
            <w:shd w:val="clear" w:color="auto" w:fill="auto"/>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b/>
                <w:bCs/>
                <w:kern w:val="0"/>
                <w:szCs w:val="21"/>
                <w:highlight w:val="none"/>
                <w:lang w:val="en-US" w:eastAsia="zh-CN"/>
              </w:rPr>
              <w:t>五、人员</w:t>
            </w:r>
          </w:p>
        </w:tc>
        <w:tc>
          <w:tcPr>
            <w:tcW w:w="876" w:type="dxa"/>
            <w:tcBorders>
              <w:tl2br w:val="nil"/>
              <w:tr2bl w:val="nil"/>
            </w:tcBorders>
            <w:shd w:val="clear" w:color="auto" w:fill="auto"/>
            <w:vAlign w:val="center"/>
          </w:tcPr>
          <w:p>
            <w:pPr>
              <w:widowControl/>
              <w:jc w:val="center"/>
              <w:rPr>
                <w:rFonts w:hint="eastAsia" w:ascii="宋体" w:hAnsi="宋体" w:eastAsia="宋体" w:cs="宋体"/>
                <w:b/>
                <w:bCs/>
                <w:kern w:val="0"/>
                <w:szCs w:val="21"/>
                <w:highlight w:val="none"/>
                <w:lang w:val="en-US" w:eastAsia="zh-CN"/>
              </w:rPr>
            </w:pPr>
          </w:p>
        </w:tc>
        <w:tc>
          <w:tcPr>
            <w:tcW w:w="663" w:type="dxa"/>
            <w:tcBorders>
              <w:tl2br w:val="nil"/>
              <w:tr2bl w:val="nil"/>
            </w:tcBorders>
            <w:shd w:val="clear" w:color="auto" w:fill="auto"/>
            <w:vAlign w:val="center"/>
          </w:tcPr>
          <w:p>
            <w:pPr>
              <w:widowControl/>
              <w:jc w:val="center"/>
              <w:rPr>
                <w:rFonts w:hint="eastAsia" w:ascii="宋体" w:hAnsi="宋体" w:eastAsia="宋体" w:cs="宋体"/>
                <w:b/>
                <w:bCs/>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42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演职人员</w:t>
            </w:r>
          </w:p>
        </w:tc>
        <w:tc>
          <w:tcPr>
            <w:tcW w:w="3989" w:type="dxa"/>
            <w:tcBorders>
              <w:tl2br w:val="nil"/>
              <w:tr2bl w:val="nil"/>
            </w:tcBorders>
            <w:shd w:val="clear" w:color="auto" w:fill="auto"/>
            <w:vAlign w:val="center"/>
          </w:tcPr>
          <w:p>
            <w:pPr>
              <w:keepNext w:val="0"/>
              <w:keepLines w:val="0"/>
              <w:widowControl/>
              <w:suppressLineNumbers w:val="0"/>
              <w:jc w:val="both"/>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主持人、演艺人员等</w:t>
            </w:r>
          </w:p>
        </w:tc>
        <w:tc>
          <w:tcPr>
            <w:tcW w:w="1160"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根据实际需求配备</w:t>
            </w:r>
          </w:p>
        </w:tc>
        <w:tc>
          <w:tcPr>
            <w:tcW w:w="87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66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42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设备人员</w:t>
            </w:r>
          </w:p>
        </w:tc>
        <w:tc>
          <w:tcPr>
            <w:tcW w:w="3989" w:type="dxa"/>
            <w:tcBorders>
              <w:tl2br w:val="nil"/>
              <w:tr2bl w:val="nil"/>
            </w:tcBorders>
            <w:shd w:val="clear" w:color="auto" w:fill="auto"/>
            <w:vAlign w:val="center"/>
          </w:tcPr>
          <w:p>
            <w:pPr>
              <w:keepNext w:val="0"/>
              <w:keepLines w:val="0"/>
              <w:widowControl/>
              <w:suppressLineNumbers w:val="0"/>
              <w:jc w:val="both"/>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摄影师、摄像师、灯光师、音响师等</w:t>
            </w:r>
          </w:p>
        </w:tc>
        <w:tc>
          <w:tcPr>
            <w:tcW w:w="1160"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根据实际需求配备</w:t>
            </w:r>
          </w:p>
        </w:tc>
        <w:tc>
          <w:tcPr>
            <w:tcW w:w="876"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663"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42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技术人员</w:t>
            </w:r>
          </w:p>
        </w:tc>
        <w:tc>
          <w:tcPr>
            <w:tcW w:w="3989" w:type="dxa"/>
            <w:tcBorders>
              <w:tl2br w:val="nil"/>
              <w:tr2bl w:val="nil"/>
            </w:tcBorders>
            <w:shd w:val="clear" w:color="auto" w:fill="auto"/>
            <w:vAlign w:val="center"/>
          </w:tcPr>
          <w:p>
            <w:pPr>
              <w:keepNext w:val="0"/>
              <w:keepLines w:val="0"/>
              <w:widowControl/>
              <w:suppressLineNumbers w:val="0"/>
              <w:jc w:val="both"/>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维修维保和搭建工人等</w:t>
            </w:r>
          </w:p>
        </w:tc>
        <w:tc>
          <w:tcPr>
            <w:tcW w:w="1160"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根据实际需求配备</w:t>
            </w:r>
          </w:p>
        </w:tc>
        <w:tc>
          <w:tcPr>
            <w:tcW w:w="876"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663"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42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工作人员</w:t>
            </w:r>
          </w:p>
        </w:tc>
        <w:tc>
          <w:tcPr>
            <w:tcW w:w="3989" w:type="dxa"/>
            <w:tcBorders>
              <w:tl2br w:val="nil"/>
              <w:tr2bl w:val="nil"/>
            </w:tcBorders>
            <w:shd w:val="clear" w:color="auto" w:fill="auto"/>
            <w:vAlign w:val="center"/>
          </w:tcPr>
          <w:p>
            <w:pPr>
              <w:keepNext w:val="0"/>
              <w:keepLines w:val="0"/>
              <w:widowControl/>
              <w:suppressLineNumbers w:val="0"/>
              <w:jc w:val="both"/>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保安、保洁、志愿者和统筹执行人员等</w:t>
            </w:r>
          </w:p>
        </w:tc>
        <w:tc>
          <w:tcPr>
            <w:tcW w:w="1160"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根据实际需求配备</w:t>
            </w:r>
          </w:p>
        </w:tc>
        <w:tc>
          <w:tcPr>
            <w:tcW w:w="876"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663"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7324" w:type="dxa"/>
            <w:gridSpan w:val="4"/>
            <w:tcBorders>
              <w:tl2br w:val="nil"/>
              <w:tr2bl w:val="nil"/>
            </w:tcBorders>
            <w:shd w:val="clear" w:color="auto" w:fill="auto"/>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b/>
                <w:bCs/>
                <w:kern w:val="0"/>
                <w:szCs w:val="21"/>
                <w:highlight w:val="none"/>
                <w:lang w:val="en-US" w:eastAsia="zh-CN"/>
              </w:rPr>
              <w:t>六、物料</w:t>
            </w:r>
          </w:p>
        </w:tc>
        <w:tc>
          <w:tcPr>
            <w:tcW w:w="876" w:type="dxa"/>
            <w:tcBorders>
              <w:tl2br w:val="nil"/>
              <w:tr2bl w:val="nil"/>
            </w:tcBorders>
            <w:shd w:val="clear" w:color="auto" w:fill="auto"/>
            <w:vAlign w:val="center"/>
          </w:tcPr>
          <w:p>
            <w:pPr>
              <w:widowControl/>
              <w:jc w:val="center"/>
              <w:rPr>
                <w:rFonts w:hint="eastAsia" w:ascii="宋体" w:hAnsi="宋体" w:eastAsia="宋体" w:cs="宋体"/>
                <w:b/>
                <w:bCs/>
                <w:kern w:val="0"/>
                <w:szCs w:val="21"/>
                <w:highlight w:val="none"/>
                <w:lang w:val="en-US" w:eastAsia="zh-CN"/>
              </w:rPr>
            </w:pPr>
          </w:p>
        </w:tc>
        <w:tc>
          <w:tcPr>
            <w:tcW w:w="663" w:type="dxa"/>
            <w:tcBorders>
              <w:tl2br w:val="nil"/>
              <w:tr2bl w:val="nil"/>
            </w:tcBorders>
            <w:shd w:val="clear" w:color="auto" w:fill="auto"/>
            <w:vAlign w:val="center"/>
          </w:tcPr>
          <w:p>
            <w:pPr>
              <w:widowControl/>
              <w:jc w:val="center"/>
              <w:rPr>
                <w:rFonts w:hint="eastAsia" w:ascii="宋体" w:hAnsi="宋体" w:eastAsia="宋体" w:cs="宋体"/>
                <w:b/>
                <w:bCs/>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429" w:type="dxa"/>
            <w:tcBorders>
              <w:tl2br w:val="nil"/>
              <w:tr2bl w:val="nil"/>
            </w:tcBorders>
            <w:shd w:val="clear" w:color="auto" w:fill="auto"/>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kern w:val="0"/>
                <w:szCs w:val="21"/>
                <w:highlight w:val="none"/>
                <w:lang w:val="en-US"/>
              </w:rPr>
            </w:pPr>
            <w:r>
              <w:rPr>
                <w:rFonts w:hint="eastAsia" w:ascii="宋体" w:hAnsi="宋体" w:eastAsia="宋体" w:cs="宋体"/>
                <w:i w:val="0"/>
                <w:iCs w:val="0"/>
                <w:color w:val="000000"/>
                <w:kern w:val="0"/>
                <w:sz w:val="20"/>
                <w:szCs w:val="20"/>
                <w:highlight w:val="none"/>
                <w:u w:val="none"/>
                <w:lang w:val="en-US" w:eastAsia="zh-CN" w:bidi="ar"/>
              </w:rPr>
              <w:t>人员证件</w:t>
            </w:r>
          </w:p>
        </w:tc>
        <w:tc>
          <w:tcPr>
            <w:tcW w:w="3989" w:type="dxa"/>
            <w:tcBorders>
              <w:tl2br w:val="nil"/>
              <w:tr2bl w:val="nil"/>
            </w:tcBorders>
            <w:shd w:val="clear" w:color="auto" w:fill="auto"/>
            <w:vAlign w:val="center"/>
          </w:tcPr>
          <w:p>
            <w:pPr>
              <w:widowControl/>
              <w:jc w:val="center"/>
              <w:rPr>
                <w:rFonts w:ascii="宋体" w:hAnsi="宋体" w:eastAsia="宋体" w:cs="宋体"/>
                <w:kern w:val="0"/>
                <w:szCs w:val="21"/>
                <w:highlight w:val="none"/>
              </w:rPr>
            </w:pPr>
          </w:p>
        </w:tc>
        <w:tc>
          <w:tcPr>
            <w:tcW w:w="1160"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不少于500个</w:t>
            </w:r>
          </w:p>
        </w:tc>
        <w:tc>
          <w:tcPr>
            <w:tcW w:w="876"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663"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429" w:type="dxa"/>
            <w:tcBorders>
              <w:tl2br w:val="nil"/>
              <w:tr2bl w:val="nil"/>
            </w:tcBorders>
            <w:shd w:val="clear" w:color="auto" w:fill="auto"/>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拍照打卡手举牌</w:t>
            </w:r>
          </w:p>
        </w:tc>
        <w:tc>
          <w:tcPr>
            <w:tcW w:w="3989" w:type="dxa"/>
            <w:tcBorders>
              <w:tl2br w:val="nil"/>
              <w:tr2bl w:val="nil"/>
            </w:tcBorders>
            <w:shd w:val="clear" w:color="auto" w:fill="auto"/>
            <w:vAlign w:val="center"/>
          </w:tcPr>
          <w:p>
            <w:pPr>
              <w:widowControl/>
              <w:jc w:val="center"/>
              <w:rPr>
                <w:rFonts w:ascii="宋体" w:hAnsi="宋体" w:eastAsia="宋体" w:cs="宋体"/>
                <w:kern w:val="0"/>
                <w:szCs w:val="21"/>
                <w:highlight w:val="none"/>
              </w:rPr>
            </w:pPr>
          </w:p>
        </w:tc>
        <w:tc>
          <w:tcPr>
            <w:tcW w:w="1160"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不少于30个</w:t>
            </w:r>
          </w:p>
        </w:tc>
        <w:tc>
          <w:tcPr>
            <w:tcW w:w="876" w:type="dxa"/>
            <w:tcBorders>
              <w:tl2br w:val="nil"/>
              <w:tr2bl w:val="nil"/>
            </w:tcBorders>
            <w:shd w:val="clear" w:color="auto" w:fill="auto"/>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663" w:type="dxa"/>
            <w:tcBorders>
              <w:tl2br w:val="nil"/>
              <w:tr2bl w:val="nil"/>
            </w:tcBorders>
            <w:shd w:val="clear" w:color="auto" w:fill="auto"/>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429" w:type="dxa"/>
            <w:tcBorders>
              <w:tl2br w:val="nil"/>
              <w:tr2bl w:val="nil"/>
            </w:tcBorders>
            <w:shd w:val="clear" w:color="auto" w:fill="auto"/>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VIP台签</w:t>
            </w:r>
          </w:p>
        </w:tc>
        <w:tc>
          <w:tcPr>
            <w:tcW w:w="3989" w:type="dxa"/>
            <w:tcBorders>
              <w:tl2br w:val="nil"/>
              <w:tr2bl w:val="nil"/>
            </w:tcBorders>
            <w:shd w:val="clear" w:color="auto" w:fill="auto"/>
            <w:vAlign w:val="center"/>
          </w:tcPr>
          <w:p>
            <w:pPr>
              <w:keepNext w:val="0"/>
              <w:keepLines w:val="0"/>
              <w:widowControl/>
              <w:suppressLineNumbers w:val="0"/>
              <w:jc w:val="center"/>
              <w:textAlignment w:val="center"/>
              <w:rPr>
                <w:rFonts w:ascii="宋体" w:hAnsi="宋体" w:eastAsia="宋体" w:cs="宋体"/>
                <w:kern w:val="0"/>
                <w:szCs w:val="21"/>
                <w:highlight w:val="none"/>
              </w:rPr>
            </w:pPr>
          </w:p>
        </w:tc>
        <w:tc>
          <w:tcPr>
            <w:tcW w:w="1160"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不少于20个</w:t>
            </w:r>
          </w:p>
        </w:tc>
        <w:tc>
          <w:tcPr>
            <w:tcW w:w="876" w:type="dxa"/>
            <w:tcBorders>
              <w:tl2br w:val="nil"/>
              <w:tr2bl w:val="nil"/>
            </w:tcBorders>
            <w:shd w:val="clear" w:color="auto" w:fill="auto"/>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663" w:type="dxa"/>
            <w:tcBorders>
              <w:tl2br w:val="nil"/>
              <w:tr2bl w:val="nil"/>
            </w:tcBorders>
            <w:shd w:val="clear" w:color="auto" w:fill="auto"/>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429" w:type="dxa"/>
            <w:tcBorders>
              <w:tl2br w:val="nil"/>
              <w:tr2bl w:val="nil"/>
            </w:tcBorders>
            <w:shd w:val="clear" w:color="auto" w:fill="auto"/>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手卡</w:t>
            </w:r>
          </w:p>
        </w:tc>
        <w:tc>
          <w:tcPr>
            <w:tcW w:w="3989" w:type="dxa"/>
            <w:tcBorders>
              <w:tl2br w:val="nil"/>
              <w:tr2bl w:val="nil"/>
            </w:tcBorders>
            <w:shd w:val="clear" w:color="auto" w:fill="auto"/>
            <w:vAlign w:val="center"/>
          </w:tcPr>
          <w:p>
            <w:pPr>
              <w:keepNext w:val="0"/>
              <w:keepLines w:val="0"/>
              <w:widowControl/>
              <w:suppressLineNumbers w:val="0"/>
              <w:jc w:val="both"/>
              <w:textAlignment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300g铜版纸  20张</w:t>
            </w:r>
          </w:p>
        </w:tc>
        <w:tc>
          <w:tcPr>
            <w:tcW w:w="1160"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至少1组</w:t>
            </w:r>
          </w:p>
        </w:tc>
        <w:tc>
          <w:tcPr>
            <w:tcW w:w="876" w:type="dxa"/>
            <w:tcBorders>
              <w:tl2br w:val="nil"/>
              <w:tr2bl w:val="nil"/>
            </w:tcBorders>
            <w:shd w:val="clear" w:color="auto" w:fill="auto"/>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663" w:type="dxa"/>
            <w:tcBorders>
              <w:tl2br w:val="nil"/>
              <w:tr2bl w:val="nil"/>
            </w:tcBorders>
            <w:shd w:val="clear" w:color="auto" w:fill="auto"/>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429" w:type="dxa"/>
            <w:tcBorders>
              <w:tl2br w:val="nil"/>
              <w:tr2bl w:val="nil"/>
            </w:tcBorders>
            <w:shd w:val="clear" w:color="auto" w:fill="auto"/>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5</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麦卡</w:t>
            </w:r>
          </w:p>
        </w:tc>
        <w:tc>
          <w:tcPr>
            <w:tcW w:w="3989" w:type="dxa"/>
            <w:tcBorders>
              <w:tl2br w:val="nil"/>
              <w:tr2bl w:val="nil"/>
            </w:tcBorders>
            <w:shd w:val="clear" w:color="auto" w:fill="auto"/>
            <w:vAlign w:val="center"/>
          </w:tcPr>
          <w:p>
            <w:pPr>
              <w:keepNext w:val="0"/>
              <w:keepLines w:val="0"/>
              <w:widowControl/>
              <w:suppressLineNumbers w:val="0"/>
              <w:jc w:val="both"/>
              <w:textAlignment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亚克力麦卡/黑胶车贴写真  </w:t>
            </w:r>
          </w:p>
        </w:tc>
        <w:tc>
          <w:tcPr>
            <w:tcW w:w="1160"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不少于4个</w:t>
            </w:r>
          </w:p>
        </w:tc>
        <w:tc>
          <w:tcPr>
            <w:tcW w:w="876" w:type="dxa"/>
            <w:tcBorders>
              <w:tl2br w:val="nil"/>
              <w:tr2bl w:val="nil"/>
            </w:tcBorders>
            <w:shd w:val="clear" w:color="auto" w:fill="auto"/>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663" w:type="dxa"/>
            <w:tcBorders>
              <w:tl2br w:val="nil"/>
              <w:tr2bl w:val="nil"/>
            </w:tcBorders>
            <w:shd w:val="clear" w:color="auto" w:fill="auto"/>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429" w:type="dxa"/>
            <w:tcBorders>
              <w:tl2br w:val="nil"/>
              <w:tr2bl w:val="nil"/>
            </w:tcBorders>
            <w:shd w:val="clear" w:color="auto" w:fill="auto"/>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6</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演艺节目单</w:t>
            </w:r>
          </w:p>
        </w:tc>
        <w:tc>
          <w:tcPr>
            <w:tcW w:w="3989" w:type="dxa"/>
            <w:tcBorders>
              <w:tl2br w:val="nil"/>
              <w:tr2bl w:val="nil"/>
            </w:tcBorders>
            <w:shd w:val="clear" w:color="auto" w:fill="auto"/>
            <w:vAlign w:val="center"/>
          </w:tcPr>
          <w:p>
            <w:pPr>
              <w:keepNext w:val="0"/>
              <w:keepLines w:val="0"/>
              <w:widowControl/>
              <w:suppressLineNumbers w:val="0"/>
              <w:jc w:val="both"/>
              <w:textAlignment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270g铜版纸</w:t>
            </w:r>
          </w:p>
        </w:tc>
        <w:tc>
          <w:tcPr>
            <w:tcW w:w="1160"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不少于50个</w:t>
            </w:r>
          </w:p>
        </w:tc>
        <w:tc>
          <w:tcPr>
            <w:tcW w:w="876" w:type="dxa"/>
            <w:tcBorders>
              <w:tl2br w:val="nil"/>
              <w:tr2bl w:val="nil"/>
            </w:tcBorders>
            <w:shd w:val="clear" w:color="auto" w:fill="auto"/>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663" w:type="dxa"/>
            <w:tcBorders>
              <w:tl2br w:val="nil"/>
              <w:tr2bl w:val="nil"/>
            </w:tcBorders>
            <w:shd w:val="clear" w:color="auto" w:fill="auto"/>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429" w:type="dxa"/>
            <w:tcBorders>
              <w:tl2br w:val="nil"/>
              <w:tr2bl w:val="nil"/>
            </w:tcBorders>
            <w:shd w:val="clear" w:color="auto" w:fill="auto"/>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7</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工作服定制</w:t>
            </w:r>
          </w:p>
        </w:tc>
        <w:tc>
          <w:tcPr>
            <w:tcW w:w="3989" w:type="dxa"/>
            <w:tcBorders>
              <w:tl2br w:val="nil"/>
              <w:tr2bl w:val="nil"/>
            </w:tcBorders>
            <w:shd w:val="clear" w:color="auto" w:fill="auto"/>
            <w:vAlign w:val="center"/>
          </w:tcPr>
          <w:p>
            <w:pPr>
              <w:widowControl/>
              <w:jc w:val="center"/>
              <w:rPr>
                <w:rFonts w:hint="eastAsia" w:ascii="宋体" w:hAnsi="宋体" w:eastAsia="宋体" w:cs="宋体"/>
                <w:kern w:val="0"/>
                <w:szCs w:val="21"/>
                <w:highlight w:val="none"/>
                <w:lang w:val="en-US" w:eastAsia="zh-CN"/>
              </w:rPr>
            </w:pPr>
          </w:p>
        </w:tc>
        <w:tc>
          <w:tcPr>
            <w:tcW w:w="1160"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不少于60件</w:t>
            </w:r>
          </w:p>
        </w:tc>
        <w:tc>
          <w:tcPr>
            <w:tcW w:w="876" w:type="dxa"/>
            <w:tcBorders>
              <w:tl2br w:val="nil"/>
              <w:tr2bl w:val="nil"/>
            </w:tcBorders>
            <w:shd w:val="clear" w:color="auto" w:fill="auto"/>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663" w:type="dxa"/>
            <w:tcBorders>
              <w:tl2br w:val="nil"/>
              <w:tr2bl w:val="nil"/>
            </w:tcBorders>
            <w:shd w:val="clear" w:color="auto" w:fill="auto"/>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7324" w:type="dxa"/>
            <w:gridSpan w:val="4"/>
            <w:tcBorders>
              <w:tl2br w:val="nil"/>
              <w:tr2bl w:val="nil"/>
            </w:tcBorders>
            <w:shd w:val="clear" w:color="auto" w:fill="auto"/>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b/>
                <w:bCs/>
                <w:kern w:val="0"/>
                <w:szCs w:val="21"/>
                <w:highlight w:val="none"/>
                <w:lang w:val="en-US" w:eastAsia="zh-CN"/>
              </w:rPr>
              <w:t>七、综合事务</w:t>
            </w:r>
          </w:p>
        </w:tc>
        <w:tc>
          <w:tcPr>
            <w:tcW w:w="876" w:type="dxa"/>
            <w:tcBorders>
              <w:tl2br w:val="nil"/>
              <w:tr2bl w:val="nil"/>
            </w:tcBorders>
            <w:shd w:val="clear" w:color="auto" w:fill="auto"/>
            <w:vAlign w:val="center"/>
          </w:tcPr>
          <w:p>
            <w:pPr>
              <w:widowControl/>
              <w:jc w:val="center"/>
              <w:rPr>
                <w:rFonts w:hint="eastAsia" w:ascii="宋体" w:hAnsi="宋体" w:eastAsia="宋体" w:cs="宋体"/>
                <w:b/>
                <w:bCs/>
                <w:kern w:val="0"/>
                <w:szCs w:val="21"/>
                <w:highlight w:val="none"/>
                <w:lang w:val="en-US" w:eastAsia="zh-CN"/>
              </w:rPr>
            </w:pPr>
          </w:p>
        </w:tc>
        <w:tc>
          <w:tcPr>
            <w:tcW w:w="663" w:type="dxa"/>
            <w:tcBorders>
              <w:tl2br w:val="nil"/>
              <w:tr2bl w:val="nil"/>
            </w:tcBorders>
            <w:shd w:val="clear" w:color="auto" w:fill="auto"/>
            <w:vAlign w:val="center"/>
          </w:tcPr>
          <w:p>
            <w:pPr>
              <w:widowControl/>
              <w:jc w:val="center"/>
              <w:rPr>
                <w:rFonts w:hint="eastAsia" w:ascii="宋体" w:hAnsi="宋体" w:eastAsia="宋体" w:cs="宋体"/>
                <w:b/>
                <w:bCs/>
                <w:kern w:val="0"/>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429" w:type="dxa"/>
            <w:tcBorders>
              <w:tl2br w:val="nil"/>
              <w:tr2bl w:val="nil"/>
            </w:tcBorders>
            <w:shd w:val="clear" w:color="auto" w:fill="auto"/>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1</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物品运输</w:t>
            </w:r>
          </w:p>
        </w:tc>
        <w:tc>
          <w:tcPr>
            <w:tcW w:w="3989" w:type="dxa"/>
            <w:tcBorders>
              <w:tl2br w:val="nil"/>
              <w:tr2bl w:val="nil"/>
            </w:tcBorders>
            <w:shd w:val="clear" w:color="auto" w:fill="auto"/>
            <w:vAlign w:val="center"/>
          </w:tcPr>
          <w:p>
            <w:pPr>
              <w:keepNext w:val="0"/>
              <w:keepLines w:val="0"/>
              <w:widowControl/>
              <w:suppressLineNumbers w:val="0"/>
              <w:jc w:val="both"/>
              <w:textAlignment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桁架、特装、桌椅等</w:t>
            </w:r>
          </w:p>
        </w:tc>
        <w:tc>
          <w:tcPr>
            <w:tcW w:w="1160"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1项</w:t>
            </w:r>
          </w:p>
        </w:tc>
        <w:tc>
          <w:tcPr>
            <w:tcW w:w="876"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663"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429" w:type="dxa"/>
            <w:tcBorders>
              <w:tl2br w:val="nil"/>
              <w:tr2bl w:val="nil"/>
            </w:tcBorders>
            <w:shd w:val="clear" w:color="auto" w:fill="auto"/>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地面养护</w:t>
            </w:r>
          </w:p>
        </w:tc>
        <w:tc>
          <w:tcPr>
            <w:tcW w:w="3989" w:type="dxa"/>
            <w:tcBorders>
              <w:tl2br w:val="nil"/>
              <w:tr2bl w:val="nil"/>
            </w:tcBorders>
            <w:shd w:val="clear" w:color="auto" w:fill="auto"/>
            <w:vAlign w:val="center"/>
          </w:tcPr>
          <w:p>
            <w:pPr>
              <w:keepNext w:val="0"/>
              <w:keepLines w:val="0"/>
              <w:widowControl/>
              <w:suppressLineNumbers w:val="0"/>
              <w:jc w:val="both"/>
              <w:textAlignment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地面地毯铺设及养护</w:t>
            </w:r>
          </w:p>
        </w:tc>
        <w:tc>
          <w:tcPr>
            <w:tcW w:w="116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1项</w:t>
            </w:r>
          </w:p>
        </w:tc>
        <w:tc>
          <w:tcPr>
            <w:tcW w:w="876"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663"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429" w:type="dxa"/>
            <w:tcBorders>
              <w:tl2br w:val="nil"/>
              <w:tr2bl w:val="nil"/>
            </w:tcBorders>
            <w:shd w:val="clear" w:color="auto" w:fill="auto"/>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3</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工作餐</w:t>
            </w:r>
          </w:p>
        </w:tc>
        <w:tc>
          <w:tcPr>
            <w:tcW w:w="3989" w:type="dxa"/>
            <w:tcBorders>
              <w:tl2br w:val="nil"/>
              <w:tr2bl w:val="nil"/>
            </w:tcBorders>
            <w:shd w:val="clear" w:color="auto" w:fill="auto"/>
            <w:vAlign w:val="center"/>
          </w:tcPr>
          <w:p>
            <w:pPr>
              <w:keepNext w:val="0"/>
              <w:keepLines w:val="0"/>
              <w:widowControl/>
              <w:suppressLineNumbers w:val="0"/>
              <w:jc w:val="both"/>
              <w:textAlignment w:val="center"/>
              <w:rPr>
                <w:rFonts w:hint="default" w:ascii="宋体" w:hAnsi="宋体" w:eastAsia="宋体" w:cs="宋体"/>
                <w:i w:val="0"/>
                <w:iCs w:val="0"/>
                <w:color w:val="000000"/>
                <w:kern w:val="2"/>
                <w:sz w:val="20"/>
                <w:szCs w:val="20"/>
                <w:highlight w:val="none"/>
                <w:u w:val="none"/>
                <w:lang w:eastAsia="zh-CN" w:bidi="ar-SA"/>
              </w:rPr>
            </w:pPr>
            <w:r>
              <w:rPr>
                <w:rFonts w:hint="eastAsia" w:ascii="宋体" w:hAnsi="宋体" w:eastAsia="宋体" w:cs="宋体"/>
                <w:i w:val="0"/>
                <w:iCs w:val="0"/>
                <w:color w:val="000000"/>
                <w:kern w:val="2"/>
                <w:sz w:val="20"/>
                <w:szCs w:val="20"/>
                <w:highlight w:val="none"/>
                <w:u w:val="none"/>
                <w:lang w:val="en-US" w:eastAsia="zh-CN" w:bidi="ar-SA"/>
              </w:rPr>
              <w:t>盒饭，100份/</w:t>
            </w:r>
            <w:r>
              <w:rPr>
                <w:rFonts w:hint="default" w:ascii="宋体" w:hAnsi="宋体" w:eastAsia="宋体" w:cs="宋体"/>
                <w:i w:val="0"/>
                <w:iCs w:val="0"/>
                <w:color w:val="000000"/>
                <w:kern w:val="2"/>
                <w:sz w:val="20"/>
                <w:szCs w:val="20"/>
                <w:highlight w:val="none"/>
                <w:u w:val="none"/>
                <w:lang w:eastAsia="zh-CN" w:bidi="ar-SA"/>
              </w:rPr>
              <w:t>餐</w:t>
            </w:r>
          </w:p>
        </w:tc>
        <w:tc>
          <w:tcPr>
            <w:tcW w:w="1160"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eastAsia="zh-CN" w:bidi="ar"/>
              </w:rPr>
            </w:pPr>
            <w:r>
              <w:rPr>
                <w:rFonts w:hint="eastAsia" w:ascii="宋体" w:hAnsi="宋体" w:eastAsia="宋体" w:cs="宋体"/>
                <w:i w:val="0"/>
                <w:iCs w:val="0"/>
                <w:color w:val="000000"/>
                <w:kern w:val="0"/>
                <w:sz w:val="20"/>
                <w:szCs w:val="20"/>
                <w:highlight w:val="none"/>
                <w:u w:val="none"/>
                <w:lang w:val="en-US" w:eastAsia="zh-CN" w:bidi="ar"/>
              </w:rPr>
              <w:t>5</w:t>
            </w:r>
            <w:r>
              <w:rPr>
                <w:rFonts w:hint="default" w:ascii="宋体" w:hAnsi="宋体" w:eastAsia="宋体" w:cs="宋体"/>
                <w:i w:val="0"/>
                <w:iCs w:val="0"/>
                <w:color w:val="000000"/>
                <w:kern w:val="0"/>
                <w:sz w:val="20"/>
                <w:szCs w:val="20"/>
                <w:highlight w:val="none"/>
                <w:u w:val="none"/>
                <w:lang w:eastAsia="zh-CN" w:bidi="ar"/>
              </w:rPr>
              <w:t>餐</w:t>
            </w:r>
          </w:p>
        </w:tc>
        <w:tc>
          <w:tcPr>
            <w:tcW w:w="876"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663"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429" w:type="dxa"/>
            <w:tcBorders>
              <w:tl2br w:val="nil"/>
              <w:tr2bl w:val="nil"/>
            </w:tcBorders>
            <w:shd w:val="clear" w:color="auto" w:fill="auto"/>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4</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网络</w:t>
            </w:r>
          </w:p>
        </w:tc>
        <w:tc>
          <w:tcPr>
            <w:tcW w:w="3989" w:type="dxa"/>
            <w:tcBorders>
              <w:tl2br w:val="nil"/>
              <w:tr2bl w:val="nil"/>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kern w:val="2"/>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bidi="ar"/>
              </w:rPr>
              <w:t>电信/联通</w:t>
            </w:r>
          </w:p>
        </w:tc>
        <w:tc>
          <w:tcPr>
            <w:tcW w:w="1160"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1项</w:t>
            </w:r>
          </w:p>
        </w:tc>
        <w:tc>
          <w:tcPr>
            <w:tcW w:w="876"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663"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r>
    </w:tbl>
    <w:p>
      <w:pPr>
        <w:spacing w:line="360" w:lineRule="auto"/>
        <w:rPr>
          <w:highlight w:val="none"/>
        </w:rPr>
      </w:pPr>
      <w:r>
        <w:rPr>
          <w:rFonts w:hint="eastAsia"/>
          <w:b/>
          <w:bCs/>
          <w:highlight w:val="none"/>
          <w:lang w:val="en-US" w:eastAsia="zh-CN"/>
        </w:rPr>
        <w:t>注：</w:t>
      </w:r>
      <w:r>
        <w:rPr>
          <w:rFonts w:hint="eastAsia" w:ascii="Times New Roman" w:hAnsi="Times New Roman" w:eastAsia="宋体"/>
          <w:szCs w:val="24"/>
          <w:highlight w:val="none"/>
        </w:rPr>
        <w:t>各</w:t>
      </w:r>
      <w:r>
        <w:rPr>
          <w:rFonts w:hint="default" w:ascii="Times New Roman" w:hAnsi="Times New Roman" w:eastAsia="宋体"/>
          <w:szCs w:val="24"/>
          <w:highlight w:val="none"/>
        </w:rPr>
        <w:t>投标人</w:t>
      </w:r>
      <w:r>
        <w:rPr>
          <w:rFonts w:hint="eastAsia" w:ascii="Times New Roman" w:hAnsi="Times New Roman" w:eastAsia="宋体"/>
          <w:szCs w:val="24"/>
          <w:highlight w:val="none"/>
          <w:lang w:eastAsia="zh-CN"/>
        </w:rPr>
        <w:t>按</w:t>
      </w:r>
      <w:r>
        <w:rPr>
          <w:rFonts w:hint="default" w:ascii="Times New Roman" w:hAnsi="Times New Roman" w:eastAsia="宋体"/>
          <w:szCs w:val="24"/>
          <w:highlight w:val="none"/>
        </w:rPr>
        <w:t>照以上</w:t>
      </w:r>
      <w:r>
        <w:rPr>
          <w:rFonts w:hint="eastAsia" w:ascii="Times New Roman" w:hAnsi="Times New Roman" w:eastAsia="宋体"/>
          <w:szCs w:val="24"/>
          <w:highlight w:val="none"/>
        </w:rPr>
        <w:t>格式编制投标报价明细表，表格中各项可进一步细分</w:t>
      </w:r>
      <w:r>
        <w:rPr>
          <w:rFonts w:hint="default" w:ascii="Times New Roman" w:hAnsi="Times New Roman" w:eastAsia="宋体"/>
          <w:szCs w:val="24"/>
          <w:highlight w:val="none"/>
        </w:rPr>
        <w:t>（需列明具体内容及相应数量和价格）</w:t>
      </w:r>
      <w:r>
        <w:rPr>
          <w:rFonts w:hint="eastAsia" w:ascii="Times New Roman" w:hAnsi="Times New Roman" w:eastAsia="宋体"/>
          <w:szCs w:val="24"/>
          <w:highlight w:val="none"/>
        </w:rPr>
        <w:t>，</w:t>
      </w:r>
      <w:r>
        <w:rPr>
          <w:rFonts w:hint="default" w:ascii="Times New Roman" w:hAnsi="Times New Roman" w:eastAsia="宋体"/>
          <w:szCs w:val="24"/>
          <w:highlight w:val="none"/>
        </w:rPr>
        <w:t>内容</w:t>
      </w:r>
      <w:r>
        <w:rPr>
          <w:rFonts w:hint="eastAsia" w:ascii="Times New Roman" w:hAnsi="Times New Roman" w:eastAsia="宋体"/>
          <w:szCs w:val="24"/>
          <w:highlight w:val="none"/>
        </w:rPr>
        <w:t>栏数不够可自</w:t>
      </w:r>
      <w:r>
        <w:rPr>
          <w:rFonts w:hint="default" w:ascii="Times New Roman" w:hAnsi="Times New Roman" w:eastAsia="宋体"/>
          <w:szCs w:val="24"/>
          <w:highlight w:val="none"/>
        </w:rPr>
        <w:t>行增</w:t>
      </w:r>
      <w:r>
        <w:rPr>
          <w:rFonts w:hint="eastAsia" w:ascii="Times New Roman" w:hAnsi="Times New Roman" w:eastAsia="宋体"/>
          <w:szCs w:val="24"/>
          <w:highlight w:val="none"/>
        </w:rPr>
        <w:t>加，应包括为完成本项目各项服务可能发生的全部费用</w:t>
      </w:r>
      <w:r>
        <w:rPr>
          <w:rFonts w:hint="default" w:ascii="Times New Roman" w:hAnsi="Times New Roman" w:eastAsia="宋体"/>
          <w:szCs w:val="24"/>
          <w:highlight w:val="none"/>
        </w:rPr>
        <w:t>。</w:t>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法定代表人或授权代表（</w:t>
      </w:r>
      <w:r>
        <w:rPr>
          <w:rFonts w:hint="eastAsia" w:asciiTheme="minorEastAsia" w:hAnsiTheme="minorEastAsia"/>
          <w:sz w:val="24"/>
          <w:highlight w:val="none"/>
        </w:rPr>
        <w:t>个人电子签章或签字</w:t>
      </w:r>
      <w:r>
        <w:rPr>
          <w:rFonts w:hint="eastAsia" w:asciiTheme="minorEastAsia" w:hAnsiTheme="minorEastAsia"/>
          <w:sz w:val="24"/>
          <w:szCs w:val="24"/>
          <w:highlight w:val="none"/>
        </w:rPr>
        <w:t xml:space="preserve">）：   </w:t>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投标人名称（企业电子签章或公章）：</w:t>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日期：</w:t>
      </w:r>
    </w:p>
    <w:p>
      <w:pPr>
        <w:rPr>
          <w:rFonts w:hint="eastAsia"/>
          <w:sz w:val="24"/>
          <w:highlight w:val="none"/>
          <w:lang w:val="en-US" w:eastAsia="zh-CN"/>
        </w:rPr>
      </w:pPr>
      <w:r>
        <w:rPr>
          <w:rFonts w:hint="eastAsia"/>
          <w:sz w:val="24"/>
          <w:highlight w:val="none"/>
          <w:lang w:val="en-US" w:eastAsia="zh-CN"/>
        </w:rPr>
        <w:br w:type="page"/>
      </w:r>
    </w:p>
    <w:p>
      <w:pPr>
        <w:pStyle w:val="10"/>
        <w:spacing w:before="0" w:after="0"/>
        <w:jc w:val="center"/>
        <w:rPr>
          <w:rFonts w:hint="eastAsia"/>
          <w:sz w:val="24"/>
          <w:highlight w:val="none"/>
          <w:lang w:val="en-US" w:eastAsia="zh-CN"/>
        </w:rPr>
      </w:pPr>
      <w:bookmarkStart w:id="61" w:name="_Toc829"/>
      <w:r>
        <w:rPr>
          <w:rFonts w:hint="eastAsia"/>
          <w:sz w:val="24"/>
          <w:highlight w:val="none"/>
          <w:lang w:val="en-US" w:eastAsia="zh-CN"/>
        </w:rPr>
        <w:t>三、服务要求响应偏差表</w:t>
      </w:r>
      <w:bookmarkEnd w:id="61"/>
    </w:p>
    <w:tbl>
      <w:tblPr>
        <w:tblStyle w:val="2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1"/>
        <w:gridCol w:w="2066"/>
        <w:gridCol w:w="1705"/>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6" w:hRule="atLeast"/>
        </w:trPr>
        <w:tc>
          <w:tcPr>
            <w:tcW w:w="1341" w:type="dxa"/>
            <w:vAlign w:val="center"/>
          </w:tcPr>
          <w:p>
            <w:pPr>
              <w:spacing w:line="360" w:lineRule="auto"/>
              <w:jc w:val="center"/>
              <w:rPr>
                <w:rFonts w:ascii="Times New Roman" w:hAnsi="Times New Roman" w:eastAsia="宋体"/>
                <w:b/>
                <w:bCs/>
                <w:sz w:val="24"/>
                <w:szCs w:val="24"/>
                <w:highlight w:val="none"/>
              </w:rPr>
            </w:pPr>
            <w:r>
              <w:rPr>
                <w:rFonts w:hint="eastAsia" w:ascii="Times New Roman" w:hAnsi="Times New Roman" w:eastAsia="宋体"/>
                <w:b/>
                <w:bCs/>
                <w:sz w:val="24"/>
                <w:szCs w:val="24"/>
                <w:highlight w:val="none"/>
              </w:rPr>
              <w:t>序号</w:t>
            </w:r>
          </w:p>
        </w:tc>
        <w:tc>
          <w:tcPr>
            <w:tcW w:w="2066" w:type="dxa"/>
            <w:vAlign w:val="center"/>
          </w:tcPr>
          <w:p>
            <w:pPr>
              <w:spacing w:line="360" w:lineRule="auto"/>
              <w:jc w:val="center"/>
              <w:rPr>
                <w:rFonts w:ascii="Times New Roman" w:hAnsi="Times New Roman" w:eastAsia="宋体"/>
                <w:b/>
                <w:bCs/>
                <w:sz w:val="24"/>
                <w:szCs w:val="24"/>
                <w:highlight w:val="none"/>
              </w:rPr>
            </w:pPr>
            <w:r>
              <w:rPr>
                <w:rFonts w:hint="eastAsia" w:ascii="Times New Roman" w:hAnsi="Times New Roman" w:eastAsia="宋体"/>
                <w:b/>
                <w:bCs/>
                <w:sz w:val="24"/>
                <w:szCs w:val="24"/>
                <w:highlight w:val="none"/>
              </w:rPr>
              <w:t>采购服务要求</w:t>
            </w:r>
          </w:p>
        </w:tc>
        <w:tc>
          <w:tcPr>
            <w:tcW w:w="1705" w:type="dxa"/>
            <w:vAlign w:val="center"/>
          </w:tcPr>
          <w:p>
            <w:pPr>
              <w:spacing w:line="360" w:lineRule="auto"/>
              <w:jc w:val="center"/>
              <w:rPr>
                <w:rFonts w:ascii="Times New Roman" w:hAnsi="Times New Roman" w:eastAsia="宋体"/>
                <w:b/>
                <w:bCs/>
                <w:sz w:val="24"/>
                <w:szCs w:val="24"/>
                <w:highlight w:val="none"/>
              </w:rPr>
            </w:pPr>
            <w:r>
              <w:rPr>
                <w:rFonts w:hint="eastAsia" w:ascii="Times New Roman" w:hAnsi="Times New Roman" w:eastAsia="宋体"/>
                <w:b/>
                <w:bCs/>
                <w:sz w:val="24"/>
                <w:szCs w:val="24"/>
                <w:highlight w:val="none"/>
              </w:rPr>
              <w:t>投标人承诺的服务响应</w:t>
            </w:r>
          </w:p>
        </w:tc>
        <w:tc>
          <w:tcPr>
            <w:tcW w:w="1705" w:type="dxa"/>
            <w:vAlign w:val="center"/>
          </w:tcPr>
          <w:p>
            <w:pPr>
              <w:spacing w:line="360" w:lineRule="auto"/>
              <w:jc w:val="center"/>
              <w:rPr>
                <w:rFonts w:ascii="Times New Roman" w:hAnsi="Times New Roman" w:eastAsia="宋体"/>
                <w:b/>
                <w:bCs/>
                <w:sz w:val="24"/>
                <w:szCs w:val="24"/>
                <w:highlight w:val="none"/>
              </w:rPr>
            </w:pPr>
            <w:r>
              <w:rPr>
                <w:rFonts w:hint="eastAsia" w:ascii="Times New Roman" w:hAnsi="Times New Roman" w:eastAsia="宋体"/>
                <w:b/>
                <w:bCs/>
                <w:sz w:val="24"/>
                <w:szCs w:val="24"/>
                <w:highlight w:val="none"/>
              </w:rPr>
              <w:t>偏差描述</w:t>
            </w:r>
          </w:p>
        </w:tc>
        <w:tc>
          <w:tcPr>
            <w:tcW w:w="1705" w:type="dxa"/>
            <w:vAlign w:val="center"/>
          </w:tcPr>
          <w:p>
            <w:pPr>
              <w:spacing w:line="360" w:lineRule="auto"/>
              <w:jc w:val="center"/>
              <w:rPr>
                <w:rFonts w:ascii="Times New Roman" w:hAnsi="Times New Roman" w:eastAsia="宋体"/>
                <w:b/>
                <w:bCs/>
                <w:sz w:val="24"/>
                <w:szCs w:val="24"/>
                <w:highlight w:val="none"/>
              </w:rPr>
            </w:pPr>
            <w:r>
              <w:rPr>
                <w:rFonts w:hint="eastAsia" w:ascii="Times New Roman" w:hAnsi="Times New Roman" w:eastAsia="宋体"/>
                <w:b/>
                <w:bCs/>
                <w:sz w:val="24"/>
                <w:szCs w:val="24"/>
                <w:highlight w:val="none"/>
              </w:rPr>
              <w:t>结论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spacing w:line="360" w:lineRule="auto"/>
              <w:rPr>
                <w:rFonts w:ascii="Times New Roman" w:hAnsi="Times New Roman" w:eastAsia="宋体"/>
                <w:sz w:val="24"/>
                <w:szCs w:val="24"/>
                <w:highlight w:val="none"/>
              </w:rPr>
            </w:pPr>
          </w:p>
        </w:tc>
        <w:tc>
          <w:tcPr>
            <w:tcW w:w="2066"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spacing w:line="360" w:lineRule="auto"/>
              <w:rPr>
                <w:rFonts w:ascii="Times New Roman" w:hAnsi="Times New Roman" w:eastAsia="宋体"/>
                <w:sz w:val="24"/>
                <w:szCs w:val="24"/>
                <w:highlight w:val="none"/>
              </w:rPr>
            </w:pPr>
          </w:p>
        </w:tc>
        <w:tc>
          <w:tcPr>
            <w:tcW w:w="2066"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spacing w:line="360" w:lineRule="auto"/>
              <w:rPr>
                <w:rFonts w:ascii="Times New Roman" w:hAnsi="Times New Roman" w:eastAsia="宋体"/>
                <w:sz w:val="24"/>
                <w:szCs w:val="24"/>
                <w:highlight w:val="none"/>
              </w:rPr>
            </w:pPr>
          </w:p>
        </w:tc>
        <w:tc>
          <w:tcPr>
            <w:tcW w:w="2066"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spacing w:line="360" w:lineRule="auto"/>
              <w:rPr>
                <w:rFonts w:ascii="Times New Roman" w:hAnsi="Times New Roman" w:eastAsia="宋体"/>
                <w:sz w:val="24"/>
                <w:szCs w:val="24"/>
                <w:highlight w:val="none"/>
              </w:rPr>
            </w:pPr>
          </w:p>
        </w:tc>
        <w:tc>
          <w:tcPr>
            <w:tcW w:w="2066"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c>
          <w:tcPr>
            <w:tcW w:w="1705" w:type="dxa"/>
          </w:tcPr>
          <w:p>
            <w:pPr>
              <w:spacing w:line="360" w:lineRule="auto"/>
              <w:rPr>
                <w:rFonts w:ascii="Times New Roman" w:hAnsi="Times New Roman" w:eastAsia="宋体"/>
                <w:sz w:val="24"/>
                <w:szCs w:val="24"/>
                <w:highlight w:val="none"/>
              </w:rPr>
            </w:pPr>
          </w:p>
        </w:tc>
      </w:tr>
    </w:tbl>
    <w:p>
      <w:pPr>
        <w:spacing w:line="360" w:lineRule="auto"/>
        <w:rPr>
          <w:rFonts w:hint="eastAsia" w:ascii="Times New Roman" w:hAnsi="Times New Roman" w:eastAsia="宋体"/>
          <w:sz w:val="24"/>
          <w:highlight w:val="none"/>
        </w:rPr>
      </w:pP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法定代表人或授权代表（</w:t>
      </w:r>
      <w:r>
        <w:rPr>
          <w:rFonts w:hint="eastAsia" w:asciiTheme="minorEastAsia" w:hAnsiTheme="minorEastAsia"/>
          <w:sz w:val="24"/>
          <w:highlight w:val="none"/>
        </w:rPr>
        <w:t>个人电子签章或签字</w:t>
      </w:r>
      <w:r>
        <w:rPr>
          <w:rFonts w:hint="eastAsia" w:asciiTheme="minorEastAsia" w:hAnsiTheme="minorEastAsia"/>
          <w:sz w:val="24"/>
          <w:szCs w:val="24"/>
          <w:highlight w:val="none"/>
        </w:rPr>
        <w:t xml:space="preserve">）：   </w:t>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投标人名称（企业电子签章或公章）：</w:t>
      </w:r>
    </w:p>
    <w:p>
      <w:pPr>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日期：</w:t>
      </w:r>
    </w:p>
    <w:p>
      <w:pPr>
        <w:spacing w:line="360" w:lineRule="auto"/>
        <w:rPr>
          <w:rFonts w:hint="eastAsia" w:ascii="Times New Roman" w:hAnsi="Times New Roman" w:eastAsia="宋体"/>
          <w:b/>
          <w:sz w:val="24"/>
          <w:highlight w:val="none"/>
        </w:rPr>
      </w:pPr>
    </w:p>
    <w:p>
      <w:pPr>
        <w:spacing w:line="360" w:lineRule="auto"/>
        <w:rPr>
          <w:rFonts w:ascii="Times New Roman" w:hAnsi="Times New Roman" w:eastAsia="宋体"/>
          <w:b/>
          <w:sz w:val="24"/>
          <w:highlight w:val="none"/>
        </w:rPr>
      </w:pPr>
      <w:r>
        <w:rPr>
          <w:rFonts w:hint="eastAsia" w:ascii="Times New Roman" w:hAnsi="Times New Roman" w:eastAsia="宋体"/>
          <w:b/>
          <w:sz w:val="24"/>
          <w:highlight w:val="none"/>
        </w:rPr>
        <w:t xml:space="preserve">注： </w:t>
      </w:r>
    </w:p>
    <w:p>
      <w:pPr>
        <w:spacing w:line="360" w:lineRule="auto"/>
        <w:rPr>
          <w:rFonts w:ascii="Times New Roman" w:hAnsi="Times New Roman" w:eastAsia="宋体"/>
          <w:b/>
          <w:sz w:val="24"/>
          <w:highlight w:val="none"/>
        </w:rPr>
      </w:pPr>
      <w:r>
        <w:rPr>
          <w:rFonts w:hint="eastAsia" w:ascii="Times New Roman" w:hAnsi="Times New Roman" w:eastAsia="宋体"/>
          <w:b/>
          <w:sz w:val="24"/>
          <w:highlight w:val="none"/>
        </w:rPr>
        <w:t>1．投标人应根据采购要求逐条逐项表述说明投标响应情况。</w:t>
      </w:r>
    </w:p>
    <w:p>
      <w:pPr>
        <w:spacing w:line="360" w:lineRule="auto"/>
        <w:rPr>
          <w:rFonts w:ascii="Times New Roman" w:hAnsi="Times New Roman" w:eastAsia="宋体"/>
          <w:b/>
          <w:sz w:val="24"/>
          <w:highlight w:val="none"/>
        </w:rPr>
      </w:pPr>
      <w:r>
        <w:rPr>
          <w:rFonts w:hint="eastAsia" w:ascii="Times New Roman" w:hAnsi="Times New Roman" w:eastAsia="宋体"/>
          <w:b/>
          <w:sz w:val="24"/>
          <w:highlight w:val="none"/>
        </w:rPr>
        <w:t>2．投标人提交的投标文件中的服务响应与</w:t>
      </w:r>
      <w:r>
        <w:rPr>
          <w:rFonts w:hint="eastAsia" w:ascii="Times New Roman" w:hAnsi="Times New Roman" w:eastAsia="宋体"/>
          <w:b/>
          <w:sz w:val="24"/>
          <w:highlight w:val="none"/>
          <w:lang w:val="en-US" w:eastAsia="zh-CN"/>
        </w:rPr>
        <w:t>招标</w:t>
      </w:r>
      <w:r>
        <w:rPr>
          <w:rFonts w:hint="eastAsia" w:ascii="Times New Roman" w:hAnsi="Times New Roman" w:eastAsia="宋体"/>
          <w:b/>
          <w:sz w:val="24"/>
          <w:highlight w:val="none"/>
        </w:rPr>
        <w:t>文件的服务要求不同时，应逐条逐项如实填列在偏差表中。投标人不如实填写偏差情况、存在弄虚作假行为的，将依法承担相应的法律责任。</w:t>
      </w:r>
    </w:p>
    <w:p>
      <w:pPr>
        <w:spacing w:line="360" w:lineRule="auto"/>
        <w:rPr>
          <w:rFonts w:ascii="Times New Roman" w:hAnsi="Times New Roman" w:eastAsia="宋体"/>
          <w:b/>
          <w:sz w:val="24"/>
          <w:highlight w:val="none"/>
        </w:rPr>
      </w:pPr>
      <w:r>
        <w:rPr>
          <w:rFonts w:hint="eastAsia" w:ascii="Times New Roman" w:hAnsi="Times New Roman" w:eastAsia="宋体"/>
          <w:b/>
          <w:sz w:val="24"/>
          <w:highlight w:val="none"/>
        </w:rPr>
        <w:t>3．投标人应结合实际情况说明或描述其实际服务内容。如果完全复制粘贴本</w:t>
      </w:r>
      <w:r>
        <w:rPr>
          <w:rFonts w:hint="eastAsia" w:ascii="Times New Roman" w:hAnsi="Times New Roman" w:eastAsia="宋体"/>
          <w:b/>
          <w:sz w:val="24"/>
          <w:highlight w:val="none"/>
          <w:lang w:val="en-US" w:eastAsia="zh-CN"/>
        </w:rPr>
        <w:t>招标</w:t>
      </w:r>
      <w:r>
        <w:rPr>
          <w:rFonts w:hint="eastAsia" w:ascii="Times New Roman" w:hAnsi="Times New Roman" w:eastAsia="宋体"/>
          <w:b/>
          <w:sz w:val="24"/>
          <w:highlight w:val="none"/>
        </w:rPr>
        <w:t>文件之服务要求，或者只注明“符合”“满足”等类似无具体内容的表述，因此而产生的不利于投标人的评审风险由供应商自行承担。</w:t>
      </w:r>
    </w:p>
    <w:p>
      <w:pPr>
        <w:spacing w:line="360" w:lineRule="auto"/>
        <w:rPr>
          <w:rFonts w:ascii="Times New Roman" w:hAnsi="Times New Roman" w:eastAsia="宋体"/>
          <w:b/>
          <w:sz w:val="24"/>
          <w:highlight w:val="none"/>
        </w:rPr>
      </w:pPr>
      <w:r>
        <w:rPr>
          <w:rFonts w:hint="eastAsia" w:ascii="Times New Roman" w:hAnsi="Times New Roman" w:eastAsia="宋体"/>
          <w:b/>
          <w:sz w:val="24"/>
          <w:highlight w:val="none"/>
        </w:rPr>
        <w:t>4．投标人可根据需要自行增减表格行数。</w:t>
      </w:r>
    </w:p>
    <w:p>
      <w:pPr>
        <w:rPr>
          <w:highlight w:val="none"/>
        </w:rPr>
      </w:pPr>
    </w:p>
    <w:p>
      <w:pPr>
        <w:rPr>
          <w:highlight w:val="none"/>
        </w:rPr>
      </w:pPr>
    </w:p>
    <w:p>
      <w:pPr>
        <w:pStyle w:val="18"/>
        <w:rPr>
          <w:highlight w:val="none"/>
        </w:rPr>
      </w:pPr>
      <w:r>
        <w:rPr>
          <w:highlight w:val="none"/>
        </w:rPr>
        <w:tab/>
      </w:r>
    </w:p>
    <w:p>
      <w:pPr>
        <w:rPr>
          <w:sz w:val="28"/>
          <w:highlight w:val="none"/>
        </w:rPr>
      </w:pPr>
      <w:r>
        <w:rPr>
          <w:rFonts w:hint="eastAsia"/>
          <w:sz w:val="28"/>
          <w:highlight w:val="none"/>
        </w:rPr>
        <w:br w:type="page"/>
      </w:r>
    </w:p>
    <w:p>
      <w:pPr>
        <w:pStyle w:val="10"/>
        <w:spacing w:before="0" w:after="0"/>
        <w:jc w:val="center"/>
        <w:rPr>
          <w:rFonts w:hint="default"/>
          <w:sz w:val="24"/>
          <w:highlight w:val="none"/>
          <w:lang w:val="en-US" w:eastAsia="zh-CN"/>
        </w:rPr>
      </w:pPr>
      <w:bookmarkStart w:id="62" w:name="_Toc17199"/>
      <w:r>
        <w:rPr>
          <w:rFonts w:hint="eastAsia"/>
          <w:sz w:val="24"/>
          <w:highlight w:val="none"/>
          <w:lang w:val="en-US" w:eastAsia="zh-CN"/>
        </w:rPr>
        <w:t>四、技术部分</w:t>
      </w:r>
      <w:bookmarkEnd w:id="62"/>
    </w:p>
    <w:p>
      <w:pPr>
        <w:spacing w:line="360" w:lineRule="auto"/>
        <w:ind w:firstLine="720" w:firstLineChars="300"/>
        <w:rPr>
          <w:sz w:val="24"/>
          <w:szCs w:val="28"/>
          <w:highlight w:val="none"/>
        </w:rPr>
      </w:pPr>
      <w:r>
        <w:rPr>
          <w:rFonts w:hint="eastAsia"/>
          <w:sz w:val="24"/>
          <w:szCs w:val="28"/>
          <w:highlight w:val="none"/>
        </w:rPr>
        <w:t>各投标人根据本项目评标办法结合自身的实际情况自行编制，格式不限。</w:t>
      </w:r>
    </w:p>
    <w:p>
      <w:pPr>
        <w:ind w:firstLine="630" w:firstLineChars="300"/>
        <w:rPr>
          <w:highlight w:val="none"/>
        </w:rPr>
      </w:pPr>
    </w:p>
    <w:p>
      <w:pPr>
        <w:pStyle w:val="2"/>
        <w:ind w:firstLine="720" w:firstLineChars="300"/>
        <w:rPr>
          <w:rFonts w:hint="eastAsia"/>
          <w:sz w:val="24"/>
          <w:szCs w:val="28"/>
          <w:highlight w:val="none"/>
          <w:lang w:val="en-US" w:eastAsia="zh-CN"/>
        </w:rPr>
      </w:pPr>
      <w:r>
        <w:rPr>
          <w:rFonts w:hint="eastAsia"/>
          <w:sz w:val="24"/>
          <w:szCs w:val="28"/>
          <w:highlight w:val="none"/>
          <w:lang w:val="en-US" w:eastAsia="zh-CN"/>
        </w:rPr>
        <w:t>包括但不限于：</w:t>
      </w:r>
    </w:p>
    <w:p>
      <w:pPr>
        <w:numPr>
          <w:ilvl w:val="0"/>
          <w:numId w:val="11"/>
        </w:numPr>
        <w:spacing w:line="360" w:lineRule="auto"/>
        <w:ind w:left="1265" w:leftChars="0" w:hanging="425" w:firstLineChars="0"/>
        <w:rPr>
          <w:rFonts w:hint="eastAsia"/>
          <w:sz w:val="24"/>
          <w:szCs w:val="28"/>
          <w:highlight w:val="none"/>
        </w:rPr>
      </w:pPr>
      <w:r>
        <w:rPr>
          <w:rFonts w:hint="eastAsia"/>
          <w:sz w:val="24"/>
          <w:szCs w:val="28"/>
          <w:highlight w:val="none"/>
        </w:rPr>
        <w:t>策划方案</w:t>
      </w:r>
    </w:p>
    <w:p>
      <w:pPr>
        <w:numPr>
          <w:ilvl w:val="0"/>
          <w:numId w:val="11"/>
        </w:numPr>
        <w:spacing w:line="360" w:lineRule="auto"/>
        <w:ind w:left="1265" w:leftChars="0" w:hanging="425" w:firstLineChars="0"/>
        <w:rPr>
          <w:rFonts w:hint="eastAsia"/>
          <w:sz w:val="24"/>
          <w:szCs w:val="28"/>
          <w:highlight w:val="none"/>
        </w:rPr>
      </w:pPr>
      <w:r>
        <w:rPr>
          <w:rFonts w:hint="eastAsia"/>
          <w:sz w:val="24"/>
          <w:szCs w:val="28"/>
          <w:highlight w:val="none"/>
        </w:rPr>
        <w:t>实施方案</w:t>
      </w:r>
    </w:p>
    <w:p>
      <w:pPr>
        <w:numPr>
          <w:ilvl w:val="0"/>
          <w:numId w:val="11"/>
        </w:numPr>
        <w:spacing w:line="360" w:lineRule="auto"/>
        <w:ind w:left="1265" w:leftChars="0" w:hanging="425" w:firstLineChars="0"/>
        <w:rPr>
          <w:rFonts w:asciiTheme="minorEastAsia" w:hAnsiTheme="minorEastAsia"/>
          <w:b/>
          <w:highlight w:val="none"/>
        </w:rPr>
      </w:pPr>
      <w:r>
        <w:rPr>
          <w:rFonts w:hint="eastAsia"/>
          <w:sz w:val="24"/>
          <w:szCs w:val="28"/>
          <w:highlight w:val="none"/>
        </w:rPr>
        <w:t>团队配置</w:t>
      </w:r>
    </w:p>
    <w:p>
      <w:pPr>
        <w:ind w:firstLine="1200" w:firstLineChars="500"/>
        <w:rPr>
          <w:rFonts w:hint="default"/>
          <w:highlight w:val="none"/>
          <w:lang w:val="en-US"/>
        </w:rPr>
      </w:pPr>
      <w:r>
        <w:rPr>
          <w:rFonts w:hint="eastAsia"/>
          <w:sz w:val="24"/>
          <w:szCs w:val="28"/>
          <w:highlight w:val="none"/>
          <w:lang w:val="en-US" w:eastAsia="zh-CN"/>
        </w:rPr>
        <w:t>......</w:t>
      </w:r>
    </w:p>
    <w:p>
      <w:pPr>
        <w:numPr>
          <w:ilvl w:val="0"/>
          <w:numId w:val="11"/>
        </w:numPr>
        <w:spacing w:line="360" w:lineRule="auto"/>
        <w:ind w:left="1265" w:leftChars="0" w:hanging="425" w:firstLineChars="0"/>
        <w:rPr>
          <w:rFonts w:asciiTheme="minorEastAsia" w:hAnsiTheme="minorEastAsia"/>
          <w:b/>
          <w:highlight w:val="none"/>
        </w:rPr>
      </w:pPr>
      <w:r>
        <w:rPr>
          <w:rFonts w:asciiTheme="minorEastAsia" w:hAnsiTheme="minorEastAsia"/>
          <w:b/>
          <w:highlight w:val="none"/>
        </w:rPr>
        <w:br w:type="page"/>
      </w:r>
    </w:p>
    <w:p>
      <w:pPr>
        <w:pStyle w:val="10"/>
        <w:spacing w:before="0" w:after="0"/>
        <w:jc w:val="center"/>
        <w:rPr>
          <w:rFonts w:hint="eastAsia"/>
          <w:sz w:val="24"/>
          <w:highlight w:val="none"/>
          <w:lang w:val="en-US" w:eastAsia="zh-CN"/>
        </w:rPr>
      </w:pPr>
      <w:bookmarkStart w:id="63" w:name="_Toc18374"/>
      <w:r>
        <w:rPr>
          <w:rFonts w:hint="eastAsia"/>
          <w:sz w:val="24"/>
          <w:highlight w:val="none"/>
          <w:lang w:val="en-US" w:eastAsia="zh-CN"/>
        </w:rPr>
        <w:t>五、服务承诺</w:t>
      </w:r>
      <w:bookmarkEnd w:id="63"/>
    </w:p>
    <w:p>
      <w:pPr>
        <w:rPr>
          <w:highlight w:val="none"/>
        </w:rPr>
      </w:pPr>
    </w:p>
    <w:p>
      <w:pPr>
        <w:spacing w:line="360" w:lineRule="auto"/>
        <w:ind w:firstLine="720" w:firstLineChars="300"/>
        <w:rPr>
          <w:rFonts w:hint="eastAsia"/>
          <w:sz w:val="24"/>
          <w:szCs w:val="28"/>
          <w:highlight w:val="none"/>
        </w:rPr>
      </w:pPr>
      <w:r>
        <w:rPr>
          <w:rFonts w:hint="eastAsia"/>
          <w:sz w:val="24"/>
          <w:szCs w:val="28"/>
          <w:highlight w:val="none"/>
        </w:rPr>
        <w:t>各投标人根据本项目评标办法结合自身的实际情况自行编制，格式不限。</w:t>
      </w:r>
    </w:p>
    <w:p>
      <w:pPr>
        <w:ind w:firstLine="630" w:firstLineChars="300"/>
        <w:rPr>
          <w:highlight w:val="none"/>
        </w:rPr>
      </w:pPr>
    </w:p>
    <w:p>
      <w:pPr>
        <w:rPr>
          <w:sz w:val="28"/>
          <w:highlight w:val="none"/>
        </w:rPr>
      </w:pPr>
    </w:p>
    <w:p>
      <w:pPr>
        <w:rPr>
          <w:sz w:val="28"/>
          <w:highlight w:val="none"/>
        </w:rPr>
      </w:pPr>
      <w:r>
        <w:rPr>
          <w:rFonts w:hint="eastAsia"/>
          <w:sz w:val="28"/>
          <w:highlight w:val="none"/>
        </w:rPr>
        <w:br w:type="page"/>
      </w:r>
    </w:p>
    <w:p>
      <w:pPr>
        <w:pStyle w:val="10"/>
        <w:spacing w:before="0" w:after="0"/>
        <w:jc w:val="center"/>
        <w:rPr>
          <w:rFonts w:hint="eastAsia"/>
          <w:sz w:val="24"/>
          <w:highlight w:val="none"/>
          <w:lang w:val="en-US" w:eastAsia="zh-CN"/>
        </w:rPr>
      </w:pPr>
      <w:bookmarkStart w:id="64" w:name="_Toc29422"/>
      <w:r>
        <w:rPr>
          <w:rFonts w:hint="eastAsia"/>
          <w:sz w:val="24"/>
          <w:highlight w:val="none"/>
          <w:lang w:val="en-US" w:eastAsia="zh-CN"/>
        </w:rPr>
        <w:t>六、投标人承诺函</w:t>
      </w:r>
      <w:bookmarkEnd w:id="64"/>
    </w:p>
    <w:p>
      <w:pPr>
        <w:pStyle w:val="11"/>
        <w:spacing w:before="0" w:after="0"/>
        <w:jc w:val="center"/>
        <w:rPr>
          <w:sz w:val="24"/>
          <w:highlight w:val="none"/>
        </w:rPr>
      </w:pPr>
      <w:r>
        <w:rPr>
          <w:rFonts w:hint="eastAsia"/>
          <w:sz w:val="24"/>
          <w:highlight w:val="none"/>
        </w:rPr>
        <w:t>1.投标承诺函</w:t>
      </w:r>
    </w:p>
    <w:p>
      <w:pPr>
        <w:pStyle w:val="27"/>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highlight w:val="none"/>
        </w:rPr>
        <w:t>致（采购人或采购代理机构）</w:t>
      </w:r>
      <w:r>
        <w:rPr>
          <w:rFonts w:hint="eastAsia" w:asciiTheme="minorEastAsia" w:hAnsiTheme="minorEastAsia" w:eastAsiaTheme="minorEastAsia"/>
          <w:spacing w:val="7"/>
          <w:highlight w:val="none"/>
        </w:rPr>
        <w:t>：</w:t>
      </w:r>
    </w:p>
    <w:p>
      <w:pPr>
        <w:pStyle w:val="27"/>
        <w:spacing w:before="0" w:beforeAutospacing="0" w:after="0" w:afterAutospacing="0" w:line="360" w:lineRule="auto"/>
        <w:ind w:firstLine="480"/>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我公司作为本次采购项目的投标人，根据招标文件要求，现郑重承诺如下：</w:t>
      </w:r>
    </w:p>
    <w:p>
      <w:pPr>
        <w:pStyle w:val="27"/>
        <w:spacing w:before="0" w:beforeAutospacing="0" w:after="0" w:afterAutospacing="0" w:line="360" w:lineRule="auto"/>
        <w:ind w:firstLine="480"/>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一、具备《中华人民共和国政府采购法》第二十二条第一款和本项目规定的条件。</w:t>
      </w:r>
    </w:p>
    <w:p>
      <w:pPr>
        <w:pStyle w:val="27"/>
        <w:spacing w:before="0" w:beforeAutospacing="0" w:after="0" w:afterAutospacing="0" w:line="360" w:lineRule="auto"/>
        <w:ind w:firstLine="480"/>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二、完全接受和满足本项目招标文件中规定的实质性要求，如对招标文件有异议，已经在投标截止时间届满前依法进行维权救济，不存在对招标文件有异议的同时又参加投标以求侥幸中标或者为实现其他非法目的的行为。</w:t>
      </w:r>
    </w:p>
    <w:p>
      <w:pPr>
        <w:pStyle w:val="27"/>
        <w:spacing w:before="0" w:beforeAutospacing="0" w:after="0" w:afterAutospacing="0" w:line="360" w:lineRule="auto"/>
        <w:ind w:firstLine="480"/>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三、参加本次招标采购活动，不存在为采购项目提供整体设计、规范编制或者项目管理、监理、检测等服务的行为。</w:t>
      </w:r>
    </w:p>
    <w:p>
      <w:pPr>
        <w:pStyle w:val="27"/>
        <w:spacing w:before="0" w:beforeAutospacing="0" w:after="0" w:afterAutospacing="0" w:line="360" w:lineRule="auto"/>
        <w:ind w:firstLine="480"/>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四、参加本次招标采购活动，不存在和其他投标人在同一合同项下的采购项目中，同时委托同一个自然人、同一家庭的人员、同一单位的人员作为代理人的行为。</w:t>
      </w:r>
    </w:p>
    <w:p>
      <w:pPr>
        <w:pStyle w:val="27"/>
        <w:spacing w:before="0" w:beforeAutospacing="0" w:after="0" w:afterAutospacing="0" w:line="360" w:lineRule="auto"/>
        <w:ind w:firstLine="480"/>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五、投标人参加本次政府采购活动要求在近三年内投标人和其法定代表人没有行贿犯罪行为。</w:t>
      </w:r>
    </w:p>
    <w:p>
      <w:pPr>
        <w:pStyle w:val="27"/>
        <w:spacing w:before="0" w:beforeAutospacing="0" w:after="0" w:afterAutospacing="0" w:line="360" w:lineRule="auto"/>
        <w:ind w:firstLine="480"/>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六、参加本次招标采购活动，不存在联合体投标。</w:t>
      </w:r>
    </w:p>
    <w:p>
      <w:pPr>
        <w:pStyle w:val="27"/>
        <w:spacing w:before="0" w:beforeAutospacing="0" w:after="0" w:afterAutospacing="0" w:line="360" w:lineRule="auto"/>
        <w:ind w:firstLine="480"/>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七、投标文件中提供的能够给予我公司带来优惠、好处的任何材料资料和技术、服务、商务等响应承诺情况都是真实的、有效的、合法的。</w:t>
      </w:r>
    </w:p>
    <w:p>
      <w:pPr>
        <w:pStyle w:val="27"/>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 </w:t>
      </w:r>
      <w:r>
        <w:rPr>
          <w:rFonts w:asciiTheme="minorEastAsia" w:hAnsiTheme="minorEastAsia" w:eastAsiaTheme="minorEastAsia"/>
          <w:spacing w:val="7"/>
          <w:highlight w:val="none"/>
        </w:rPr>
        <w:t xml:space="preserve"> </w:t>
      </w:r>
      <w:r>
        <w:rPr>
          <w:rFonts w:hint="eastAsia" w:asciiTheme="minorEastAsia" w:hAnsiTheme="minorEastAsia" w:eastAsiaTheme="minorEastAsia"/>
          <w:spacing w:val="7"/>
          <w:highlight w:val="none"/>
        </w:rPr>
        <w:t xml:space="preserve"> 八、存在以下行为之一的愿意接受相关部门的处理：</w:t>
      </w:r>
    </w:p>
    <w:p>
      <w:pPr>
        <w:pStyle w:val="27"/>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   （一）投标有效期内撤销投标文件的；</w:t>
      </w:r>
    </w:p>
    <w:p>
      <w:pPr>
        <w:pStyle w:val="27"/>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   （二）在采购人确定中标人以前放弃中标候选资格的；</w:t>
      </w:r>
    </w:p>
    <w:p>
      <w:pPr>
        <w:pStyle w:val="27"/>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   （三）由于中标人的原因未能按照招标文件的规定与采购人签订合同；</w:t>
      </w:r>
    </w:p>
    <w:p>
      <w:pPr>
        <w:pStyle w:val="27"/>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   （四）在投标文件中提供虚假材料谋取中标；</w:t>
      </w:r>
    </w:p>
    <w:p>
      <w:pPr>
        <w:pStyle w:val="27"/>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   （五）与采购人、其他投标人或者采购代理机构恶意串通的；</w:t>
      </w:r>
    </w:p>
    <w:p>
      <w:pPr>
        <w:pStyle w:val="27"/>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   （六）投标有效期内，投标人在政府采购活动中有违法、违规、违纪行为。</w:t>
      </w:r>
    </w:p>
    <w:p>
      <w:pPr>
        <w:pStyle w:val="27"/>
        <w:spacing w:before="0" w:beforeAutospacing="0" w:after="0" w:afterAutospacing="0" w:line="360" w:lineRule="auto"/>
        <w:ind w:firstLine="508" w:firstLineChars="200"/>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由此产生的一切法律后果和责任由我公司承担。我公司声明放弃对此提出任何异议和追索的权利。</w:t>
      </w:r>
    </w:p>
    <w:p>
      <w:pPr>
        <w:pStyle w:val="27"/>
        <w:spacing w:before="0" w:beforeAutospacing="0" w:after="0" w:afterAutospacing="0" w:line="360" w:lineRule="auto"/>
        <w:ind w:firstLine="508" w:firstLineChars="200"/>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本公司对上述承诺的内容事项真实性负责。如经查实上述承诺的内容事项存在虚假，我公司愿意接受以提供虚假材料谋取中标追究法律责任。</w:t>
      </w:r>
    </w:p>
    <w:p>
      <w:pPr>
        <w:pStyle w:val="27"/>
        <w:spacing w:before="0" w:beforeAutospacing="0" w:after="0" w:afterAutospacing="0" w:line="360" w:lineRule="auto"/>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       </w:t>
      </w:r>
    </w:p>
    <w:p>
      <w:pPr>
        <w:pStyle w:val="27"/>
        <w:spacing w:before="0" w:beforeAutospacing="0" w:after="0" w:afterAutospacing="0" w:line="360" w:lineRule="auto"/>
        <w:ind w:firstLine="465"/>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投标人名称（</w:t>
      </w:r>
      <w:r>
        <w:rPr>
          <w:rFonts w:hint="eastAsia" w:asciiTheme="minorEastAsia" w:hAnsiTheme="minorEastAsia" w:eastAsiaTheme="minorEastAsia"/>
          <w:highlight w:val="none"/>
        </w:rPr>
        <w:t>企业电子签章或公章</w:t>
      </w:r>
      <w:r>
        <w:rPr>
          <w:rFonts w:hint="eastAsia" w:asciiTheme="minorEastAsia" w:hAnsiTheme="minorEastAsia" w:eastAsiaTheme="minorEastAsia"/>
          <w:spacing w:val="7"/>
          <w:highlight w:val="none"/>
        </w:rPr>
        <w:t>）：</w:t>
      </w:r>
    </w:p>
    <w:p>
      <w:pPr>
        <w:pStyle w:val="27"/>
        <w:spacing w:before="0" w:beforeAutospacing="0" w:after="0" w:afterAutospacing="0" w:line="360" w:lineRule="auto"/>
        <w:ind w:firstLine="465"/>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法定代表人或授权代表（</w:t>
      </w:r>
      <w:r>
        <w:rPr>
          <w:rFonts w:hint="eastAsia" w:asciiTheme="minorEastAsia" w:hAnsiTheme="minorEastAsia" w:eastAsiaTheme="minorEastAsia"/>
          <w:highlight w:val="none"/>
        </w:rPr>
        <w:t>个人电子签章或签字</w:t>
      </w:r>
      <w:r>
        <w:rPr>
          <w:rFonts w:hint="eastAsia" w:asciiTheme="minorEastAsia" w:hAnsiTheme="minorEastAsia" w:eastAsiaTheme="minorEastAsia"/>
          <w:spacing w:val="7"/>
          <w:highlight w:val="none"/>
        </w:rPr>
        <w:t>）：</w:t>
      </w:r>
    </w:p>
    <w:p>
      <w:pPr>
        <w:pStyle w:val="27"/>
        <w:spacing w:before="0" w:beforeAutospacing="0" w:after="0" w:afterAutospacing="0" w:line="360" w:lineRule="auto"/>
        <w:ind w:firstLine="480"/>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日     期：              </w:t>
      </w:r>
    </w:p>
    <w:p>
      <w:pPr>
        <w:pStyle w:val="27"/>
        <w:spacing w:before="0" w:beforeAutospacing="0" w:after="0" w:afterAutospacing="0" w:line="360" w:lineRule="auto"/>
        <w:ind w:firstLine="495"/>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highlight w:val="none"/>
        </w:rPr>
        <w:t> </w:t>
      </w:r>
    </w:p>
    <w:p>
      <w:pPr>
        <w:rPr>
          <w:rFonts w:asciiTheme="minorEastAsia" w:hAnsiTheme="minorEastAsia"/>
          <w:highlight w:val="none"/>
        </w:rPr>
      </w:pPr>
    </w:p>
    <w:p>
      <w:pPr>
        <w:widowControl/>
        <w:jc w:val="left"/>
        <w:rPr>
          <w:rFonts w:asciiTheme="minorEastAsia" w:hAnsiTheme="minorEastAsia"/>
          <w:b/>
          <w:highlight w:val="none"/>
        </w:rPr>
      </w:pPr>
      <w:r>
        <w:rPr>
          <w:rFonts w:asciiTheme="minorEastAsia" w:hAnsiTheme="minorEastAsia"/>
          <w:b/>
          <w:highlight w:val="none"/>
        </w:rPr>
        <w:br w:type="page"/>
      </w:r>
    </w:p>
    <w:p>
      <w:pPr>
        <w:pStyle w:val="11"/>
        <w:spacing w:before="0" w:after="0"/>
        <w:jc w:val="center"/>
        <w:rPr>
          <w:sz w:val="24"/>
          <w:highlight w:val="none"/>
        </w:rPr>
      </w:pPr>
      <w:r>
        <w:rPr>
          <w:rFonts w:hint="eastAsia"/>
          <w:sz w:val="24"/>
          <w:highlight w:val="none"/>
        </w:rPr>
        <w:t>2.招标代理服务费承诺函</w:t>
      </w:r>
    </w:p>
    <w:p>
      <w:pPr>
        <w:pStyle w:val="27"/>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致（采购人或采购代理机构） ：</w:t>
      </w:r>
    </w:p>
    <w:p>
      <w:pPr>
        <w:pStyle w:val="27"/>
        <w:spacing w:before="0" w:beforeAutospacing="0" w:after="0" w:afterAutospacing="0" w:line="360" w:lineRule="auto"/>
        <w:ind w:firstLine="480"/>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我们在贵公司组织的（</w:t>
      </w:r>
      <w:r>
        <w:rPr>
          <w:rFonts w:hint="eastAsia" w:asciiTheme="minorEastAsia" w:hAnsiTheme="minorEastAsia" w:eastAsiaTheme="minorEastAsia"/>
          <w:spacing w:val="7"/>
          <w:highlight w:val="none"/>
          <w:u w:val="single"/>
        </w:rPr>
        <w:t xml:space="preserve">项目名称： </w:t>
      </w:r>
      <w:r>
        <w:rPr>
          <w:rFonts w:asciiTheme="minorEastAsia" w:hAnsiTheme="minorEastAsia" w:eastAsiaTheme="minorEastAsia"/>
          <w:spacing w:val="7"/>
          <w:highlight w:val="none"/>
          <w:u w:val="single"/>
        </w:rPr>
        <w:t xml:space="preserve">   </w:t>
      </w:r>
      <w:r>
        <w:rPr>
          <w:rFonts w:hint="eastAsia" w:asciiTheme="minorEastAsia" w:hAnsiTheme="minorEastAsia" w:eastAsiaTheme="minorEastAsia"/>
          <w:spacing w:val="7"/>
          <w:highlight w:val="none"/>
          <w:u w:val="single"/>
        </w:rPr>
        <w:t xml:space="preserve"> ，采购代理编号： </w:t>
      </w:r>
      <w:r>
        <w:rPr>
          <w:rFonts w:asciiTheme="minorEastAsia" w:hAnsiTheme="minorEastAsia" w:eastAsiaTheme="minorEastAsia"/>
          <w:spacing w:val="7"/>
          <w:highlight w:val="none"/>
          <w:u w:val="single"/>
        </w:rPr>
        <w:t xml:space="preserve">     </w:t>
      </w:r>
      <w:r>
        <w:rPr>
          <w:rFonts w:hint="eastAsia" w:asciiTheme="minorEastAsia" w:hAnsiTheme="minorEastAsia" w:eastAsiaTheme="minorEastAsia"/>
          <w:spacing w:val="7"/>
          <w:highlight w:val="none"/>
        </w:rPr>
        <w:t>）招标中若获中标，我们保证在中标公告发布后5个工作日内，按招标文件的规定，以银行转账或现金，向贵公司一次性支付招标代理服务费用。否则，由此产生的一切法律后果和责任由我公司承担。我公司声明放弃对此提出任何异议和追索的权利。</w:t>
      </w:r>
    </w:p>
    <w:p>
      <w:pPr>
        <w:pStyle w:val="27"/>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特此承诺。</w:t>
      </w:r>
    </w:p>
    <w:p>
      <w:pPr>
        <w:pStyle w:val="27"/>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 </w:t>
      </w:r>
    </w:p>
    <w:p>
      <w:pPr>
        <w:pStyle w:val="27"/>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 </w:t>
      </w:r>
    </w:p>
    <w:p>
      <w:pPr>
        <w:pStyle w:val="27"/>
        <w:spacing w:before="0" w:beforeAutospacing="0" w:after="0" w:afterAutospacing="0" w:line="360" w:lineRule="auto"/>
        <w:ind w:firstLine="465"/>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投标人名称（企业电子签章或公章）：</w:t>
      </w:r>
    </w:p>
    <w:p>
      <w:pPr>
        <w:pStyle w:val="27"/>
        <w:spacing w:before="0" w:beforeAutospacing="0" w:after="0" w:afterAutospacing="0" w:line="360" w:lineRule="auto"/>
        <w:ind w:firstLine="465"/>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法定代表人或授权代表（</w:t>
      </w:r>
      <w:r>
        <w:rPr>
          <w:rFonts w:hint="eastAsia" w:asciiTheme="minorEastAsia" w:hAnsiTheme="minorEastAsia" w:eastAsiaTheme="minorEastAsia"/>
          <w:highlight w:val="none"/>
        </w:rPr>
        <w:t>个人电子签章或签字</w:t>
      </w:r>
      <w:r>
        <w:rPr>
          <w:rFonts w:hint="eastAsia" w:asciiTheme="minorEastAsia" w:hAnsiTheme="minorEastAsia" w:eastAsiaTheme="minorEastAsia"/>
          <w:spacing w:val="7"/>
          <w:highlight w:val="none"/>
        </w:rPr>
        <w:t>）：</w:t>
      </w:r>
    </w:p>
    <w:p>
      <w:pPr>
        <w:pStyle w:val="27"/>
        <w:spacing w:before="0" w:beforeAutospacing="0" w:after="0" w:afterAutospacing="0" w:line="360" w:lineRule="auto"/>
        <w:ind w:firstLine="480"/>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日     期：</w:t>
      </w:r>
    </w:p>
    <w:p>
      <w:pPr>
        <w:pStyle w:val="27"/>
        <w:spacing w:before="0" w:beforeAutospacing="0" w:after="0" w:afterAutospacing="0" w:line="360" w:lineRule="auto"/>
        <w:jc w:val="both"/>
        <w:rPr>
          <w:rFonts w:asciiTheme="minorEastAsia" w:hAnsiTheme="minorEastAsia" w:eastAsiaTheme="minorEastAsia"/>
          <w:spacing w:val="7"/>
          <w:sz w:val="26"/>
          <w:szCs w:val="26"/>
          <w:highlight w:val="none"/>
        </w:rPr>
      </w:pPr>
      <w:r>
        <w:rPr>
          <w:rFonts w:hint="eastAsia" w:asciiTheme="minorEastAsia" w:hAnsiTheme="minorEastAsia" w:eastAsiaTheme="minorEastAsia"/>
          <w:spacing w:val="7"/>
          <w:highlight w:val="none"/>
        </w:rPr>
        <w:t> </w:t>
      </w:r>
    </w:p>
    <w:p>
      <w:pPr>
        <w:rPr>
          <w:rFonts w:asciiTheme="minorEastAsia" w:hAnsiTheme="minorEastAsia"/>
          <w:highlight w:val="none"/>
        </w:rPr>
      </w:pPr>
    </w:p>
    <w:p>
      <w:pPr>
        <w:widowControl/>
        <w:jc w:val="left"/>
        <w:rPr>
          <w:rFonts w:asciiTheme="minorEastAsia" w:hAnsiTheme="minorEastAsia"/>
          <w:highlight w:val="none"/>
        </w:rPr>
      </w:pPr>
      <w:r>
        <w:rPr>
          <w:rFonts w:asciiTheme="minorEastAsia" w:hAnsiTheme="minorEastAsia"/>
          <w:highlight w:val="none"/>
        </w:rPr>
        <w:br w:type="page"/>
      </w:r>
    </w:p>
    <w:p>
      <w:pPr>
        <w:pStyle w:val="10"/>
        <w:spacing w:before="0" w:after="0"/>
        <w:jc w:val="center"/>
        <w:rPr>
          <w:rFonts w:hint="eastAsia"/>
          <w:sz w:val="24"/>
          <w:highlight w:val="none"/>
          <w:lang w:val="en-US" w:eastAsia="zh-CN"/>
        </w:rPr>
      </w:pPr>
      <w:bookmarkStart w:id="65" w:name="_Toc29727"/>
      <w:r>
        <w:rPr>
          <w:rFonts w:hint="eastAsia"/>
          <w:sz w:val="24"/>
          <w:highlight w:val="none"/>
          <w:lang w:val="en-US" w:eastAsia="zh-CN"/>
        </w:rPr>
        <w:t>七、近三年类似业绩及目前正在执行合同的情况</w:t>
      </w:r>
      <w:bookmarkEnd w:id="65"/>
    </w:p>
    <w:tbl>
      <w:tblPr>
        <w:tblStyle w:val="28"/>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4"/>
        <w:gridCol w:w="2932"/>
        <w:gridCol w:w="1762"/>
        <w:gridCol w:w="30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highlight w:val="none"/>
              </w:rPr>
            </w:pPr>
            <w:r>
              <w:rPr>
                <w:rFonts w:asciiTheme="minorEastAsia" w:hAnsiTheme="minorEastAsia"/>
                <w:kern w:val="0"/>
                <w:sz w:val="24"/>
                <w:szCs w:val="24"/>
                <w:highlight w:val="none"/>
              </w:rPr>
              <w:t>序号</w:t>
            </w:r>
          </w:p>
        </w:tc>
        <w:tc>
          <w:tcPr>
            <w:tcW w:w="2932" w:type="dxa"/>
            <w:vAlign w:val="center"/>
          </w:tcPr>
          <w:p>
            <w:pPr>
              <w:spacing w:line="360" w:lineRule="auto"/>
              <w:jc w:val="center"/>
              <w:rPr>
                <w:rFonts w:asciiTheme="minorEastAsia" w:hAnsiTheme="minorEastAsia"/>
                <w:kern w:val="0"/>
                <w:sz w:val="24"/>
                <w:szCs w:val="24"/>
                <w:highlight w:val="none"/>
              </w:rPr>
            </w:pPr>
            <w:r>
              <w:rPr>
                <w:rFonts w:asciiTheme="minorEastAsia" w:hAnsiTheme="minorEastAsia"/>
                <w:kern w:val="0"/>
                <w:sz w:val="24"/>
                <w:szCs w:val="24"/>
                <w:highlight w:val="none"/>
              </w:rPr>
              <w:t>项目名称</w:t>
            </w:r>
          </w:p>
        </w:tc>
        <w:tc>
          <w:tcPr>
            <w:tcW w:w="1762" w:type="dxa"/>
            <w:vAlign w:val="center"/>
          </w:tcPr>
          <w:p>
            <w:pPr>
              <w:spacing w:line="360" w:lineRule="auto"/>
              <w:jc w:val="center"/>
              <w:rPr>
                <w:rFonts w:asciiTheme="minorEastAsia" w:hAnsiTheme="minorEastAsia"/>
                <w:kern w:val="0"/>
                <w:sz w:val="24"/>
                <w:szCs w:val="24"/>
                <w:highlight w:val="none"/>
              </w:rPr>
            </w:pPr>
            <w:r>
              <w:rPr>
                <w:rFonts w:asciiTheme="minorEastAsia" w:hAnsiTheme="minorEastAsia"/>
                <w:kern w:val="0"/>
                <w:sz w:val="24"/>
                <w:szCs w:val="24"/>
                <w:highlight w:val="none"/>
              </w:rPr>
              <w:t>实施时间</w:t>
            </w:r>
          </w:p>
        </w:tc>
        <w:tc>
          <w:tcPr>
            <w:tcW w:w="3024" w:type="dxa"/>
            <w:vAlign w:val="center"/>
          </w:tcPr>
          <w:p>
            <w:pPr>
              <w:spacing w:line="360" w:lineRule="auto"/>
              <w:jc w:val="center"/>
              <w:rPr>
                <w:rFonts w:asciiTheme="minorEastAsia" w:hAnsiTheme="minorEastAsia"/>
                <w:kern w:val="0"/>
                <w:sz w:val="24"/>
                <w:szCs w:val="24"/>
                <w:highlight w:val="none"/>
              </w:rPr>
            </w:pPr>
            <w:r>
              <w:rPr>
                <w:rFonts w:asciiTheme="minorEastAsia" w:hAnsiTheme="minorEastAsia"/>
                <w:kern w:val="0"/>
                <w:sz w:val="24"/>
                <w:szCs w:val="24"/>
                <w:highlight w:val="none"/>
              </w:rPr>
              <w:t>建设单位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highlight w:val="none"/>
              </w:rPr>
            </w:pPr>
          </w:p>
        </w:tc>
        <w:tc>
          <w:tcPr>
            <w:tcW w:w="2932" w:type="dxa"/>
            <w:vAlign w:val="center"/>
          </w:tcPr>
          <w:p>
            <w:pPr>
              <w:spacing w:line="360" w:lineRule="auto"/>
              <w:jc w:val="center"/>
              <w:rPr>
                <w:rFonts w:asciiTheme="minorEastAsia" w:hAnsiTheme="minorEastAsia"/>
                <w:kern w:val="0"/>
                <w:sz w:val="24"/>
                <w:szCs w:val="24"/>
                <w:highlight w:val="none"/>
              </w:rPr>
            </w:pPr>
          </w:p>
        </w:tc>
        <w:tc>
          <w:tcPr>
            <w:tcW w:w="1762" w:type="dxa"/>
            <w:vAlign w:val="center"/>
          </w:tcPr>
          <w:p>
            <w:pPr>
              <w:spacing w:line="360" w:lineRule="auto"/>
              <w:jc w:val="center"/>
              <w:rPr>
                <w:rFonts w:asciiTheme="minorEastAsia" w:hAnsiTheme="minorEastAsia"/>
                <w:kern w:val="0"/>
                <w:sz w:val="24"/>
                <w:szCs w:val="24"/>
                <w:highlight w:val="none"/>
              </w:rPr>
            </w:pPr>
          </w:p>
        </w:tc>
        <w:tc>
          <w:tcPr>
            <w:tcW w:w="3024" w:type="dxa"/>
            <w:vAlign w:val="center"/>
          </w:tcPr>
          <w:p>
            <w:pPr>
              <w:spacing w:line="360" w:lineRule="auto"/>
              <w:jc w:val="center"/>
              <w:rPr>
                <w:rFonts w:asciiTheme="minorEastAsia" w:hAnsiTheme="minorEastAsia"/>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highlight w:val="none"/>
              </w:rPr>
            </w:pPr>
          </w:p>
        </w:tc>
        <w:tc>
          <w:tcPr>
            <w:tcW w:w="2932" w:type="dxa"/>
            <w:vAlign w:val="center"/>
          </w:tcPr>
          <w:p>
            <w:pPr>
              <w:spacing w:line="360" w:lineRule="auto"/>
              <w:jc w:val="center"/>
              <w:rPr>
                <w:rFonts w:asciiTheme="minorEastAsia" w:hAnsiTheme="minorEastAsia"/>
                <w:kern w:val="0"/>
                <w:sz w:val="24"/>
                <w:szCs w:val="24"/>
                <w:highlight w:val="none"/>
              </w:rPr>
            </w:pPr>
          </w:p>
        </w:tc>
        <w:tc>
          <w:tcPr>
            <w:tcW w:w="1762" w:type="dxa"/>
            <w:vAlign w:val="center"/>
          </w:tcPr>
          <w:p>
            <w:pPr>
              <w:spacing w:line="360" w:lineRule="auto"/>
              <w:jc w:val="center"/>
              <w:rPr>
                <w:rFonts w:asciiTheme="minorEastAsia" w:hAnsiTheme="minorEastAsia"/>
                <w:kern w:val="0"/>
                <w:sz w:val="24"/>
                <w:szCs w:val="24"/>
                <w:highlight w:val="none"/>
              </w:rPr>
            </w:pPr>
          </w:p>
        </w:tc>
        <w:tc>
          <w:tcPr>
            <w:tcW w:w="3024" w:type="dxa"/>
            <w:vAlign w:val="center"/>
          </w:tcPr>
          <w:p>
            <w:pPr>
              <w:spacing w:line="360" w:lineRule="auto"/>
              <w:jc w:val="center"/>
              <w:rPr>
                <w:rFonts w:asciiTheme="minorEastAsia" w:hAnsiTheme="minorEastAsia"/>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highlight w:val="none"/>
              </w:rPr>
            </w:pPr>
          </w:p>
        </w:tc>
        <w:tc>
          <w:tcPr>
            <w:tcW w:w="2932" w:type="dxa"/>
            <w:vAlign w:val="center"/>
          </w:tcPr>
          <w:p>
            <w:pPr>
              <w:spacing w:line="360" w:lineRule="auto"/>
              <w:jc w:val="center"/>
              <w:rPr>
                <w:rFonts w:asciiTheme="minorEastAsia" w:hAnsiTheme="minorEastAsia"/>
                <w:kern w:val="0"/>
                <w:sz w:val="24"/>
                <w:szCs w:val="24"/>
                <w:highlight w:val="none"/>
              </w:rPr>
            </w:pPr>
          </w:p>
        </w:tc>
        <w:tc>
          <w:tcPr>
            <w:tcW w:w="1762" w:type="dxa"/>
            <w:vAlign w:val="center"/>
          </w:tcPr>
          <w:p>
            <w:pPr>
              <w:spacing w:line="360" w:lineRule="auto"/>
              <w:jc w:val="center"/>
              <w:rPr>
                <w:rFonts w:asciiTheme="minorEastAsia" w:hAnsiTheme="minorEastAsia"/>
                <w:kern w:val="0"/>
                <w:sz w:val="24"/>
                <w:szCs w:val="24"/>
                <w:highlight w:val="none"/>
              </w:rPr>
            </w:pPr>
          </w:p>
        </w:tc>
        <w:tc>
          <w:tcPr>
            <w:tcW w:w="3024" w:type="dxa"/>
            <w:vAlign w:val="center"/>
          </w:tcPr>
          <w:p>
            <w:pPr>
              <w:spacing w:line="360" w:lineRule="auto"/>
              <w:jc w:val="center"/>
              <w:rPr>
                <w:rFonts w:asciiTheme="minorEastAsia" w:hAnsiTheme="minorEastAsia"/>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highlight w:val="none"/>
              </w:rPr>
            </w:pPr>
          </w:p>
        </w:tc>
        <w:tc>
          <w:tcPr>
            <w:tcW w:w="2932" w:type="dxa"/>
            <w:vAlign w:val="center"/>
          </w:tcPr>
          <w:p>
            <w:pPr>
              <w:spacing w:line="360" w:lineRule="auto"/>
              <w:jc w:val="center"/>
              <w:rPr>
                <w:rFonts w:asciiTheme="minorEastAsia" w:hAnsiTheme="minorEastAsia"/>
                <w:kern w:val="0"/>
                <w:sz w:val="24"/>
                <w:szCs w:val="24"/>
                <w:highlight w:val="none"/>
              </w:rPr>
            </w:pPr>
          </w:p>
        </w:tc>
        <w:tc>
          <w:tcPr>
            <w:tcW w:w="1762" w:type="dxa"/>
            <w:vAlign w:val="center"/>
          </w:tcPr>
          <w:p>
            <w:pPr>
              <w:spacing w:line="360" w:lineRule="auto"/>
              <w:jc w:val="center"/>
              <w:rPr>
                <w:rFonts w:asciiTheme="minorEastAsia" w:hAnsiTheme="minorEastAsia"/>
                <w:kern w:val="0"/>
                <w:sz w:val="24"/>
                <w:szCs w:val="24"/>
                <w:highlight w:val="none"/>
              </w:rPr>
            </w:pPr>
          </w:p>
        </w:tc>
        <w:tc>
          <w:tcPr>
            <w:tcW w:w="3024" w:type="dxa"/>
            <w:vAlign w:val="center"/>
          </w:tcPr>
          <w:p>
            <w:pPr>
              <w:spacing w:line="360" w:lineRule="auto"/>
              <w:jc w:val="center"/>
              <w:rPr>
                <w:rFonts w:asciiTheme="minorEastAsia" w:hAnsiTheme="minorEastAsia"/>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highlight w:val="none"/>
              </w:rPr>
            </w:pPr>
          </w:p>
        </w:tc>
        <w:tc>
          <w:tcPr>
            <w:tcW w:w="2932" w:type="dxa"/>
            <w:vAlign w:val="center"/>
          </w:tcPr>
          <w:p>
            <w:pPr>
              <w:spacing w:line="360" w:lineRule="auto"/>
              <w:jc w:val="center"/>
              <w:rPr>
                <w:rFonts w:asciiTheme="minorEastAsia" w:hAnsiTheme="minorEastAsia"/>
                <w:kern w:val="0"/>
                <w:sz w:val="24"/>
                <w:szCs w:val="24"/>
                <w:highlight w:val="none"/>
              </w:rPr>
            </w:pPr>
          </w:p>
        </w:tc>
        <w:tc>
          <w:tcPr>
            <w:tcW w:w="1762" w:type="dxa"/>
            <w:vAlign w:val="center"/>
          </w:tcPr>
          <w:p>
            <w:pPr>
              <w:spacing w:line="360" w:lineRule="auto"/>
              <w:jc w:val="center"/>
              <w:rPr>
                <w:rFonts w:asciiTheme="minorEastAsia" w:hAnsiTheme="minorEastAsia"/>
                <w:kern w:val="0"/>
                <w:sz w:val="24"/>
                <w:szCs w:val="24"/>
                <w:highlight w:val="none"/>
              </w:rPr>
            </w:pPr>
          </w:p>
        </w:tc>
        <w:tc>
          <w:tcPr>
            <w:tcW w:w="3024" w:type="dxa"/>
            <w:vAlign w:val="center"/>
          </w:tcPr>
          <w:p>
            <w:pPr>
              <w:spacing w:line="360" w:lineRule="auto"/>
              <w:jc w:val="center"/>
              <w:rPr>
                <w:rFonts w:asciiTheme="minorEastAsia" w:hAnsiTheme="minorEastAsia"/>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highlight w:val="none"/>
              </w:rPr>
            </w:pPr>
          </w:p>
        </w:tc>
        <w:tc>
          <w:tcPr>
            <w:tcW w:w="2932" w:type="dxa"/>
            <w:vAlign w:val="center"/>
          </w:tcPr>
          <w:p>
            <w:pPr>
              <w:spacing w:line="360" w:lineRule="auto"/>
              <w:jc w:val="center"/>
              <w:rPr>
                <w:rFonts w:asciiTheme="minorEastAsia" w:hAnsiTheme="minorEastAsia"/>
                <w:kern w:val="0"/>
                <w:sz w:val="24"/>
                <w:szCs w:val="24"/>
                <w:highlight w:val="none"/>
              </w:rPr>
            </w:pPr>
          </w:p>
        </w:tc>
        <w:tc>
          <w:tcPr>
            <w:tcW w:w="1762" w:type="dxa"/>
            <w:vAlign w:val="center"/>
          </w:tcPr>
          <w:p>
            <w:pPr>
              <w:spacing w:line="360" w:lineRule="auto"/>
              <w:jc w:val="center"/>
              <w:rPr>
                <w:rFonts w:asciiTheme="minorEastAsia" w:hAnsiTheme="minorEastAsia"/>
                <w:kern w:val="0"/>
                <w:sz w:val="24"/>
                <w:szCs w:val="24"/>
                <w:highlight w:val="none"/>
              </w:rPr>
            </w:pPr>
          </w:p>
        </w:tc>
        <w:tc>
          <w:tcPr>
            <w:tcW w:w="3024" w:type="dxa"/>
            <w:vAlign w:val="center"/>
          </w:tcPr>
          <w:p>
            <w:pPr>
              <w:spacing w:line="360" w:lineRule="auto"/>
              <w:jc w:val="center"/>
              <w:rPr>
                <w:rFonts w:asciiTheme="minorEastAsia" w:hAnsiTheme="minorEastAsia"/>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highlight w:val="none"/>
              </w:rPr>
            </w:pPr>
          </w:p>
        </w:tc>
        <w:tc>
          <w:tcPr>
            <w:tcW w:w="2932" w:type="dxa"/>
            <w:vAlign w:val="center"/>
          </w:tcPr>
          <w:p>
            <w:pPr>
              <w:spacing w:line="360" w:lineRule="auto"/>
              <w:jc w:val="center"/>
              <w:rPr>
                <w:rFonts w:asciiTheme="minorEastAsia" w:hAnsiTheme="minorEastAsia"/>
                <w:kern w:val="0"/>
                <w:sz w:val="24"/>
                <w:szCs w:val="24"/>
                <w:highlight w:val="none"/>
              </w:rPr>
            </w:pPr>
          </w:p>
        </w:tc>
        <w:tc>
          <w:tcPr>
            <w:tcW w:w="1762" w:type="dxa"/>
            <w:vAlign w:val="center"/>
          </w:tcPr>
          <w:p>
            <w:pPr>
              <w:spacing w:line="360" w:lineRule="auto"/>
              <w:jc w:val="center"/>
              <w:rPr>
                <w:rFonts w:asciiTheme="minorEastAsia" w:hAnsiTheme="minorEastAsia"/>
                <w:kern w:val="0"/>
                <w:sz w:val="24"/>
                <w:szCs w:val="24"/>
                <w:highlight w:val="none"/>
              </w:rPr>
            </w:pPr>
          </w:p>
        </w:tc>
        <w:tc>
          <w:tcPr>
            <w:tcW w:w="3024" w:type="dxa"/>
            <w:vAlign w:val="center"/>
          </w:tcPr>
          <w:p>
            <w:pPr>
              <w:spacing w:line="360" w:lineRule="auto"/>
              <w:jc w:val="center"/>
              <w:rPr>
                <w:rFonts w:asciiTheme="minorEastAsia" w:hAnsiTheme="minorEastAsia"/>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highlight w:val="none"/>
              </w:rPr>
            </w:pPr>
          </w:p>
        </w:tc>
        <w:tc>
          <w:tcPr>
            <w:tcW w:w="2932" w:type="dxa"/>
            <w:vAlign w:val="center"/>
          </w:tcPr>
          <w:p>
            <w:pPr>
              <w:spacing w:line="360" w:lineRule="auto"/>
              <w:jc w:val="center"/>
              <w:rPr>
                <w:rFonts w:asciiTheme="minorEastAsia" w:hAnsiTheme="minorEastAsia"/>
                <w:kern w:val="0"/>
                <w:sz w:val="24"/>
                <w:szCs w:val="24"/>
                <w:highlight w:val="none"/>
              </w:rPr>
            </w:pPr>
          </w:p>
        </w:tc>
        <w:tc>
          <w:tcPr>
            <w:tcW w:w="1762" w:type="dxa"/>
            <w:vAlign w:val="center"/>
          </w:tcPr>
          <w:p>
            <w:pPr>
              <w:spacing w:line="360" w:lineRule="auto"/>
              <w:jc w:val="center"/>
              <w:rPr>
                <w:rFonts w:asciiTheme="minorEastAsia" w:hAnsiTheme="minorEastAsia"/>
                <w:kern w:val="0"/>
                <w:sz w:val="24"/>
                <w:szCs w:val="24"/>
                <w:highlight w:val="none"/>
              </w:rPr>
            </w:pPr>
          </w:p>
        </w:tc>
        <w:tc>
          <w:tcPr>
            <w:tcW w:w="3024" w:type="dxa"/>
            <w:vAlign w:val="center"/>
          </w:tcPr>
          <w:p>
            <w:pPr>
              <w:spacing w:line="360" w:lineRule="auto"/>
              <w:jc w:val="center"/>
              <w:rPr>
                <w:rFonts w:asciiTheme="minorEastAsia" w:hAnsiTheme="minorEastAsia"/>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highlight w:val="none"/>
              </w:rPr>
            </w:pPr>
          </w:p>
        </w:tc>
        <w:tc>
          <w:tcPr>
            <w:tcW w:w="2932" w:type="dxa"/>
            <w:vAlign w:val="center"/>
          </w:tcPr>
          <w:p>
            <w:pPr>
              <w:spacing w:line="360" w:lineRule="auto"/>
              <w:jc w:val="center"/>
              <w:rPr>
                <w:rFonts w:asciiTheme="minorEastAsia" w:hAnsiTheme="minorEastAsia"/>
                <w:kern w:val="0"/>
                <w:sz w:val="24"/>
                <w:szCs w:val="24"/>
                <w:highlight w:val="none"/>
              </w:rPr>
            </w:pPr>
          </w:p>
        </w:tc>
        <w:tc>
          <w:tcPr>
            <w:tcW w:w="1762" w:type="dxa"/>
            <w:vAlign w:val="center"/>
          </w:tcPr>
          <w:p>
            <w:pPr>
              <w:spacing w:line="360" w:lineRule="auto"/>
              <w:jc w:val="center"/>
              <w:rPr>
                <w:rFonts w:asciiTheme="minorEastAsia" w:hAnsiTheme="minorEastAsia"/>
                <w:kern w:val="0"/>
                <w:sz w:val="24"/>
                <w:szCs w:val="24"/>
                <w:highlight w:val="none"/>
              </w:rPr>
            </w:pPr>
          </w:p>
        </w:tc>
        <w:tc>
          <w:tcPr>
            <w:tcW w:w="3024" w:type="dxa"/>
            <w:vAlign w:val="center"/>
          </w:tcPr>
          <w:p>
            <w:pPr>
              <w:spacing w:line="360" w:lineRule="auto"/>
              <w:jc w:val="center"/>
              <w:rPr>
                <w:rFonts w:asciiTheme="minorEastAsia" w:hAnsiTheme="minorEastAsia"/>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4" w:type="dxa"/>
            <w:vAlign w:val="center"/>
          </w:tcPr>
          <w:p>
            <w:pPr>
              <w:spacing w:line="360" w:lineRule="auto"/>
              <w:jc w:val="center"/>
              <w:rPr>
                <w:rFonts w:asciiTheme="minorEastAsia" w:hAnsiTheme="minorEastAsia"/>
                <w:kern w:val="0"/>
                <w:sz w:val="24"/>
                <w:szCs w:val="24"/>
                <w:highlight w:val="none"/>
              </w:rPr>
            </w:pPr>
          </w:p>
        </w:tc>
        <w:tc>
          <w:tcPr>
            <w:tcW w:w="2932" w:type="dxa"/>
            <w:vAlign w:val="center"/>
          </w:tcPr>
          <w:p>
            <w:pPr>
              <w:spacing w:line="360" w:lineRule="auto"/>
              <w:jc w:val="center"/>
              <w:rPr>
                <w:rFonts w:asciiTheme="minorEastAsia" w:hAnsiTheme="minorEastAsia"/>
                <w:kern w:val="0"/>
                <w:sz w:val="24"/>
                <w:szCs w:val="24"/>
                <w:highlight w:val="none"/>
              </w:rPr>
            </w:pPr>
          </w:p>
        </w:tc>
        <w:tc>
          <w:tcPr>
            <w:tcW w:w="1762" w:type="dxa"/>
            <w:vAlign w:val="center"/>
          </w:tcPr>
          <w:p>
            <w:pPr>
              <w:spacing w:line="360" w:lineRule="auto"/>
              <w:jc w:val="center"/>
              <w:rPr>
                <w:rFonts w:asciiTheme="minorEastAsia" w:hAnsiTheme="minorEastAsia"/>
                <w:kern w:val="0"/>
                <w:sz w:val="24"/>
                <w:szCs w:val="24"/>
                <w:highlight w:val="none"/>
              </w:rPr>
            </w:pPr>
          </w:p>
        </w:tc>
        <w:tc>
          <w:tcPr>
            <w:tcW w:w="3024" w:type="dxa"/>
            <w:vAlign w:val="center"/>
          </w:tcPr>
          <w:p>
            <w:pPr>
              <w:spacing w:line="360" w:lineRule="auto"/>
              <w:jc w:val="center"/>
              <w:rPr>
                <w:rFonts w:asciiTheme="minorEastAsia" w:hAnsiTheme="minorEastAsia"/>
                <w:kern w:val="0"/>
                <w:sz w:val="24"/>
                <w:szCs w:val="24"/>
                <w:highlight w:val="none"/>
              </w:rPr>
            </w:pPr>
          </w:p>
        </w:tc>
      </w:tr>
    </w:tbl>
    <w:p>
      <w:pPr>
        <w:autoSpaceDE w:val="0"/>
        <w:autoSpaceDN w:val="0"/>
        <w:adjustRightInd w:val="0"/>
        <w:spacing w:line="440" w:lineRule="exact"/>
        <w:rPr>
          <w:rFonts w:asciiTheme="minorEastAsia" w:hAnsiTheme="minorEastAsia"/>
          <w:highlight w:val="none"/>
        </w:rPr>
      </w:pPr>
      <w:r>
        <w:rPr>
          <w:rFonts w:hint="eastAsia" w:asciiTheme="minorEastAsia" w:hAnsiTheme="minorEastAsia"/>
          <w:highlight w:val="none"/>
        </w:rPr>
        <w:t>注：投标人可按上述的格式自行编制，须随表提交相应的合同扫描件或复印件。</w:t>
      </w:r>
    </w:p>
    <w:p>
      <w:pPr>
        <w:autoSpaceDE w:val="0"/>
        <w:autoSpaceDN w:val="0"/>
        <w:adjustRightInd w:val="0"/>
        <w:spacing w:line="440" w:lineRule="exact"/>
        <w:rPr>
          <w:rFonts w:asciiTheme="minorEastAsia" w:hAnsiTheme="minorEastAsia"/>
          <w:highlight w:val="none"/>
        </w:rPr>
      </w:pPr>
    </w:p>
    <w:p>
      <w:pPr>
        <w:autoSpaceDE w:val="0"/>
        <w:autoSpaceDN w:val="0"/>
        <w:adjustRightInd w:val="0"/>
        <w:spacing w:line="440" w:lineRule="exact"/>
        <w:rPr>
          <w:rFonts w:asciiTheme="minorEastAsia" w:hAnsiTheme="minorEastAsia"/>
          <w:bCs/>
          <w:kern w:val="0"/>
          <w:sz w:val="24"/>
          <w:highlight w:val="none"/>
        </w:rPr>
      </w:pPr>
      <w:r>
        <w:rPr>
          <w:rFonts w:hint="eastAsia" w:asciiTheme="minorEastAsia" w:hAnsiTheme="minorEastAsia"/>
          <w:bCs/>
          <w:kern w:val="0"/>
          <w:sz w:val="24"/>
          <w:highlight w:val="none"/>
        </w:rPr>
        <w:t>法定代表人或授权代表（</w:t>
      </w:r>
      <w:r>
        <w:rPr>
          <w:rFonts w:hint="eastAsia" w:asciiTheme="minorEastAsia" w:hAnsiTheme="minorEastAsia"/>
          <w:sz w:val="24"/>
          <w:highlight w:val="none"/>
        </w:rPr>
        <w:t>个人电子签章或签字</w:t>
      </w:r>
      <w:r>
        <w:rPr>
          <w:rFonts w:hint="eastAsia" w:asciiTheme="minorEastAsia" w:hAnsiTheme="minorEastAsia"/>
          <w:bCs/>
          <w:kern w:val="0"/>
          <w:sz w:val="24"/>
          <w:highlight w:val="none"/>
        </w:rPr>
        <w:t xml:space="preserve">）：                 </w:t>
      </w:r>
    </w:p>
    <w:p>
      <w:pPr>
        <w:autoSpaceDE w:val="0"/>
        <w:autoSpaceDN w:val="0"/>
        <w:adjustRightInd w:val="0"/>
        <w:spacing w:line="440" w:lineRule="exact"/>
        <w:rPr>
          <w:rFonts w:asciiTheme="minorEastAsia" w:hAnsiTheme="minorEastAsia"/>
          <w:bCs/>
          <w:kern w:val="0"/>
          <w:sz w:val="24"/>
          <w:highlight w:val="none"/>
        </w:rPr>
      </w:pPr>
      <w:r>
        <w:rPr>
          <w:rFonts w:hint="eastAsia" w:asciiTheme="minorEastAsia" w:hAnsiTheme="minorEastAsia"/>
          <w:bCs/>
          <w:kern w:val="0"/>
          <w:sz w:val="24"/>
          <w:highlight w:val="none"/>
        </w:rPr>
        <w:t>投标人名称（</w:t>
      </w:r>
      <w:r>
        <w:rPr>
          <w:rFonts w:hint="eastAsia" w:asciiTheme="minorEastAsia" w:hAnsiTheme="minorEastAsia"/>
          <w:sz w:val="24"/>
          <w:highlight w:val="none"/>
        </w:rPr>
        <w:t>企业电子签章或公章）</w:t>
      </w:r>
      <w:r>
        <w:rPr>
          <w:rFonts w:hint="eastAsia" w:asciiTheme="minorEastAsia" w:hAnsiTheme="minorEastAsia"/>
          <w:bCs/>
          <w:kern w:val="0"/>
          <w:sz w:val="24"/>
          <w:highlight w:val="none"/>
        </w:rPr>
        <w:t>：</w:t>
      </w:r>
    </w:p>
    <w:p>
      <w:pPr>
        <w:autoSpaceDE w:val="0"/>
        <w:autoSpaceDN w:val="0"/>
        <w:adjustRightInd w:val="0"/>
        <w:spacing w:line="440" w:lineRule="exact"/>
        <w:rPr>
          <w:rFonts w:asciiTheme="minorEastAsia" w:hAnsiTheme="minorEastAsia"/>
          <w:bCs/>
          <w:kern w:val="0"/>
          <w:sz w:val="24"/>
          <w:highlight w:val="none"/>
        </w:rPr>
      </w:pPr>
      <w:r>
        <w:rPr>
          <w:rFonts w:hint="eastAsia" w:asciiTheme="minorEastAsia" w:hAnsiTheme="minorEastAsia"/>
          <w:bCs/>
          <w:kern w:val="0"/>
          <w:sz w:val="24"/>
          <w:highlight w:val="none"/>
        </w:rPr>
        <w:t>日      期：</w:t>
      </w:r>
    </w:p>
    <w:p>
      <w:pPr>
        <w:widowControl/>
        <w:jc w:val="left"/>
        <w:rPr>
          <w:rFonts w:asciiTheme="minorEastAsia" w:hAnsiTheme="minorEastAsia"/>
          <w:highlight w:val="none"/>
        </w:rPr>
      </w:pPr>
    </w:p>
    <w:p>
      <w:pPr>
        <w:pStyle w:val="18"/>
        <w:rPr>
          <w:highlight w:val="none"/>
        </w:rPr>
      </w:pPr>
    </w:p>
    <w:p>
      <w:pPr>
        <w:rPr>
          <w:highlight w:val="none"/>
        </w:rPr>
      </w:pPr>
    </w:p>
    <w:p>
      <w:pPr>
        <w:pStyle w:val="18"/>
        <w:rPr>
          <w:highlight w:val="none"/>
        </w:rPr>
      </w:pPr>
    </w:p>
    <w:p>
      <w:pPr>
        <w:pStyle w:val="18"/>
        <w:rPr>
          <w:highlight w:val="none"/>
        </w:rPr>
      </w:pPr>
    </w:p>
    <w:p>
      <w:pPr>
        <w:pStyle w:val="18"/>
        <w:rPr>
          <w:highlight w:val="none"/>
        </w:rPr>
      </w:pPr>
    </w:p>
    <w:p>
      <w:pPr>
        <w:pStyle w:val="18"/>
        <w:rPr>
          <w:highlight w:val="none"/>
        </w:rPr>
      </w:pPr>
    </w:p>
    <w:p>
      <w:pPr>
        <w:pStyle w:val="18"/>
        <w:rPr>
          <w:highlight w:val="none"/>
        </w:rPr>
      </w:pPr>
    </w:p>
    <w:p>
      <w:pPr>
        <w:pStyle w:val="18"/>
        <w:rPr>
          <w:highlight w:val="none"/>
        </w:rPr>
      </w:pPr>
    </w:p>
    <w:p>
      <w:pPr>
        <w:pStyle w:val="18"/>
        <w:rPr>
          <w:highlight w:val="none"/>
        </w:rPr>
      </w:pPr>
    </w:p>
    <w:p>
      <w:pPr>
        <w:widowControl/>
        <w:jc w:val="left"/>
        <w:rPr>
          <w:b/>
          <w:bCs/>
          <w:sz w:val="28"/>
          <w:szCs w:val="32"/>
          <w:highlight w:val="none"/>
        </w:rPr>
      </w:pPr>
      <w:r>
        <w:rPr>
          <w:sz w:val="28"/>
          <w:highlight w:val="none"/>
        </w:rPr>
        <w:br w:type="page"/>
      </w:r>
    </w:p>
    <w:p>
      <w:pPr>
        <w:pStyle w:val="10"/>
        <w:spacing w:before="0" w:after="0"/>
        <w:jc w:val="center"/>
        <w:rPr>
          <w:rFonts w:hint="eastAsia"/>
          <w:sz w:val="24"/>
          <w:highlight w:val="none"/>
          <w:lang w:val="en-US" w:eastAsia="zh-CN"/>
        </w:rPr>
      </w:pPr>
      <w:bookmarkStart w:id="66" w:name="_Toc8254"/>
      <w:r>
        <w:rPr>
          <w:rFonts w:hint="eastAsia"/>
          <w:sz w:val="24"/>
          <w:highlight w:val="none"/>
          <w:lang w:val="en-US" w:eastAsia="zh-CN"/>
        </w:rPr>
        <w:t>八、投标人简介</w:t>
      </w:r>
      <w:bookmarkEnd w:id="66"/>
    </w:p>
    <w:p>
      <w:pPr>
        <w:autoSpaceDE w:val="0"/>
        <w:autoSpaceDN w:val="0"/>
        <w:adjustRightInd w:val="0"/>
        <w:spacing w:line="440" w:lineRule="exact"/>
        <w:rPr>
          <w:rFonts w:asciiTheme="minorEastAsia" w:hAnsiTheme="minorEastAsia"/>
          <w:bCs/>
          <w:spacing w:val="10"/>
          <w:kern w:val="0"/>
          <w:sz w:val="24"/>
          <w:highlight w:val="none"/>
        </w:rPr>
      </w:pPr>
      <w:r>
        <w:rPr>
          <w:rFonts w:hint="eastAsia" w:asciiTheme="minorEastAsia" w:hAnsiTheme="minorEastAsia"/>
          <w:bCs/>
          <w:spacing w:val="10"/>
          <w:kern w:val="0"/>
          <w:sz w:val="24"/>
          <w:highlight w:val="none"/>
        </w:rPr>
        <w:t>投标人包括不限于提供以下内容：</w:t>
      </w:r>
    </w:p>
    <w:p>
      <w:pPr>
        <w:autoSpaceDE w:val="0"/>
        <w:autoSpaceDN w:val="0"/>
        <w:adjustRightInd w:val="0"/>
        <w:spacing w:line="440" w:lineRule="exact"/>
        <w:ind w:firstLine="520" w:firstLineChars="200"/>
        <w:rPr>
          <w:rFonts w:asciiTheme="minorEastAsia" w:hAnsiTheme="minorEastAsia"/>
          <w:bCs/>
          <w:spacing w:val="10"/>
          <w:kern w:val="0"/>
          <w:sz w:val="24"/>
          <w:highlight w:val="none"/>
        </w:rPr>
      </w:pPr>
      <w:r>
        <w:rPr>
          <w:rFonts w:hint="eastAsia" w:asciiTheme="minorEastAsia" w:hAnsiTheme="minorEastAsia"/>
          <w:bCs/>
          <w:spacing w:val="10"/>
          <w:kern w:val="0"/>
          <w:sz w:val="24"/>
          <w:highlight w:val="none"/>
        </w:rPr>
        <w:t>1．投标人简介；</w:t>
      </w:r>
    </w:p>
    <w:p>
      <w:pPr>
        <w:autoSpaceDE w:val="0"/>
        <w:autoSpaceDN w:val="0"/>
        <w:adjustRightInd w:val="0"/>
        <w:spacing w:line="440" w:lineRule="exact"/>
        <w:ind w:firstLine="520" w:firstLineChars="200"/>
        <w:rPr>
          <w:rFonts w:asciiTheme="minorEastAsia" w:hAnsiTheme="minorEastAsia"/>
          <w:bCs/>
          <w:spacing w:val="10"/>
          <w:kern w:val="0"/>
          <w:sz w:val="24"/>
          <w:highlight w:val="none"/>
        </w:rPr>
      </w:pPr>
      <w:r>
        <w:rPr>
          <w:rFonts w:hint="eastAsia" w:asciiTheme="minorEastAsia" w:hAnsiTheme="minorEastAsia"/>
          <w:bCs/>
          <w:spacing w:val="10"/>
          <w:kern w:val="0"/>
          <w:sz w:val="24"/>
          <w:highlight w:val="none"/>
        </w:rPr>
        <w:t>2．其他投标人认为需要提供的。</w:t>
      </w:r>
    </w:p>
    <w:p>
      <w:pPr>
        <w:tabs>
          <w:tab w:val="left" w:pos="840"/>
        </w:tabs>
        <w:autoSpaceDE w:val="0"/>
        <w:autoSpaceDN w:val="0"/>
        <w:adjustRightInd w:val="0"/>
        <w:spacing w:line="440" w:lineRule="exact"/>
        <w:jc w:val="left"/>
        <w:rPr>
          <w:rFonts w:asciiTheme="minorEastAsia" w:hAnsiTheme="minorEastAsia"/>
          <w:spacing w:val="10"/>
          <w:kern w:val="0"/>
          <w:sz w:val="28"/>
          <w:highlight w:val="none"/>
        </w:rPr>
      </w:pPr>
    </w:p>
    <w:p>
      <w:pPr>
        <w:tabs>
          <w:tab w:val="left" w:pos="840"/>
        </w:tabs>
        <w:autoSpaceDE w:val="0"/>
        <w:autoSpaceDN w:val="0"/>
        <w:adjustRightInd w:val="0"/>
        <w:spacing w:line="440" w:lineRule="exact"/>
        <w:jc w:val="left"/>
        <w:rPr>
          <w:rFonts w:asciiTheme="minorEastAsia" w:hAnsiTheme="minorEastAsia"/>
          <w:spacing w:val="10"/>
          <w:kern w:val="0"/>
          <w:sz w:val="28"/>
          <w:highlight w:val="none"/>
        </w:rPr>
      </w:pPr>
    </w:p>
    <w:p>
      <w:pPr>
        <w:tabs>
          <w:tab w:val="left" w:pos="840"/>
        </w:tabs>
        <w:autoSpaceDE w:val="0"/>
        <w:autoSpaceDN w:val="0"/>
        <w:adjustRightInd w:val="0"/>
        <w:spacing w:line="440" w:lineRule="exact"/>
        <w:jc w:val="left"/>
        <w:rPr>
          <w:rFonts w:asciiTheme="minorEastAsia" w:hAnsiTheme="minorEastAsia"/>
          <w:spacing w:val="10"/>
          <w:kern w:val="0"/>
          <w:sz w:val="28"/>
          <w:highlight w:val="none"/>
        </w:rPr>
      </w:pPr>
    </w:p>
    <w:p>
      <w:pPr>
        <w:tabs>
          <w:tab w:val="left" w:pos="840"/>
        </w:tabs>
        <w:autoSpaceDE w:val="0"/>
        <w:autoSpaceDN w:val="0"/>
        <w:adjustRightInd w:val="0"/>
        <w:spacing w:line="440" w:lineRule="exact"/>
        <w:jc w:val="left"/>
        <w:rPr>
          <w:rFonts w:asciiTheme="minorEastAsia" w:hAnsiTheme="minorEastAsia"/>
          <w:spacing w:val="10"/>
          <w:kern w:val="0"/>
          <w:sz w:val="28"/>
          <w:highlight w:val="none"/>
        </w:rPr>
      </w:pPr>
    </w:p>
    <w:p>
      <w:pPr>
        <w:autoSpaceDE w:val="0"/>
        <w:autoSpaceDN w:val="0"/>
        <w:adjustRightInd w:val="0"/>
        <w:spacing w:line="440" w:lineRule="exact"/>
        <w:rPr>
          <w:rFonts w:asciiTheme="minorEastAsia" w:hAnsiTheme="minorEastAsia"/>
          <w:bCs/>
          <w:kern w:val="0"/>
          <w:sz w:val="24"/>
          <w:highlight w:val="none"/>
        </w:rPr>
      </w:pPr>
      <w:r>
        <w:rPr>
          <w:rFonts w:hint="eastAsia" w:asciiTheme="minorEastAsia" w:hAnsiTheme="minorEastAsia"/>
          <w:bCs/>
          <w:kern w:val="0"/>
          <w:sz w:val="24"/>
          <w:highlight w:val="none"/>
        </w:rPr>
        <w:t>法定代表人或授权代表（</w:t>
      </w:r>
      <w:r>
        <w:rPr>
          <w:rFonts w:hint="eastAsia" w:asciiTheme="minorEastAsia" w:hAnsiTheme="minorEastAsia"/>
          <w:sz w:val="24"/>
          <w:highlight w:val="none"/>
        </w:rPr>
        <w:t>个人电子签章或签字</w:t>
      </w:r>
      <w:r>
        <w:rPr>
          <w:rFonts w:hint="eastAsia" w:asciiTheme="minorEastAsia" w:hAnsiTheme="minorEastAsia"/>
          <w:bCs/>
          <w:kern w:val="0"/>
          <w:sz w:val="24"/>
          <w:highlight w:val="none"/>
        </w:rPr>
        <w:t xml:space="preserve">）：                 </w:t>
      </w:r>
    </w:p>
    <w:p>
      <w:pPr>
        <w:autoSpaceDE w:val="0"/>
        <w:autoSpaceDN w:val="0"/>
        <w:adjustRightInd w:val="0"/>
        <w:spacing w:line="440" w:lineRule="exact"/>
        <w:rPr>
          <w:rFonts w:asciiTheme="minorEastAsia" w:hAnsiTheme="minorEastAsia"/>
          <w:bCs/>
          <w:kern w:val="0"/>
          <w:sz w:val="24"/>
          <w:highlight w:val="none"/>
        </w:rPr>
      </w:pPr>
      <w:r>
        <w:rPr>
          <w:rFonts w:hint="eastAsia" w:asciiTheme="minorEastAsia" w:hAnsiTheme="minorEastAsia"/>
          <w:bCs/>
          <w:kern w:val="0"/>
          <w:sz w:val="24"/>
          <w:highlight w:val="none"/>
        </w:rPr>
        <w:t>投标人名称（</w:t>
      </w:r>
      <w:r>
        <w:rPr>
          <w:rFonts w:hint="eastAsia" w:asciiTheme="minorEastAsia" w:hAnsiTheme="minorEastAsia"/>
          <w:sz w:val="24"/>
          <w:highlight w:val="none"/>
        </w:rPr>
        <w:t>企业电子签章或公章）</w:t>
      </w:r>
      <w:r>
        <w:rPr>
          <w:rFonts w:hint="eastAsia" w:asciiTheme="minorEastAsia" w:hAnsiTheme="minorEastAsia"/>
          <w:bCs/>
          <w:kern w:val="0"/>
          <w:sz w:val="24"/>
          <w:highlight w:val="none"/>
        </w:rPr>
        <w:t>：</w:t>
      </w:r>
    </w:p>
    <w:p>
      <w:pPr>
        <w:autoSpaceDE w:val="0"/>
        <w:autoSpaceDN w:val="0"/>
        <w:adjustRightInd w:val="0"/>
        <w:spacing w:line="440" w:lineRule="exact"/>
        <w:rPr>
          <w:rFonts w:asciiTheme="minorEastAsia" w:hAnsiTheme="minorEastAsia"/>
          <w:bCs/>
          <w:kern w:val="0"/>
          <w:sz w:val="24"/>
          <w:highlight w:val="none"/>
        </w:rPr>
      </w:pPr>
      <w:r>
        <w:rPr>
          <w:rFonts w:hint="eastAsia" w:asciiTheme="minorEastAsia" w:hAnsiTheme="minorEastAsia"/>
          <w:bCs/>
          <w:kern w:val="0"/>
          <w:sz w:val="24"/>
          <w:highlight w:val="none"/>
        </w:rPr>
        <w:t>日      期：</w:t>
      </w:r>
    </w:p>
    <w:p>
      <w:pPr>
        <w:rPr>
          <w:rFonts w:asciiTheme="minorEastAsia" w:hAnsiTheme="minorEastAsia"/>
          <w:highlight w:val="none"/>
        </w:rPr>
      </w:pPr>
    </w:p>
    <w:p>
      <w:pPr>
        <w:widowControl/>
        <w:jc w:val="left"/>
        <w:rPr>
          <w:rFonts w:asciiTheme="minorEastAsia" w:hAnsiTheme="minorEastAsia"/>
          <w:highlight w:val="none"/>
        </w:rPr>
      </w:pPr>
      <w:r>
        <w:rPr>
          <w:rFonts w:asciiTheme="minorEastAsia" w:hAnsiTheme="minorEastAsia"/>
          <w:highlight w:val="none"/>
        </w:rPr>
        <w:br w:type="page"/>
      </w:r>
    </w:p>
    <w:p>
      <w:pPr>
        <w:pStyle w:val="10"/>
        <w:spacing w:before="0" w:after="0"/>
        <w:jc w:val="center"/>
        <w:rPr>
          <w:rFonts w:hint="eastAsia"/>
          <w:sz w:val="24"/>
          <w:highlight w:val="none"/>
          <w:lang w:val="en-US" w:eastAsia="zh-CN"/>
        </w:rPr>
      </w:pPr>
      <w:bookmarkStart w:id="67" w:name="_Toc9661"/>
      <w:r>
        <w:rPr>
          <w:rFonts w:hint="eastAsia"/>
          <w:sz w:val="24"/>
          <w:highlight w:val="none"/>
          <w:lang w:val="en-US" w:eastAsia="zh-CN"/>
        </w:rPr>
        <w:t>九、中小企业声明函</w:t>
      </w:r>
      <w:bookmarkEnd w:id="67"/>
    </w:p>
    <w:p>
      <w:pPr>
        <w:pStyle w:val="11"/>
        <w:spacing w:before="0" w:after="0"/>
        <w:jc w:val="center"/>
        <w:rPr>
          <w:sz w:val="24"/>
          <w:highlight w:val="none"/>
        </w:rPr>
      </w:pPr>
      <w:r>
        <w:rPr>
          <w:rFonts w:hint="eastAsia"/>
          <w:sz w:val="24"/>
          <w:highlight w:val="none"/>
        </w:rPr>
        <w:t>1.中小企业声明函</w:t>
      </w:r>
    </w:p>
    <w:p>
      <w:pPr>
        <w:widowControl/>
        <w:spacing w:after="240" w:line="360" w:lineRule="auto"/>
        <w:ind w:firstLine="480"/>
        <w:jc w:val="left"/>
        <w:textAlignment w:val="baseline"/>
        <w:rPr>
          <w:rFonts w:cs="宋体" w:asciiTheme="minorEastAsia" w:hAnsiTheme="minorEastAsia"/>
          <w:kern w:val="0"/>
          <w:sz w:val="24"/>
          <w:szCs w:val="24"/>
          <w:highlight w:val="none"/>
        </w:rPr>
      </w:pPr>
      <w:bookmarkStart w:id="68" w:name="_Hlk113357012"/>
      <w:r>
        <w:rPr>
          <w:rFonts w:hint="eastAsia" w:cs="宋体" w:asciiTheme="minorEastAsia" w:hAnsiTheme="minorEastAsia"/>
          <w:kern w:val="0"/>
          <w:sz w:val="24"/>
          <w:szCs w:val="24"/>
          <w:highlight w:val="none"/>
        </w:rPr>
        <w:t>本公司（联合体）郑重声明，根据《政府采购促进中小企业发展管理办法》（财库﹝2020﹞46 号）的规定，本公司（联合体）参加</w:t>
      </w:r>
      <w:r>
        <w:rPr>
          <w:rFonts w:hint="eastAsia" w:cs="宋体" w:asciiTheme="minorEastAsia" w:hAnsiTheme="minorEastAsia"/>
          <w:kern w:val="0"/>
          <w:sz w:val="24"/>
          <w:szCs w:val="24"/>
          <w:highlight w:val="none"/>
          <w:u w:val="single"/>
        </w:rPr>
        <w:t>（单位名称）</w:t>
      </w:r>
      <w:r>
        <w:rPr>
          <w:rFonts w:hint="eastAsia" w:cs="宋体" w:asciiTheme="minorEastAsia" w:hAnsiTheme="minorEastAsia"/>
          <w:kern w:val="0"/>
          <w:sz w:val="24"/>
          <w:szCs w:val="24"/>
          <w:highlight w:val="none"/>
        </w:rPr>
        <w:t>的</w:t>
      </w:r>
      <w:r>
        <w:rPr>
          <w:rFonts w:hint="eastAsia" w:cs="宋体" w:asciiTheme="minorEastAsia" w:hAnsiTheme="minorEastAsia"/>
          <w:kern w:val="0"/>
          <w:sz w:val="24"/>
          <w:szCs w:val="24"/>
          <w:highlight w:val="none"/>
          <w:u w:val="single"/>
        </w:rPr>
        <w:t>（项目名称）</w:t>
      </w:r>
      <w:r>
        <w:rPr>
          <w:rFonts w:hint="eastAsia" w:cs="宋体" w:asciiTheme="minorEastAsia" w:hAnsiTheme="minorEastAsia"/>
          <w:kern w:val="0"/>
          <w:sz w:val="24"/>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pPr>
        <w:widowControl/>
        <w:spacing w:after="240" w:line="360" w:lineRule="auto"/>
        <w:ind w:firstLine="480"/>
        <w:jc w:val="left"/>
        <w:textAlignment w:val="baseline"/>
        <w:rPr>
          <w:rFonts w:cs="宋体" w:asciiTheme="minorEastAsia" w:hAnsiTheme="minorEastAsia"/>
          <w:kern w:val="0"/>
          <w:sz w:val="24"/>
          <w:szCs w:val="24"/>
          <w:highlight w:val="none"/>
        </w:rPr>
      </w:pPr>
      <w:r>
        <w:rPr>
          <w:rFonts w:hint="eastAsia" w:cs="宋体" w:asciiTheme="minorEastAsia" w:hAnsiTheme="minorEastAsia"/>
          <w:kern w:val="0"/>
          <w:sz w:val="24"/>
          <w:szCs w:val="24"/>
          <w:highlight w:val="none"/>
        </w:rPr>
        <w:t xml:space="preserve">1. </w:t>
      </w:r>
      <w:r>
        <w:rPr>
          <w:rFonts w:hint="eastAsia" w:cs="宋体" w:asciiTheme="minorEastAsia" w:hAnsiTheme="minorEastAsia"/>
          <w:kern w:val="0"/>
          <w:sz w:val="24"/>
          <w:szCs w:val="24"/>
          <w:highlight w:val="none"/>
          <w:u w:val="single"/>
        </w:rPr>
        <w:t xml:space="preserve">（标的名称） </w:t>
      </w:r>
      <w:r>
        <w:rPr>
          <w:rFonts w:hint="eastAsia" w:cs="宋体" w:asciiTheme="minorEastAsia" w:hAnsiTheme="minorEastAsia"/>
          <w:kern w:val="0"/>
          <w:sz w:val="24"/>
          <w:szCs w:val="24"/>
          <w:highlight w:val="none"/>
        </w:rPr>
        <w:t>，属于</w:t>
      </w:r>
      <w:r>
        <w:rPr>
          <w:rFonts w:hint="eastAsia" w:cs="宋体" w:asciiTheme="minorEastAsia" w:hAnsiTheme="minorEastAsia"/>
          <w:kern w:val="0"/>
          <w:sz w:val="24"/>
          <w:szCs w:val="24"/>
          <w:highlight w:val="none"/>
          <w:u w:val="single"/>
        </w:rPr>
        <w:t>（采购文件中明确的所属行业）</w:t>
      </w:r>
      <w:r>
        <w:rPr>
          <w:rFonts w:hint="eastAsia" w:cs="宋体" w:asciiTheme="minorEastAsia" w:hAnsiTheme="minorEastAsia"/>
          <w:kern w:val="0"/>
          <w:sz w:val="24"/>
          <w:szCs w:val="24"/>
          <w:highlight w:val="none"/>
        </w:rPr>
        <w:t>；承建（承接）企业为</w:t>
      </w:r>
      <w:r>
        <w:rPr>
          <w:rFonts w:hint="eastAsia" w:cs="宋体" w:asciiTheme="minorEastAsia" w:hAnsiTheme="minorEastAsia"/>
          <w:kern w:val="0"/>
          <w:sz w:val="24"/>
          <w:szCs w:val="24"/>
          <w:highlight w:val="none"/>
          <w:u w:val="single"/>
        </w:rPr>
        <w:t>（企业名称）</w:t>
      </w:r>
      <w:r>
        <w:rPr>
          <w:rFonts w:hint="eastAsia" w:cs="宋体" w:asciiTheme="minorEastAsia" w:hAnsiTheme="minorEastAsia"/>
          <w:kern w:val="0"/>
          <w:sz w:val="24"/>
          <w:szCs w:val="24"/>
          <w:highlight w:val="none"/>
        </w:rPr>
        <w:t>，从业人员</w:t>
      </w:r>
      <w:r>
        <w:rPr>
          <w:rFonts w:hint="eastAsia" w:cs="宋体" w:asciiTheme="minorEastAsia" w:hAnsiTheme="minorEastAsia"/>
          <w:kern w:val="0"/>
          <w:sz w:val="24"/>
          <w:szCs w:val="24"/>
          <w:highlight w:val="none"/>
          <w:u w:val="single"/>
        </w:rPr>
        <w:t xml:space="preserve"> </w:t>
      </w:r>
      <w:r>
        <w:rPr>
          <w:rFonts w:cs="宋体" w:asciiTheme="minorEastAsia" w:hAnsiTheme="minorEastAsia"/>
          <w:kern w:val="0"/>
          <w:sz w:val="24"/>
          <w:szCs w:val="24"/>
          <w:highlight w:val="none"/>
          <w:u w:val="single"/>
        </w:rPr>
        <w:t xml:space="preserve"> </w:t>
      </w:r>
      <w:r>
        <w:rPr>
          <w:rFonts w:hint="eastAsia" w:cs="宋体" w:asciiTheme="minorEastAsia" w:hAnsiTheme="minorEastAsia"/>
          <w:kern w:val="0"/>
          <w:sz w:val="24"/>
          <w:szCs w:val="24"/>
          <w:highlight w:val="none"/>
          <w:u w:val="single"/>
        </w:rPr>
        <w:t xml:space="preserve">  </w:t>
      </w:r>
      <w:r>
        <w:rPr>
          <w:rFonts w:cs="宋体" w:asciiTheme="minorEastAsia" w:hAnsiTheme="minorEastAsia"/>
          <w:kern w:val="0"/>
          <w:sz w:val="24"/>
          <w:szCs w:val="24"/>
          <w:highlight w:val="none"/>
          <w:u w:val="single"/>
        </w:rPr>
        <w:t xml:space="preserve"> </w:t>
      </w:r>
      <w:r>
        <w:rPr>
          <w:rFonts w:hint="eastAsia" w:cs="宋体" w:asciiTheme="minorEastAsia" w:hAnsiTheme="minorEastAsia"/>
          <w:kern w:val="0"/>
          <w:sz w:val="24"/>
          <w:szCs w:val="24"/>
          <w:highlight w:val="none"/>
        </w:rPr>
        <w:t>人，营业收入为</w:t>
      </w:r>
      <w:r>
        <w:rPr>
          <w:rFonts w:hint="eastAsia" w:cs="宋体" w:asciiTheme="minorEastAsia" w:hAnsiTheme="minorEastAsia"/>
          <w:kern w:val="0"/>
          <w:sz w:val="24"/>
          <w:szCs w:val="24"/>
          <w:highlight w:val="none"/>
          <w:u w:val="single"/>
        </w:rPr>
        <w:t xml:space="preserve"> </w:t>
      </w:r>
      <w:r>
        <w:rPr>
          <w:rFonts w:cs="宋体" w:asciiTheme="minorEastAsia" w:hAnsiTheme="minorEastAsia"/>
          <w:kern w:val="0"/>
          <w:sz w:val="24"/>
          <w:szCs w:val="24"/>
          <w:highlight w:val="none"/>
          <w:u w:val="single"/>
        </w:rPr>
        <w:t xml:space="preserve">    </w:t>
      </w:r>
      <w:r>
        <w:rPr>
          <w:rFonts w:hint="eastAsia" w:cs="宋体" w:asciiTheme="minorEastAsia" w:hAnsiTheme="minorEastAsia"/>
          <w:kern w:val="0"/>
          <w:sz w:val="24"/>
          <w:szCs w:val="24"/>
          <w:highlight w:val="none"/>
        </w:rPr>
        <w:t>万元，资产总额为</w:t>
      </w:r>
      <w:r>
        <w:rPr>
          <w:rFonts w:hint="eastAsia" w:cs="宋体" w:asciiTheme="minorEastAsia" w:hAnsiTheme="minorEastAsia"/>
          <w:kern w:val="0"/>
          <w:sz w:val="24"/>
          <w:szCs w:val="24"/>
          <w:highlight w:val="none"/>
          <w:u w:val="single"/>
        </w:rPr>
        <w:t xml:space="preserve"> </w:t>
      </w:r>
      <w:r>
        <w:rPr>
          <w:rFonts w:cs="宋体" w:asciiTheme="minorEastAsia" w:hAnsiTheme="minorEastAsia"/>
          <w:kern w:val="0"/>
          <w:sz w:val="24"/>
          <w:szCs w:val="24"/>
          <w:highlight w:val="none"/>
          <w:u w:val="single"/>
        </w:rPr>
        <w:t xml:space="preserve">   </w:t>
      </w:r>
      <w:r>
        <w:rPr>
          <w:rFonts w:hint="eastAsia" w:cs="宋体" w:asciiTheme="minorEastAsia" w:hAnsiTheme="minorEastAsia"/>
          <w:kern w:val="0"/>
          <w:sz w:val="24"/>
          <w:szCs w:val="24"/>
          <w:highlight w:val="none"/>
          <w:u w:val="single"/>
        </w:rPr>
        <w:t xml:space="preserve"> </w:t>
      </w:r>
      <w:r>
        <w:rPr>
          <w:rFonts w:hint="eastAsia" w:cs="宋体" w:asciiTheme="minorEastAsia" w:hAnsiTheme="minorEastAsia"/>
          <w:kern w:val="0"/>
          <w:sz w:val="24"/>
          <w:szCs w:val="24"/>
          <w:highlight w:val="none"/>
        </w:rPr>
        <w:t>万元，属于（</w:t>
      </w:r>
      <w:r>
        <w:rPr>
          <w:rFonts w:hint="eastAsia" w:cs="宋体" w:asciiTheme="minorEastAsia" w:hAnsiTheme="minorEastAsia"/>
          <w:kern w:val="0"/>
          <w:sz w:val="24"/>
          <w:szCs w:val="24"/>
          <w:highlight w:val="none"/>
          <w:u w:val="single"/>
        </w:rPr>
        <w:t>中型企业、小型企业、微型企业</w:t>
      </w:r>
      <w:r>
        <w:rPr>
          <w:rFonts w:hint="eastAsia" w:cs="宋体" w:asciiTheme="minorEastAsia" w:hAnsiTheme="minorEastAsia"/>
          <w:kern w:val="0"/>
          <w:sz w:val="24"/>
          <w:szCs w:val="24"/>
          <w:highlight w:val="none"/>
        </w:rPr>
        <w:t>）；</w:t>
      </w:r>
    </w:p>
    <w:p>
      <w:pPr>
        <w:widowControl/>
        <w:spacing w:after="240" w:line="360" w:lineRule="auto"/>
        <w:ind w:firstLine="480"/>
        <w:jc w:val="left"/>
        <w:textAlignment w:val="baseline"/>
        <w:rPr>
          <w:rFonts w:cs="宋体" w:asciiTheme="minorEastAsia" w:hAnsiTheme="minorEastAsia"/>
          <w:kern w:val="0"/>
          <w:sz w:val="24"/>
          <w:szCs w:val="24"/>
          <w:highlight w:val="none"/>
        </w:rPr>
      </w:pPr>
      <w:r>
        <w:rPr>
          <w:rFonts w:hint="eastAsia" w:cs="宋体" w:asciiTheme="minorEastAsia" w:hAnsiTheme="minorEastAsia"/>
          <w:kern w:val="0"/>
          <w:sz w:val="24"/>
          <w:szCs w:val="24"/>
          <w:highlight w:val="none"/>
        </w:rPr>
        <w:t>2.</w:t>
      </w:r>
      <w:r>
        <w:rPr>
          <w:rFonts w:hint="eastAsia" w:cs="宋体" w:asciiTheme="minorEastAsia" w:hAnsiTheme="minorEastAsia"/>
          <w:kern w:val="0"/>
          <w:sz w:val="24"/>
          <w:szCs w:val="24"/>
          <w:highlight w:val="none"/>
          <w:u w:val="single"/>
        </w:rPr>
        <w:t xml:space="preserve"> （标的名称） </w:t>
      </w:r>
      <w:r>
        <w:rPr>
          <w:rFonts w:hint="eastAsia" w:cs="宋体" w:asciiTheme="minorEastAsia" w:hAnsiTheme="minorEastAsia"/>
          <w:kern w:val="0"/>
          <w:sz w:val="24"/>
          <w:szCs w:val="24"/>
          <w:highlight w:val="none"/>
        </w:rPr>
        <w:t>，属于</w:t>
      </w:r>
      <w:r>
        <w:rPr>
          <w:rFonts w:hint="eastAsia" w:cs="宋体" w:asciiTheme="minorEastAsia" w:hAnsiTheme="minorEastAsia"/>
          <w:kern w:val="0"/>
          <w:sz w:val="24"/>
          <w:szCs w:val="24"/>
          <w:highlight w:val="none"/>
          <w:u w:val="single"/>
        </w:rPr>
        <w:t>（采购文件中明确的所属行业）</w:t>
      </w:r>
      <w:r>
        <w:rPr>
          <w:rFonts w:hint="eastAsia" w:cs="宋体" w:asciiTheme="minorEastAsia" w:hAnsiTheme="minorEastAsia"/>
          <w:kern w:val="0"/>
          <w:sz w:val="24"/>
          <w:szCs w:val="24"/>
          <w:highlight w:val="none"/>
        </w:rPr>
        <w:t>；承建（承接）企业为</w:t>
      </w:r>
      <w:r>
        <w:rPr>
          <w:rFonts w:hint="eastAsia" w:cs="宋体" w:asciiTheme="minorEastAsia" w:hAnsiTheme="minorEastAsia"/>
          <w:kern w:val="0"/>
          <w:sz w:val="24"/>
          <w:szCs w:val="24"/>
          <w:highlight w:val="none"/>
          <w:u w:val="single"/>
        </w:rPr>
        <w:t>（企业名称）</w:t>
      </w:r>
      <w:r>
        <w:rPr>
          <w:rFonts w:hint="eastAsia" w:cs="宋体" w:asciiTheme="minorEastAsia" w:hAnsiTheme="minorEastAsia"/>
          <w:kern w:val="0"/>
          <w:sz w:val="24"/>
          <w:szCs w:val="24"/>
          <w:highlight w:val="none"/>
        </w:rPr>
        <w:t>，从业人员</w:t>
      </w:r>
      <w:r>
        <w:rPr>
          <w:rFonts w:hint="eastAsia" w:cs="宋体" w:asciiTheme="minorEastAsia" w:hAnsiTheme="minorEastAsia"/>
          <w:kern w:val="0"/>
          <w:sz w:val="24"/>
          <w:szCs w:val="24"/>
          <w:highlight w:val="none"/>
          <w:u w:val="single"/>
        </w:rPr>
        <w:t xml:space="preserve"> </w:t>
      </w:r>
      <w:r>
        <w:rPr>
          <w:rFonts w:cs="宋体" w:asciiTheme="minorEastAsia" w:hAnsiTheme="minorEastAsia"/>
          <w:kern w:val="0"/>
          <w:sz w:val="24"/>
          <w:szCs w:val="24"/>
          <w:highlight w:val="none"/>
          <w:u w:val="single"/>
        </w:rPr>
        <w:t xml:space="preserve"> </w:t>
      </w:r>
      <w:r>
        <w:rPr>
          <w:rFonts w:hint="eastAsia" w:cs="宋体" w:asciiTheme="minorEastAsia" w:hAnsiTheme="minorEastAsia"/>
          <w:kern w:val="0"/>
          <w:sz w:val="24"/>
          <w:szCs w:val="24"/>
          <w:highlight w:val="none"/>
          <w:u w:val="single"/>
        </w:rPr>
        <w:t xml:space="preserve">  </w:t>
      </w:r>
      <w:r>
        <w:rPr>
          <w:rFonts w:cs="宋体" w:asciiTheme="minorEastAsia" w:hAnsiTheme="minorEastAsia"/>
          <w:kern w:val="0"/>
          <w:sz w:val="24"/>
          <w:szCs w:val="24"/>
          <w:highlight w:val="none"/>
          <w:u w:val="single"/>
        </w:rPr>
        <w:t xml:space="preserve"> </w:t>
      </w:r>
      <w:r>
        <w:rPr>
          <w:rFonts w:hint="eastAsia" w:cs="宋体" w:asciiTheme="minorEastAsia" w:hAnsiTheme="minorEastAsia"/>
          <w:kern w:val="0"/>
          <w:sz w:val="24"/>
          <w:szCs w:val="24"/>
          <w:highlight w:val="none"/>
        </w:rPr>
        <w:t>人，营业收入为</w:t>
      </w:r>
      <w:r>
        <w:rPr>
          <w:rFonts w:hint="eastAsia" w:cs="宋体" w:asciiTheme="minorEastAsia" w:hAnsiTheme="minorEastAsia"/>
          <w:kern w:val="0"/>
          <w:sz w:val="24"/>
          <w:szCs w:val="24"/>
          <w:highlight w:val="none"/>
          <w:u w:val="single"/>
        </w:rPr>
        <w:t xml:space="preserve"> </w:t>
      </w:r>
      <w:r>
        <w:rPr>
          <w:rFonts w:cs="宋体" w:asciiTheme="minorEastAsia" w:hAnsiTheme="minorEastAsia"/>
          <w:kern w:val="0"/>
          <w:sz w:val="24"/>
          <w:szCs w:val="24"/>
          <w:highlight w:val="none"/>
          <w:u w:val="single"/>
        </w:rPr>
        <w:t xml:space="preserve">    </w:t>
      </w:r>
      <w:r>
        <w:rPr>
          <w:rFonts w:hint="eastAsia" w:cs="宋体" w:asciiTheme="minorEastAsia" w:hAnsiTheme="minorEastAsia"/>
          <w:kern w:val="0"/>
          <w:sz w:val="24"/>
          <w:szCs w:val="24"/>
          <w:highlight w:val="none"/>
        </w:rPr>
        <w:t>万元，资产总额为</w:t>
      </w:r>
      <w:r>
        <w:rPr>
          <w:rFonts w:hint="eastAsia" w:cs="宋体" w:asciiTheme="minorEastAsia" w:hAnsiTheme="minorEastAsia"/>
          <w:kern w:val="0"/>
          <w:sz w:val="24"/>
          <w:szCs w:val="24"/>
          <w:highlight w:val="none"/>
          <w:u w:val="single"/>
        </w:rPr>
        <w:t xml:space="preserve"> </w:t>
      </w:r>
      <w:r>
        <w:rPr>
          <w:rFonts w:cs="宋体" w:asciiTheme="minorEastAsia" w:hAnsiTheme="minorEastAsia"/>
          <w:kern w:val="0"/>
          <w:sz w:val="24"/>
          <w:szCs w:val="24"/>
          <w:highlight w:val="none"/>
          <w:u w:val="single"/>
        </w:rPr>
        <w:t xml:space="preserve">   </w:t>
      </w:r>
      <w:r>
        <w:rPr>
          <w:rFonts w:hint="eastAsia" w:cs="宋体" w:asciiTheme="minorEastAsia" w:hAnsiTheme="minorEastAsia"/>
          <w:kern w:val="0"/>
          <w:sz w:val="24"/>
          <w:szCs w:val="24"/>
          <w:highlight w:val="none"/>
          <w:u w:val="single"/>
        </w:rPr>
        <w:t xml:space="preserve"> </w:t>
      </w:r>
      <w:r>
        <w:rPr>
          <w:rFonts w:hint="eastAsia" w:cs="宋体" w:asciiTheme="minorEastAsia" w:hAnsiTheme="minorEastAsia"/>
          <w:kern w:val="0"/>
          <w:sz w:val="24"/>
          <w:szCs w:val="24"/>
          <w:highlight w:val="none"/>
        </w:rPr>
        <w:t>万元，属于（</w:t>
      </w:r>
      <w:r>
        <w:rPr>
          <w:rFonts w:hint="eastAsia" w:cs="宋体" w:asciiTheme="minorEastAsia" w:hAnsiTheme="minorEastAsia"/>
          <w:kern w:val="0"/>
          <w:sz w:val="24"/>
          <w:szCs w:val="24"/>
          <w:highlight w:val="none"/>
          <w:u w:val="single"/>
        </w:rPr>
        <w:t>中型企业、小型企业、微型企业</w:t>
      </w:r>
      <w:r>
        <w:rPr>
          <w:rFonts w:hint="eastAsia" w:cs="宋体" w:asciiTheme="minorEastAsia" w:hAnsiTheme="minorEastAsia"/>
          <w:kern w:val="0"/>
          <w:sz w:val="24"/>
          <w:szCs w:val="24"/>
          <w:highlight w:val="none"/>
        </w:rPr>
        <w:t>）；</w:t>
      </w:r>
    </w:p>
    <w:p>
      <w:pPr>
        <w:widowControl/>
        <w:spacing w:after="240" w:line="360" w:lineRule="auto"/>
        <w:ind w:firstLine="480"/>
        <w:jc w:val="left"/>
        <w:textAlignment w:val="baseline"/>
        <w:rPr>
          <w:rFonts w:cs="宋体" w:asciiTheme="minorEastAsia" w:hAnsiTheme="minorEastAsia"/>
          <w:kern w:val="0"/>
          <w:sz w:val="24"/>
          <w:szCs w:val="24"/>
          <w:highlight w:val="none"/>
        </w:rPr>
      </w:pPr>
      <w:r>
        <w:rPr>
          <w:rFonts w:hint="eastAsia" w:cs="宋体" w:asciiTheme="minorEastAsia" w:hAnsiTheme="minorEastAsia"/>
          <w:kern w:val="0"/>
          <w:sz w:val="24"/>
          <w:szCs w:val="24"/>
          <w:highlight w:val="none"/>
        </w:rPr>
        <w:t>……</w:t>
      </w:r>
    </w:p>
    <w:p>
      <w:pPr>
        <w:widowControl/>
        <w:spacing w:after="240" w:line="360" w:lineRule="auto"/>
        <w:ind w:firstLine="480"/>
        <w:jc w:val="left"/>
        <w:textAlignment w:val="baseline"/>
        <w:rPr>
          <w:rFonts w:cs="宋体" w:asciiTheme="minorEastAsia" w:hAnsiTheme="minorEastAsia"/>
          <w:kern w:val="0"/>
          <w:sz w:val="24"/>
          <w:szCs w:val="24"/>
          <w:highlight w:val="none"/>
        </w:rPr>
      </w:pPr>
      <w:r>
        <w:rPr>
          <w:rFonts w:hint="eastAsia" w:cs="宋体" w:asciiTheme="minorEastAsia" w:hAnsiTheme="minorEastAsia"/>
          <w:kern w:val="0"/>
          <w:sz w:val="24"/>
          <w:szCs w:val="24"/>
          <w:highlight w:val="none"/>
        </w:rPr>
        <w:t>以上企业，不属于大企业的分支机构，不存在控股股东为大企业的情形，也不存在与大企业的负责人为同一人的情形。</w:t>
      </w:r>
    </w:p>
    <w:p>
      <w:pPr>
        <w:widowControl/>
        <w:spacing w:after="240" w:line="360" w:lineRule="auto"/>
        <w:ind w:firstLine="480"/>
        <w:jc w:val="left"/>
        <w:textAlignment w:val="baseline"/>
        <w:rPr>
          <w:rFonts w:cs="宋体" w:asciiTheme="minorEastAsia" w:hAnsiTheme="minorEastAsia"/>
          <w:kern w:val="0"/>
          <w:sz w:val="24"/>
          <w:szCs w:val="24"/>
          <w:highlight w:val="none"/>
        </w:rPr>
      </w:pPr>
      <w:r>
        <w:rPr>
          <w:rFonts w:hint="eastAsia" w:cs="宋体" w:asciiTheme="minorEastAsia" w:hAnsiTheme="minorEastAsia"/>
          <w:kern w:val="0"/>
          <w:sz w:val="24"/>
          <w:szCs w:val="24"/>
          <w:highlight w:val="none"/>
        </w:rPr>
        <w:t>本企业对上述声明内容的真实性负责。如有虚假，将依法承担相应责任。</w:t>
      </w:r>
    </w:p>
    <w:p>
      <w:pPr>
        <w:widowControl/>
        <w:spacing w:after="240" w:line="360" w:lineRule="auto"/>
        <w:ind w:firstLine="5040" w:firstLineChars="2100"/>
        <w:jc w:val="left"/>
        <w:textAlignment w:val="baseline"/>
        <w:rPr>
          <w:rFonts w:cs="宋体" w:asciiTheme="minorEastAsia" w:hAnsiTheme="minorEastAsia"/>
          <w:kern w:val="0"/>
          <w:sz w:val="24"/>
          <w:highlight w:val="none"/>
        </w:rPr>
      </w:pPr>
      <w:r>
        <w:rPr>
          <w:rFonts w:hint="eastAsia" w:cs="宋体" w:asciiTheme="minorEastAsia" w:hAnsiTheme="minorEastAsia"/>
          <w:kern w:val="0"/>
          <w:sz w:val="24"/>
          <w:highlight w:val="none"/>
        </w:rPr>
        <w:t>企业名称（</w:t>
      </w:r>
      <w:r>
        <w:rPr>
          <w:rFonts w:hint="eastAsia" w:asciiTheme="minorEastAsia" w:hAnsiTheme="minorEastAsia"/>
          <w:sz w:val="24"/>
          <w:highlight w:val="none"/>
        </w:rPr>
        <w:t>盖章</w:t>
      </w:r>
      <w:r>
        <w:rPr>
          <w:rFonts w:hint="eastAsia" w:cs="宋体" w:asciiTheme="minorEastAsia" w:hAnsiTheme="minorEastAsia"/>
          <w:kern w:val="0"/>
          <w:sz w:val="24"/>
          <w:highlight w:val="none"/>
        </w:rPr>
        <w:t>）：</w:t>
      </w:r>
    </w:p>
    <w:p>
      <w:pPr>
        <w:widowControl/>
        <w:spacing w:after="240" w:line="360" w:lineRule="auto"/>
        <w:ind w:firstLine="5040" w:firstLineChars="2100"/>
        <w:jc w:val="left"/>
        <w:textAlignment w:val="baseline"/>
        <w:rPr>
          <w:rFonts w:cs="宋体" w:asciiTheme="minorEastAsia" w:hAnsiTheme="minorEastAsia"/>
          <w:kern w:val="0"/>
          <w:sz w:val="24"/>
          <w:highlight w:val="none"/>
        </w:rPr>
      </w:pPr>
      <w:r>
        <w:rPr>
          <w:rFonts w:hint="eastAsia" w:cs="宋体" w:asciiTheme="minorEastAsia" w:hAnsiTheme="minorEastAsia"/>
          <w:kern w:val="0"/>
          <w:sz w:val="24"/>
          <w:highlight w:val="none"/>
        </w:rPr>
        <w:t>日期：</w:t>
      </w:r>
    </w:p>
    <w:p>
      <w:pPr>
        <w:spacing w:line="360" w:lineRule="exact"/>
        <w:rPr>
          <w:rFonts w:cs="宋体" w:asciiTheme="minorEastAsia" w:hAnsiTheme="minorEastAsia"/>
          <w:b/>
          <w:bCs/>
          <w:sz w:val="24"/>
          <w:highlight w:val="none"/>
        </w:rPr>
      </w:pPr>
      <w:r>
        <w:rPr>
          <w:rFonts w:hint="eastAsia" w:cs="宋体" w:asciiTheme="minorEastAsia" w:hAnsiTheme="minorEastAsia"/>
          <w:b/>
          <w:bCs/>
          <w:sz w:val="24"/>
          <w:highlight w:val="none"/>
        </w:rPr>
        <w:t>说明：</w:t>
      </w:r>
    </w:p>
    <w:p>
      <w:pPr>
        <w:spacing w:line="360" w:lineRule="exact"/>
        <w:rPr>
          <w:rFonts w:cs="宋体" w:asciiTheme="minorEastAsia" w:hAnsiTheme="minorEastAsia"/>
          <w:b/>
          <w:bCs/>
          <w:szCs w:val="20"/>
          <w:highlight w:val="none"/>
        </w:rPr>
      </w:pPr>
      <w:r>
        <w:rPr>
          <w:rFonts w:hint="eastAsia" w:cs="宋体" w:asciiTheme="minorEastAsia" w:hAnsiTheme="minorEastAsia"/>
          <w:b/>
          <w:bCs/>
          <w:szCs w:val="20"/>
          <w:highlight w:val="none"/>
        </w:rPr>
        <w:t>（1）从业人员、营业收入、资产总额填报上一年度数据，无上一年度数据的新成立企业可不填报。</w:t>
      </w:r>
    </w:p>
    <w:p>
      <w:pPr>
        <w:pStyle w:val="18"/>
        <w:spacing w:line="360" w:lineRule="exact"/>
        <w:rPr>
          <w:rFonts w:asciiTheme="minorEastAsia" w:hAnsiTheme="minorEastAsia"/>
          <w:b/>
          <w:bCs/>
          <w:szCs w:val="20"/>
          <w:highlight w:val="none"/>
        </w:rPr>
      </w:pPr>
      <w:r>
        <w:rPr>
          <w:rFonts w:hint="eastAsia" w:asciiTheme="minorEastAsia" w:hAnsiTheme="minorEastAsia"/>
          <w:b/>
          <w:bCs/>
          <w:szCs w:val="20"/>
          <w:highlight w:val="none"/>
        </w:rPr>
        <w:t>（</w:t>
      </w:r>
      <w:r>
        <w:rPr>
          <w:rFonts w:asciiTheme="minorEastAsia" w:hAnsiTheme="minorEastAsia"/>
          <w:b/>
          <w:bCs/>
          <w:szCs w:val="20"/>
          <w:highlight w:val="none"/>
        </w:rPr>
        <w:t>2</w:t>
      </w:r>
      <w:r>
        <w:rPr>
          <w:rFonts w:hint="eastAsia" w:asciiTheme="minorEastAsia" w:hAnsiTheme="minorEastAsia"/>
          <w:b/>
          <w:bCs/>
          <w:szCs w:val="20"/>
          <w:highlight w:val="none"/>
        </w:rPr>
        <w:t>）</w:t>
      </w:r>
      <w:r>
        <w:rPr>
          <w:rFonts w:hint="eastAsia" w:asciiTheme="minorEastAsia" w:hAnsiTheme="minorEastAsia"/>
          <w:b/>
          <w:bCs/>
          <w:kern w:val="0"/>
          <w:szCs w:val="20"/>
          <w:highlight w:val="none"/>
        </w:rPr>
        <w:t>监狱企业视同小型、微型企业，应当提供省级及以上监狱管理局、戒毒管理局（含新疆生产建设兵团）出具的属于监狱企业的证明文件</w:t>
      </w:r>
      <w:r>
        <w:rPr>
          <w:rFonts w:hint="eastAsia" w:asciiTheme="minorEastAsia" w:hAnsiTheme="minorEastAsia"/>
          <w:b/>
          <w:bCs/>
          <w:szCs w:val="20"/>
          <w:highlight w:val="none"/>
        </w:rPr>
        <w:t>。</w:t>
      </w:r>
    </w:p>
    <w:p>
      <w:pPr>
        <w:pStyle w:val="18"/>
        <w:spacing w:line="360" w:lineRule="exact"/>
        <w:rPr>
          <w:rFonts w:asciiTheme="minorEastAsia" w:hAnsiTheme="minorEastAsia"/>
          <w:b/>
          <w:bCs/>
          <w:szCs w:val="20"/>
          <w:highlight w:val="none"/>
        </w:rPr>
      </w:pPr>
      <w:r>
        <w:rPr>
          <w:rFonts w:hint="eastAsia" w:asciiTheme="minorEastAsia" w:hAnsiTheme="minorEastAsia"/>
          <w:b/>
          <w:bCs/>
          <w:kern w:val="0"/>
          <w:szCs w:val="20"/>
          <w:highlight w:val="none"/>
        </w:rPr>
        <w:t>（</w:t>
      </w:r>
      <w:r>
        <w:rPr>
          <w:rFonts w:asciiTheme="minorEastAsia" w:hAnsiTheme="minorEastAsia"/>
          <w:b/>
          <w:bCs/>
          <w:kern w:val="0"/>
          <w:szCs w:val="20"/>
          <w:highlight w:val="none"/>
        </w:rPr>
        <w:t>3</w:t>
      </w:r>
      <w:r>
        <w:rPr>
          <w:rFonts w:hint="eastAsia" w:asciiTheme="minorEastAsia" w:hAnsiTheme="minorEastAsia"/>
          <w:b/>
          <w:bCs/>
          <w:kern w:val="0"/>
          <w:szCs w:val="20"/>
          <w:highlight w:val="none"/>
        </w:rPr>
        <w:t>）本采购标的所属行业为</w:t>
      </w:r>
      <w:r>
        <w:rPr>
          <w:rFonts w:hint="eastAsia" w:asciiTheme="minorEastAsia" w:hAnsiTheme="minorEastAsia"/>
          <w:b/>
          <w:bCs/>
          <w:kern w:val="0"/>
          <w:szCs w:val="20"/>
          <w:highlight w:val="none"/>
          <w:u w:val="single"/>
          <w:lang w:val="en-US" w:eastAsia="zh-CN"/>
        </w:rPr>
        <w:t>其他未列明行</w:t>
      </w:r>
      <w:r>
        <w:rPr>
          <w:rFonts w:hint="eastAsia" w:asciiTheme="minorEastAsia" w:hAnsiTheme="minorEastAsia"/>
          <w:b/>
          <w:bCs/>
          <w:kern w:val="0"/>
          <w:szCs w:val="20"/>
          <w:highlight w:val="none"/>
          <w:u w:val="single"/>
        </w:rPr>
        <w:t>业</w:t>
      </w:r>
      <w:r>
        <w:rPr>
          <w:rFonts w:hint="eastAsia" w:asciiTheme="minorEastAsia" w:hAnsiTheme="minorEastAsia"/>
          <w:b/>
          <w:bCs/>
          <w:kern w:val="0"/>
          <w:szCs w:val="20"/>
          <w:highlight w:val="none"/>
        </w:rPr>
        <w:t>。</w:t>
      </w:r>
    </w:p>
    <w:bookmarkEnd w:id="68"/>
    <w:p>
      <w:pPr>
        <w:widowControl/>
        <w:jc w:val="left"/>
        <w:rPr>
          <w:rFonts w:asciiTheme="majorHAnsi" w:hAnsiTheme="majorHAnsi" w:eastAsiaTheme="majorEastAsia" w:cstheme="majorBidi"/>
          <w:b/>
          <w:bCs/>
          <w:sz w:val="24"/>
          <w:szCs w:val="28"/>
          <w:highlight w:val="none"/>
        </w:rPr>
      </w:pPr>
      <w:r>
        <w:rPr>
          <w:sz w:val="24"/>
          <w:highlight w:val="none"/>
        </w:rPr>
        <w:br w:type="page"/>
      </w:r>
    </w:p>
    <w:p>
      <w:pPr>
        <w:pStyle w:val="11"/>
        <w:spacing w:before="0" w:after="0"/>
        <w:jc w:val="center"/>
        <w:rPr>
          <w:sz w:val="24"/>
          <w:highlight w:val="none"/>
        </w:rPr>
      </w:pPr>
      <w:r>
        <w:rPr>
          <w:rFonts w:hint="eastAsia"/>
          <w:sz w:val="24"/>
          <w:highlight w:val="none"/>
        </w:rPr>
        <w:t>2.残疾人福利性单位声明函</w:t>
      </w:r>
    </w:p>
    <w:p>
      <w:pPr>
        <w:spacing w:line="480" w:lineRule="auto"/>
        <w:ind w:firstLine="720" w:firstLineChars="300"/>
        <w:rPr>
          <w:rFonts w:cs="宋体" w:asciiTheme="minorEastAsia" w:hAnsiTheme="minorEastAsia"/>
          <w:sz w:val="24"/>
          <w:szCs w:val="21"/>
          <w:highlight w:val="none"/>
        </w:rPr>
      </w:pPr>
      <w:r>
        <w:rPr>
          <w:rFonts w:hint="eastAsia" w:cs="宋体" w:asciiTheme="minorEastAsia" w:hAnsiTheme="minorEastAsia"/>
          <w:sz w:val="24"/>
          <w:highlight w:val="none"/>
        </w:rPr>
        <w:t>本单位郑重声明，根据《财政部 民政部 中国残疾人联合会关于促进残疾人就业政府采购政策的通知》（财库〔2017〕14</w:t>
      </w:r>
      <w:r>
        <w:rPr>
          <w:rFonts w:cs="宋体" w:asciiTheme="minorEastAsia" w:hAnsiTheme="minorEastAsia"/>
          <w:sz w:val="24"/>
          <w:highlight w:val="none"/>
        </w:rPr>
        <w:t>1</w:t>
      </w:r>
      <w:r>
        <w:rPr>
          <w:rFonts w:hint="eastAsia" w:cs="宋体" w:asciiTheme="minorEastAsia" w:hAnsiTheme="minorEastAsia"/>
          <w:sz w:val="24"/>
          <w:highlight w:val="none"/>
        </w:rPr>
        <w:t>号）的规定，本单位为符合条件的残疾人福利性单位，且本单位参加</w:t>
      </w:r>
      <w:r>
        <w:rPr>
          <w:rFonts w:hint="eastAsia" w:cs="宋体" w:asciiTheme="minorEastAsia" w:hAnsiTheme="minorEastAsia"/>
          <w:sz w:val="24"/>
          <w:highlight w:val="none"/>
          <w:u w:val="single"/>
        </w:rPr>
        <w:t xml:space="preserve">     </w:t>
      </w:r>
      <w:r>
        <w:rPr>
          <w:rFonts w:hint="eastAsia" w:cs="宋体" w:asciiTheme="minorEastAsia" w:hAnsiTheme="minorEastAsia"/>
          <w:sz w:val="24"/>
          <w:highlight w:val="none"/>
        </w:rPr>
        <w:t xml:space="preserve">单位的 </w:t>
      </w:r>
      <w:r>
        <w:rPr>
          <w:rFonts w:hint="eastAsia" w:cs="宋体" w:asciiTheme="minorEastAsia" w:hAnsiTheme="minorEastAsia"/>
          <w:sz w:val="24"/>
          <w:highlight w:val="none"/>
          <w:u w:val="single"/>
        </w:rPr>
        <w:t xml:space="preserve">              </w:t>
      </w:r>
      <w:r>
        <w:rPr>
          <w:rFonts w:hint="eastAsia" w:cs="宋体" w:asciiTheme="minorEastAsia" w:hAnsiTheme="minorEastAsia"/>
          <w:sz w:val="24"/>
          <w:highlight w:val="none"/>
        </w:rPr>
        <w:t>项目采购活动提供本单位制造的货物（由本单位承担工程/提供服务），或者提供其他残疾人福利性单位制造的货物（不包括使用非残疾人福利性单位注册商标的货物）。</w:t>
      </w:r>
    </w:p>
    <w:p>
      <w:pPr>
        <w:spacing w:line="480" w:lineRule="auto"/>
        <w:ind w:firstLine="480" w:firstLineChars="200"/>
        <w:rPr>
          <w:rFonts w:cs="宋体" w:asciiTheme="minorEastAsia" w:hAnsiTheme="minorEastAsia"/>
          <w:sz w:val="24"/>
          <w:highlight w:val="none"/>
        </w:rPr>
      </w:pPr>
      <w:r>
        <w:rPr>
          <w:rFonts w:hint="eastAsia" w:cs="宋体" w:asciiTheme="minorEastAsia" w:hAnsiTheme="minorEastAsia"/>
          <w:sz w:val="24"/>
          <w:highlight w:val="none"/>
        </w:rPr>
        <w:t>本单位对上述声明的真实性负责。如有虚假，将依法承担相应责任。</w:t>
      </w:r>
    </w:p>
    <w:p>
      <w:pPr>
        <w:spacing w:line="480" w:lineRule="auto"/>
        <w:jc w:val="right"/>
        <w:rPr>
          <w:rFonts w:cs="宋体" w:asciiTheme="minorEastAsia" w:hAnsiTheme="minorEastAsia"/>
          <w:sz w:val="24"/>
          <w:highlight w:val="none"/>
        </w:rPr>
      </w:pPr>
    </w:p>
    <w:p>
      <w:pPr>
        <w:spacing w:line="480" w:lineRule="auto"/>
        <w:ind w:right="210"/>
        <w:jc w:val="right"/>
        <w:rPr>
          <w:rFonts w:cs="宋体" w:asciiTheme="minorEastAsia" w:hAnsiTheme="minorEastAsia"/>
          <w:sz w:val="24"/>
          <w:highlight w:val="none"/>
        </w:rPr>
      </w:pPr>
      <w:r>
        <w:rPr>
          <w:rFonts w:hint="eastAsia" w:cs="宋体" w:asciiTheme="minorEastAsia" w:hAnsiTheme="minorEastAsia"/>
          <w:sz w:val="24"/>
          <w:highlight w:val="none"/>
        </w:rPr>
        <w:t>单位名称（</w:t>
      </w:r>
      <w:r>
        <w:rPr>
          <w:rFonts w:hint="eastAsia" w:asciiTheme="minorEastAsia" w:hAnsiTheme="minorEastAsia"/>
          <w:sz w:val="24"/>
          <w:highlight w:val="none"/>
        </w:rPr>
        <w:t>企业电子签章或公章</w:t>
      </w:r>
      <w:r>
        <w:rPr>
          <w:rFonts w:hint="eastAsia" w:cs="宋体" w:asciiTheme="minorEastAsia" w:hAnsiTheme="minorEastAsia"/>
          <w:sz w:val="24"/>
          <w:highlight w:val="none"/>
        </w:rPr>
        <w:t xml:space="preserve">）：        </w:t>
      </w:r>
    </w:p>
    <w:p>
      <w:pPr>
        <w:spacing w:line="480" w:lineRule="auto"/>
        <w:ind w:firstLine="6240" w:firstLineChars="2600"/>
        <w:rPr>
          <w:rFonts w:cs="宋体" w:asciiTheme="minorEastAsia" w:hAnsiTheme="minorEastAsia"/>
          <w:sz w:val="24"/>
          <w:highlight w:val="none"/>
        </w:rPr>
      </w:pPr>
      <w:r>
        <w:rPr>
          <w:rFonts w:hint="eastAsia" w:cs="宋体" w:asciiTheme="minorEastAsia" w:hAnsiTheme="minorEastAsia"/>
          <w:sz w:val="24"/>
          <w:highlight w:val="none"/>
        </w:rPr>
        <w:t>日  期：</w:t>
      </w:r>
    </w:p>
    <w:p>
      <w:pPr>
        <w:spacing w:line="480" w:lineRule="auto"/>
        <w:rPr>
          <w:rFonts w:cs="宋体" w:asciiTheme="minorEastAsia" w:hAnsiTheme="minorEastAsia"/>
          <w:sz w:val="24"/>
          <w:highlight w:val="none"/>
        </w:rPr>
      </w:pPr>
      <w:bookmarkStart w:id="69" w:name="_Hlk113357043"/>
      <w:r>
        <w:rPr>
          <w:rFonts w:hint="eastAsia" w:cs="宋体" w:asciiTheme="minorEastAsia" w:hAnsiTheme="minorEastAsia"/>
          <w:sz w:val="24"/>
          <w:highlight w:val="none"/>
        </w:rPr>
        <w:t>说明：</w:t>
      </w:r>
    </w:p>
    <w:p>
      <w:pPr>
        <w:spacing w:line="276" w:lineRule="auto"/>
        <w:ind w:firstLine="420" w:firstLineChars="200"/>
        <w:rPr>
          <w:rFonts w:ascii="宋体" w:hAnsi="宋体"/>
          <w:szCs w:val="21"/>
          <w:highlight w:val="none"/>
        </w:rPr>
      </w:pPr>
      <w:r>
        <w:rPr>
          <w:rFonts w:hint="eastAsia" w:ascii="宋体" w:hAnsi="宋体"/>
          <w:szCs w:val="21"/>
          <w:highlight w:val="none"/>
        </w:rPr>
        <w:t>一、享受政府采购支持政策的残疾人福利性单位应当同时满足以下条件：</w:t>
      </w:r>
    </w:p>
    <w:p>
      <w:pPr>
        <w:spacing w:line="276" w:lineRule="auto"/>
        <w:ind w:firstLine="420" w:firstLineChars="200"/>
        <w:rPr>
          <w:rFonts w:ascii="宋体" w:hAnsi="宋体"/>
          <w:szCs w:val="21"/>
          <w:highlight w:val="none"/>
        </w:rPr>
      </w:pPr>
      <w:r>
        <w:rPr>
          <w:rFonts w:hint="eastAsia" w:ascii="宋体" w:hAnsi="宋体"/>
          <w:szCs w:val="21"/>
          <w:highlight w:val="none"/>
        </w:rPr>
        <w:t>（一）安置的残疾人占本单位在职职工人数的比例不低于25%（含25%），并且安置的残疾人人数不少于10人（含10人）；</w:t>
      </w:r>
    </w:p>
    <w:p>
      <w:pPr>
        <w:spacing w:line="276" w:lineRule="auto"/>
        <w:ind w:firstLine="420" w:firstLineChars="200"/>
        <w:rPr>
          <w:rFonts w:ascii="宋体" w:hAnsi="宋体"/>
          <w:szCs w:val="21"/>
          <w:highlight w:val="none"/>
        </w:rPr>
      </w:pPr>
      <w:r>
        <w:rPr>
          <w:rFonts w:hint="eastAsia" w:ascii="宋体" w:hAnsi="宋体"/>
          <w:szCs w:val="21"/>
          <w:highlight w:val="none"/>
        </w:rPr>
        <w:t>（二）依法与安置的每位残疾人签订了一年以上（含一年）的劳动合同或服务协议；</w:t>
      </w:r>
    </w:p>
    <w:p>
      <w:pPr>
        <w:spacing w:line="276" w:lineRule="auto"/>
        <w:ind w:firstLine="420" w:firstLineChars="200"/>
        <w:rPr>
          <w:rFonts w:ascii="宋体" w:hAnsi="宋体"/>
          <w:szCs w:val="21"/>
          <w:highlight w:val="none"/>
        </w:rPr>
      </w:pPr>
      <w:r>
        <w:rPr>
          <w:rFonts w:hint="eastAsia" w:ascii="宋体" w:hAnsi="宋体"/>
          <w:szCs w:val="21"/>
          <w:highlight w:val="none"/>
        </w:rPr>
        <w:t>（三）为安置的每位残疾人按月足额缴纳了基本养老保险、基本医疗保险、失业保险、工伤保险和生育保险等社会保险费；</w:t>
      </w:r>
    </w:p>
    <w:p>
      <w:pPr>
        <w:spacing w:line="276" w:lineRule="auto"/>
        <w:ind w:firstLine="420" w:firstLineChars="200"/>
        <w:rPr>
          <w:rFonts w:ascii="宋体" w:hAnsi="宋体"/>
          <w:szCs w:val="21"/>
          <w:highlight w:val="none"/>
        </w:rPr>
      </w:pPr>
      <w:r>
        <w:rPr>
          <w:rFonts w:hint="eastAsia" w:ascii="宋体" w:hAnsi="宋体"/>
          <w:szCs w:val="21"/>
          <w:highlight w:val="none"/>
        </w:rPr>
        <w:t>（四）通过银行等金融机构向安置的每位残疾人，按月支付了不低于单位所在区县适用的经省级人民政府批准的月最低工资标准的工资；</w:t>
      </w:r>
    </w:p>
    <w:p>
      <w:pPr>
        <w:spacing w:line="276" w:lineRule="auto"/>
        <w:ind w:firstLine="420" w:firstLineChars="200"/>
        <w:rPr>
          <w:rFonts w:ascii="宋体" w:hAnsi="宋体"/>
          <w:szCs w:val="21"/>
          <w:highlight w:val="none"/>
        </w:rPr>
      </w:pPr>
      <w:r>
        <w:rPr>
          <w:rFonts w:hint="eastAsia" w:ascii="宋体" w:hAnsi="宋体"/>
          <w:szCs w:val="21"/>
          <w:highlight w:val="none"/>
        </w:rPr>
        <w:t>（五）提供本单位制造的货物、承担的工程或者服务（以下简称产品），或者提供其他残疾人福利性单位制造的货物（不包括使用非残疾人福利性单位注册商标的货物）。</w:t>
      </w:r>
    </w:p>
    <w:p>
      <w:pPr>
        <w:spacing w:line="276" w:lineRule="auto"/>
        <w:ind w:firstLine="420" w:firstLineChars="200"/>
        <w:rPr>
          <w:rFonts w:ascii="宋体" w:hAnsi="宋体"/>
          <w:szCs w:val="21"/>
          <w:highlight w:val="none"/>
        </w:rPr>
      </w:pPr>
      <w:r>
        <w:rPr>
          <w:rFonts w:hint="eastAsia" w:ascii="宋体" w:hAnsi="宋体"/>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line="276" w:lineRule="auto"/>
        <w:ind w:firstLine="422" w:firstLineChars="200"/>
        <w:rPr>
          <w:b/>
          <w:highlight w:val="none"/>
        </w:rPr>
      </w:pPr>
      <w:r>
        <w:rPr>
          <w:rFonts w:hint="eastAsia"/>
          <w:b/>
          <w:highlight w:val="none"/>
        </w:rPr>
        <w:t>注意</w:t>
      </w:r>
      <w:r>
        <w:rPr>
          <w:b/>
          <w:highlight w:val="none"/>
        </w:rPr>
        <w:t>：如果投标人不是残疾人福利性单位，则不需要提供《残疾人福利性单位声明函》。否则，因此导致虚假投标的后果由投标人自行承担。</w:t>
      </w:r>
    </w:p>
    <w:bookmarkEnd w:id="69"/>
    <w:p>
      <w:pPr>
        <w:widowControl/>
        <w:jc w:val="left"/>
        <w:rPr>
          <w:rFonts w:asciiTheme="minorEastAsia" w:hAnsiTheme="minorEastAsia"/>
          <w:highlight w:val="none"/>
        </w:rPr>
      </w:pPr>
    </w:p>
    <w:p>
      <w:pPr>
        <w:pStyle w:val="18"/>
        <w:ind w:firstLine="482"/>
        <w:jc w:val="center"/>
        <w:rPr>
          <w:rFonts w:ascii="宋体" w:hAnsi="宋体"/>
          <w:highlight w:val="none"/>
        </w:rPr>
      </w:pPr>
      <w:r>
        <w:rPr>
          <w:rFonts w:hint="eastAsia"/>
          <w:sz w:val="28"/>
          <w:highlight w:val="none"/>
        </w:rPr>
        <w:br w:type="page"/>
      </w:r>
    </w:p>
    <w:p>
      <w:pPr>
        <w:pStyle w:val="10"/>
        <w:spacing w:before="0" w:after="0"/>
        <w:jc w:val="center"/>
        <w:rPr>
          <w:rFonts w:hint="eastAsia"/>
          <w:sz w:val="24"/>
          <w:highlight w:val="none"/>
          <w:lang w:val="en-US" w:eastAsia="zh-CN"/>
        </w:rPr>
      </w:pPr>
      <w:bookmarkStart w:id="70" w:name="_Toc27869"/>
      <w:r>
        <w:rPr>
          <w:rFonts w:hint="eastAsia"/>
          <w:sz w:val="24"/>
          <w:highlight w:val="none"/>
          <w:lang w:val="en-US" w:eastAsia="zh-CN"/>
        </w:rPr>
        <w:t>十、投标人认为需要提供的其他资料</w:t>
      </w:r>
      <w:bookmarkEnd w:id="70"/>
    </w:p>
    <w:p>
      <w:pPr>
        <w:widowControl/>
        <w:jc w:val="left"/>
        <w:rPr>
          <w:rFonts w:asciiTheme="minorEastAsia" w:hAnsiTheme="minorEastAsia"/>
          <w:highlight w:val="none"/>
        </w:rPr>
      </w:pPr>
      <w:r>
        <w:rPr>
          <w:rFonts w:asciiTheme="minorEastAsia" w:hAnsiTheme="minorEastAsia"/>
          <w:highlight w:val="none"/>
        </w:rPr>
        <w:br w:type="page"/>
      </w:r>
    </w:p>
    <w:p>
      <w:pPr>
        <w:pStyle w:val="8"/>
        <w:numPr>
          <w:ilvl w:val="0"/>
          <w:numId w:val="1"/>
        </w:numPr>
        <w:spacing w:before="0" w:after="0"/>
        <w:jc w:val="center"/>
        <w:rPr>
          <w:rFonts w:hint="eastAsia" w:asciiTheme="minorEastAsia" w:hAnsiTheme="minorEastAsia"/>
          <w:sz w:val="32"/>
          <w:highlight w:val="none"/>
          <w:lang w:eastAsia="zh-CN"/>
        </w:rPr>
      </w:pPr>
      <w:bookmarkStart w:id="71" w:name="_Toc28949"/>
      <w:r>
        <w:rPr>
          <w:rFonts w:hint="eastAsia" w:asciiTheme="minorEastAsia" w:hAnsiTheme="minorEastAsia"/>
          <w:sz w:val="32"/>
          <w:highlight w:val="none"/>
          <w:lang w:eastAsia="zh-CN"/>
        </w:rPr>
        <w:t>采购需求</w:t>
      </w:r>
      <w:bookmarkEnd w:id="71"/>
    </w:p>
    <w:p>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项目概况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图书馆人之夜</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活动是中国图书馆年会的重要内容。</w:t>
      </w:r>
      <w:r>
        <w:rPr>
          <w:rFonts w:hint="eastAsia" w:ascii="宋体" w:hAnsi="宋体" w:eastAsia="宋体" w:cs="宋体"/>
          <w:color w:val="auto"/>
          <w:sz w:val="24"/>
          <w:szCs w:val="24"/>
          <w:highlight w:val="none"/>
        </w:rPr>
        <w:t>为展现</w:t>
      </w:r>
      <w:r>
        <w:rPr>
          <w:rFonts w:hint="eastAsia" w:ascii="宋体" w:hAnsi="宋体" w:eastAsia="宋体" w:cs="宋体"/>
          <w:color w:val="auto"/>
          <w:sz w:val="24"/>
          <w:szCs w:val="24"/>
          <w:highlight w:val="none"/>
          <w:lang w:val="en-US" w:eastAsia="zh-CN"/>
        </w:rPr>
        <w:t>郑州文化特色</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加快塑造“行走河南·读懂中国”品牌，郑州</w:t>
      </w:r>
      <w:r>
        <w:rPr>
          <w:rFonts w:hint="eastAsia" w:ascii="宋体" w:hAnsi="宋体" w:eastAsia="宋体" w:cs="宋体"/>
          <w:color w:val="auto"/>
          <w:sz w:val="24"/>
          <w:szCs w:val="24"/>
          <w:highlight w:val="none"/>
        </w:rPr>
        <w:t>拟定于9月举办“图书馆</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之夜”活动。</w:t>
      </w:r>
    </w:p>
    <w:p>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项目内容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策划、执行“图书馆</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之夜</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活动，提供文案服务、会场和活动摊位氛围设计、</w:t>
      </w:r>
      <w:r>
        <w:rPr>
          <w:rFonts w:hint="eastAsia" w:ascii="宋体" w:hAnsi="宋体" w:eastAsia="宋体" w:cs="宋体"/>
          <w:strike w:val="0"/>
          <w:dstrike w:val="0"/>
          <w:color w:val="auto"/>
          <w:sz w:val="24"/>
          <w:szCs w:val="24"/>
          <w:highlight w:val="none"/>
        </w:rPr>
        <w:t>活动宣传、</w:t>
      </w:r>
      <w:r>
        <w:rPr>
          <w:rFonts w:hint="eastAsia" w:ascii="宋体" w:hAnsi="宋体" w:eastAsia="宋体" w:cs="宋体"/>
          <w:color w:val="auto"/>
          <w:sz w:val="24"/>
          <w:szCs w:val="24"/>
          <w:highlight w:val="none"/>
        </w:rPr>
        <w:t>活动表演、拍照摄影等服务。</w:t>
      </w:r>
    </w:p>
    <w:p>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项目服务需求</w:t>
      </w:r>
    </w:p>
    <w:p>
      <w:pPr>
        <w:numPr>
          <w:ilvl w:val="0"/>
          <w:numId w:val="14"/>
        </w:numPr>
        <w:spacing w:line="360" w:lineRule="auto"/>
        <w:ind w:left="425" w:leftChars="0" w:hanging="425" w:firstLineChars="0"/>
        <w:rPr>
          <w:rFonts w:hint="eastAsia" w:ascii="宋体" w:hAnsi="宋体" w:cs="宋体"/>
          <w:sz w:val="24"/>
          <w:szCs w:val="24"/>
          <w:highlight w:val="none"/>
        </w:rPr>
      </w:pPr>
      <w:r>
        <w:rPr>
          <w:rFonts w:hint="eastAsia" w:ascii="宋体" w:hAnsi="宋体" w:cs="宋体"/>
          <w:sz w:val="24"/>
          <w:szCs w:val="24"/>
          <w:highlight w:val="none"/>
        </w:rPr>
        <w:t>策划“图书馆人之夜”活动，制定活动方案，完成活动各环节的实施，策划包括但不限于预热活动、表演节目等环节，服务商应结合活动主题策划有特色有亮点的活动环节，进一步细化活动方案；</w:t>
      </w:r>
    </w:p>
    <w:p>
      <w:pPr>
        <w:numPr>
          <w:ilvl w:val="0"/>
          <w:numId w:val="14"/>
        </w:numPr>
        <w:spacing w:line="360" w:lineRule="auto"/>
        <w:ind w:left="425" w:leftChars="0" w:hanging="425" w:firstLineChars="0"/>
        <w:rPr>
          <w:rFonts w:hint="eastAsia" w:ascii="宋体" w:hAnsi="宋体" w:cs="宋体"/>
          <w:sz w:val="24"/>
          <w:szCs w:val="24"/>
          <w:highlight w:val="none"/>
        </w:rPr>
      </w:pPr>
      <w:r>
        <w:rPr>
          <w:rFonts w:hint="eastAsia" w:ascii="宋体" w:hAnsi="宋体" w:cs="宋体"/>
          <w:color w:val="000000"/>
          <w:kern w:val="0"/>
          <w:sz w:val="24"/>
          <w:szCs w:val="24"/>
          <w:highlight w:val="none"/>
          <w:lang w:bidi="ar"/>
        </w:rPr>
        <w:t>利用主裙楼的多元空间，打造河南及郑州地方特色的文化市集活动，</w:t>
      </w:r>
      <w:r>
        <w:rPr>
          <w:rFonts w:hint="eastAsia" w:ascii="宋体" w:hAnsi="宋体" w:cs="宋体"/>
          <w:sz w:val="24"/>
          <w:szCs w:val="24"/>
          <w:highlight w:val="none"/>
        </w:rPr>
        <w:t>负责组织不少于5个的文艺节目；</w:t>
      </w:r>
    </w:p>
    <w:p>
      <w:pPr>
        <w:numPr>
          <w:ilvl w:val="0"/>
          <w:numId w:val="14"/>
        </w:numPr>
        <w:spacing w:line="360" w:lineRule="auto"/>
        <w:ind w:left="425" w:leftChars="0" w:hanging="425" w:firstLineChars="0"/>
        <w:rPr>
          <w:rFonts w:hint="eastAsia" w:ascii="宋体" w:hAnsi="宋体" w:cs="宋体"/>
          <w:sz w:val="24"/>
          <w:szCs w:val="24"/>
          <w:highlight w:val="none"/>
        </w:rPr>
      </w:pPr>
      <w:r>
        <w:rPr>
          <w:rFonts w:hint="eastAsia" w:ascii="宋体" w:hAnsi="宋体" w:cs="宋体"/>
          <w:sz w:val="24"/>
          <w:szCs w:val="24"/>
          <w:highlight w:val="none"/>
        </w:rPr>
        <w:t>策划符合主题特色的读者体验活动项目，设计、提供活动摊位相关物料；</w:t>
      </w:r>
    </w:p>
    <w:p>
      <w:pPr>
        <w:numPr>
          <w:ilvl w:val="0"/>
          <w:numId w:val="14"/>
        </w:numPr>
        <w:spacing w:line="360" w:lineRule="auto"/>
        <w:ind w:left="425" w:leftChars="0" w:hanging="425" w:firstLineChars="0"/>
        <w:rPr>
          <w:rFonts w:hint="eastAsia" w:ascii="宋体" w:hAnsi="宋体" w:cs="宋体"/>
          <w:sz w:val="24"/>
          <w:szCs w:val="24"/>
          <w:highlight w:val="none"/>
        </w:rPr>
      </w:pPr>
      <w:r>
        <w:rPr>
          <w:rFonts w:hint="eastAsia" w:ascii="宋体" w:hAnsi="宋体" w:cs="宋体"/>
          <w:sz w:val="24"/>
          <w:szCs w:val="24"/>
          <w:highlight w:val="none"/>
        </w:rPr>
        <w:t>负责“图书馆人之夜”活动宣传物料的设计与制作，包括但不仅限于活动主舞台、读者体验摊位、宣传背景墙等物料；活动现场布置（提供如指引牌、签到板等，及其他所需的道具）；</w:t>
      </w:r>
    </w:p>
    <w:p>
      <w:pPr>
        <w:numPr>
          <w:ilvl w:val="0"/>
          <w:numId w:val="14"/>
        </w:numPr>
        <w:spacing w:line="360" w:lineRule="auto"/>
        <w:ind w:left="425" w:leftChars="0" w:hanging="425" w:firstLineChars="0"/>
        <w:rPr>
          <w:rFonts w:hint="eastAsia" w:ascii="宋体" w:hAnsi="宋体" w:cs="宋体"/>
          <w:sz w:val="24"/>
          <w:szCs w:val="24"/>
          <w:highlight w:val="none"/>
        </w:rPr>
      </w:pPr>
      <w:r>
        <w:rPr>
          <w:rFonts w:hint="eastAsia" w:ascii="宋体" w:hAnsi="宋体" w:cs="宋体"/>
          <w:sz w:val="24"/>
          <w:szCs w:val="24"/>
          <w:highlight w:val="none"/>
        </w:rPr>
        <w:t>安排工作人员（主持人、音响和灯光师、礼仪、摄影录像人员），负责跟进活动的各项具体工作；</w:t>
      </w:r>
    </w:p>
    <w:p>
      <w:pPr>
        <w:numPr>
          <w:ilvl w:val="0"/>
          <w:numId w:val="14"/>
        </w:numPr>
        <w:spacing w:line="360" w:lineRule="auto"/>
        <w:ind w:left="425" w:leftChars="0" w:hanging="425" w:firstLineChars="0"/>
        <w:rPr>
          <w:rFonts w:hint="eastAsia" w:ascii="宋体" w:hAnsi="宋体" w:cs="宋体"/>
          <w:sz w:val="24"/>
          <w:szCs w:val="24"/>
          <w:highlight w:val="none"/>
        </w:rPr>
      </w:pPr>
      <w:r>
        <w:rPr>
          <w:rFonts w:hint="eastAsia" w:ascii="宋体" w:hAnsi="宋体" w:cs="宋体"/>
          <w:sz w:val="24"/>
          <w:szCs w:val="24"/>
          <w:highlight w:val="none"/>
        </w:rPr>
        <w:t>负责相关文案（主持稿、通讯稿）及媒体报道服务；</w:t>
      </w:r>
    </w:p>
    <w:p>
      <w:pPr>
        <w:numPr>
          <w:ilvl w:val="0"/>
          <w:numId w:val="14"/>
        </w:numPr>
        <w:spacing w:line="360" w:lineRule="auto"/>
        <w:ind w:left="425" w:leftChars="0" w:hanging="425" w:firstLineChars="0"/>
        <w:rPr>
          <w:rFonts w:hint="eastAsia" w:ascii="宋体" w:hAnsi="宋体" w:cs="宋体"/>
          <w:sz w:val="24"/>
          <w:szCs w:val="24"/>
          <w:highlight w:val="none"/>
        </w:rPr>
      </w:pPr>
      <w:r>
        <w:rPr>
          <w:rFonts w:hint="eastAsia" w:ascii="宋体" w:hAnsi="宋体" w:cs="宋体"/>
          <w:sz w:val="24"/>
          <w:szCs w:val="24"/>
          <w:highlight w:val="none"/>
        </w:rPr>
        <w:t>负责活动动态视频剪辑制作等。</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32"/>
          <w:szCs w:val="32"/>
          <w:highlight w:val="none"/>
          <w:lang w:eastAsia="zh-CN"/>
        </w:rPr>
      </w:pPr>
      <w:r>
        <w:rPr>
          <w:rFonts w:hint="eastAsia" w:hAnsi="宋体" w:cs="宋体"/>
          <w:b/>
          <w:bCs/>
          <w:snapToGrid w:val="0"/>
          <w:spacing w:val="7"/>
          <w:kern w:val="0"/>
          <w:sz w:val="24"/>
          <w:szCs w:val="24"/>
          <w:highlight w:val="none"/>
        </w:rPr>
        <w:t>具体要求包括</w:t>
      </w:r>
      <w:r>
        <w:rPr>
          <w:rFonts w:hint="eastAsia" w:hAnsi="宋体" w:eastAsia="宋体"/>
          <w:b/>
          <w:bCs/>
          <w:sz w:val="24"/>
          <w:szCs w:val="24"/>
          <w:highlight w:val="none"/>
        </w:rPr>
        <w:t>但不限于以下内容：</w:t>
      </w:r>
    </w:p>
    <w:tbl>
      <w:tblPr>
        <w:tblStyle w:val="28"/>
        <w:tblW w:w="877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9"/>
        <w:gridCol w:w="1746"/>
        <w:gridCol w:w="4521"/>
        <w:gridCol w:w="20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2175" w:type="dxa"/>
            <w:gridSpan w:val="2"/>
            <w:tcBorders>
              <w:tl2br w:val="nil"/>
              <w:tr2bl w:val="nil"/>
            </w:tcBorders>
            <w:shd w:val="clear" w:color="auto" w:fill="auto"/>
            <w:vAlign w:val="center"/>
          </w:tcPr>
          <w:p>
            <w:pPr>
              <w:widowControl/>
              <w:jc w:val="center"/>
              <w:rPr>
                <w:rFonts w:hint="default" w:ascii="宋体" w:hAnsi="宋体" w:eastAsia="宋体" w:cs="宋体"/>
                <w:b/>
                <w:bCs/>
                <w:kern w:val="0"/>
                <w:sz w:val="21"/>
                <w:szCs w:val="21"/>
                <w:highlight w:val="none"/>
                <w:lang w:val="en-US" w:eastAsia="zh-CN" w:bidi="ar-SA"/>
              </w:rPr>
            </w:pPr>
            <w:r>
              <w:rPr>
                <w:rFonts w:hint="eastAsia" w:ascii="宋体" w:hAnsi="宋体" w:eastAsia="宋体" w:cs="宋体"/>
                <w:b/>
                <w:bCs/>
                <w:kern w:val="0"/>
                <w:szCs w:val="21"/>
                <w:highlight w:val="none"/>
                <w:lang w:val="en-US" w:eastAsia="zh-CN"/>
              </w:rPr>
              <w:t>项目内容</w:t>
            </w:r>
          </w:p>
        </w:tc>
        <w:tc>
          <w:tcPr>
            <w:tcW w:w="4521" w:type="dxa"/>
            <w:tcBorders>
              <w:tl2br w:val="nil"/>
              <w:tr2bl w:val="nil"/>
            </w:tcBorders>
            <w:shd w:val="clear" w:color="auto" w:fill="auto"/>
            <w:vAlign w:val="center"/>
          </w:tcPr>
          <w:p>
            <w:pPr>
              <w:widowControl/>
              <w:jc w:val="center"/>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Cs w:val="21"/>
                <w:highlight w:val="none"/>
              </w:rPr>
              <w:t>规格</w:t>
            </w:r>
          </w:p>
        </w:tc>
        <w:tc>
          <w:tcPr>
            <w:tcW w:w="2077" w:type="dxa"/>
            <w:tcBorders>
              <w:tl2br w:val="nil"/>
              <w:tr2bl w:val="nil"/>
            </w:tcBorders>
            <w:shd w:val="clear" w:color="auto" w:fill="auto"/>
            <w:vAlign w:val="center"/>
          </w:tcPr>
          <w:p>
            <w:pPr>
              <w:widowControl/>
              <w:jc w:val="center"/>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Cs w:val="21"/>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8773" w:type="dxa"/>
            <w:gridSpan w:val="4"/>
            <w:tcBorders>
              <w:tl2br w:val="nil"/>
              <w:tr2bl w:val="nil"/>
            </w:tcBorders>
            <w:shd w:val="clear" w:color="auto" w:fill="auto"/>
            <w:vAlign w:val="center"/>
          </w:tcPr>
          <w:p>
            <w:pPr>
              <w:widowControl/>
              <w:jc w:val="center"/>
              <w:rPr>
                <w:rFonts w:hint="eastAsia" w:ascii="宋体" w:hAnsi="宋体" w:eastAsia="宋体" w:cs="宋体"/>
                <w:b/>
                <w:bCs/>
                <w:kern w:val="0"/>
                <w:szCs w:val="21"/>
                <w:highlight w:val="none"/>
              </w:rPr>
            </w:pPr>
            <w:r>
              <w:rPr>
                <w:rFonts w:hint="eastAsia" w:ascii="宋体" w:hAnsi="宋体" w:eastAsia="宋体" w:cs="宋体"/>
                <w:b/>
                <w:bCs/>
                <w:kern w:val="0"/>
                <w:szCs w:val="21"/>
                <w:highlight w:val="none"/>
                <w:lang w:val="en-US" w:eastAsia="zh-CN"/>
              </w:rPr>
              <w:t>一、氛围场景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429" w:type="dxa"/>
            <w:vMerge w:val="restart"/>
            <w:tcBorders>
              <w:tl2br w:val="nil"/>
              <w:tr2bl w:val="nil"/>
            </w:tcBorders>
            <w:shd w:val="clear" w:color="auto" w:fill="auto"/>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1</w:t>
            </w:r>
          </w:p>
        </w:tc>
        <w:tc>
          <w:tcPr>
            <w:tcW w:w="1746" w:type="dxa"/>
            <w:vMerge w:val="restart"/>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20"/>
                <w:szCs w:val="20"/>
                <w:highlight w:val="none"/>
                <w:u w:val="none"/>
                <w:lang w:val="en-US" w:eastAsia="zh-CN" w:bidi="ar"/>
              </w:rPr>
            </w:pPr>
            <w:r>
              <w:rPr>
                <w:rFonts w:hint="eastAsia" w:ascii="宋体" w:hAnsi="宋体" w:eastAsia="宋体" w:cs="宋体"/>
                <w:b w:val="0"/>
                <w:bCs w:val="0"/>
                <w:kern w:val="0"/>
                <w:szCs w:val="21"/>
                <w:highlight w:val="none"/>
                <w:lang w:val="en-US" w:eastAsia="zh-CN"/>
              </w:rPr>
              <w:t>迎宾</w:t>
            </w:r>
            <w:r>
              <w:rPr>
                <w:rFonts w:hint="eastAsia" w:ascii="宋体" w:hAnsi="宋体" w:eastAsia="宋体" w:cs="宋体"/>
                <w:b w:val="0"/>
                <w:bCs w:val="0"/>
                <w:i w:val="0"/>
                <w:iCs w:val="0"/>
                <w:color w:val="000000"/>
                <w:kern w:val="0"/>
                <w:sz w:val="20"/>
                <w:szCs w:val="20"/>
                <w:highlight w:val="none"/>
                <w:u w:val="none"/>
                <w:lang w:val="en-US" w:eastAsia="zh-CN" w:bidi="ar"/>
              </w:rPr>
              <w:t>氛围营造</w:t>
            </w:r>
          </w:p>
        </w:tc>
        <w:tc>
          <w:tcPr>
            <w:tcW w:w="4521" w:type="dxa"/>
            <w:tcBorders>
              <w:tl2br w:val="nil"/>
              <w:tr2bl w:val="nil"/>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郑州图书馆裙房楼体主题画面</w:t>
            </w:r>
          </w:p>
        </w:tc>
        <w:tc>
          <w:tcPr>
            <w:tcW w:w="2077"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429" w:type="dxa"/>
            <w:vMerge w:val="continue"/>
            <w:tcBorders>
              <w:tl2br w:val="nil"/>
              <w:tr2bl w:val="nil"/>
            </w:tcBorders>
            <w:shd w:val="clear" w:color="auto" w:fill="auto"/>
            <w:vAlign w:val="center"/>
          </w:tcPr>
          <w:p>
            <w:pPr>
              <w:pStyle w:val="2"/>
              <w:rPr>
                <w:highlight w:val="none"/>
              </w:rPr>
            </w:pPr>
          </w:p>
        </w:tc>
        <w:tc>
          <w:tcPr>
            <w:tcW w:w="1746" w:type="dxa"/>
            <w:vMerge w:val="continue"/>
            <w:tcBorders>
              <w:tl2br w:val="nil"/>
              <w:tr2bl w:val="nil"/>
            </w:tcBorders>
            <w:shd w:val="clear" w:color="auto" w:fill="auto"/>
            <w:vAlign w:val="center"/>
          </w:tcPr>
          <w:p>
            <w:pPr>
              <w:pStyle w:val="2"/>
              <w:rPr>
                <w:b w:val="0"/>
                <w:bCs w:val="0"/>
                <w:highlight w:val="none"/>
              </w:rPr>
            </w:pPr>
          </w:p>
        </w:tc>
        <w:tc>
          <w:tcPr>
            <w:tcW w:w="4521" w:type="dxa"/>
            <w:tcBorders>
              <w:tl2br w:val="nil"/>
              <w:tr2bl w:val="nil"/>
            </w:tcBorders>
            <w:shd w:val="clear" w:color="auto" w:fill="auto"/>
            <w:vAlign w:val="center"/>
          </w:tcPr>
          <w:p>
            <w:pPr>
              <w:pStyle w:val="2"/>
              <w:ind w:left="0" w:leftChars="0" w:firstLine="0" w:firstLineChars="0"/>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主题迎宾拱门造型</w:t>
            </w:r>
          </w:p>
        </w:tc>
        <w:tc>
          <w:tcPr>
            <w:tcW w:w="2077" w:type="dxa"/>
            <w:tcBorders>
              <w:tl2br w:val="nil"/>
              <w:tr2bl w:val="nil"/>
            </w:tcBorders>
            <w:shd w:val="clear" w:color="auto" w:fill="auto"/>
            <w:vAlign w:val="center"/>
          </w:tcPr>
          <w:p>
            <w:pPr>
              <w:pStyle w:val="2"/>
              <w:jc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至少1个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trPr>
        <w:tc>
          <w:tcPr>
            <w:tcW w:w="429" w:type="dxa"/>
            <w:vMerge w:val="continue"/>
            <w:tcBorders>
              <w:tl2br w:val="nil"/>
              <w:tr2bl w:val="nil"/>
            </w:tcBorders>
            <w:shd w:val="clear" w:color="auto" w:fill="auto"/>
            <w:vAlign w:val="center"/>
          </w:tcPr>
          <w:p>
            <w:pPr>
              <w:pStyle w:val="2"/>
              <w:rPr>
                <w:rFonts w:hint="eastAsia"/>
                <w:highlight w:val="none"/>
                <w:lang w:val="en-US" w:eastAsia="zh-CN"/>
              </w:rPr>
            </w:pPr>
          </w:p>
        </w:tc>
        <w:tc>
          <w:tcPr>
            <w:tcW w:w="1746" w:type="dxa"/>
            <w:vMerge w:val="continue"/>
            <w:tcBorders>
              <w:tl2br w:val="nil"/>
              <w:tr2bl w:val="nil"/>
            </w:tcBorders>
            <w:shd w:val="clear" w:color="auto" w:fill="auto"/>
            <w:vAlign w:val="center"/>
          </w:tcPr>
          <w:p>
            <w:pPr>
              <w:pStyle w:val="2"/>
              <w:rPr>
                <w:rFonts w:hint="eastAsia"/>
                <w:b w:val="0"/>
                <w:bCs w:val="0"/>
                <w:highlight w:val="none"/>
                <w:lang w:val="en-US" w:eastAsia="zh-CN"/>
              </w:rPr>
            </w:pPr>
          </w:p>
        </w:tc>
        <w:tc>
          <w:tcPr>
            <w:tcW w:w="4521" w:type="dxa"/>
            <w:tcBorders>
              <w:tl2br w:val="nil"/>
              <w:tr2bl w:val="nil"/>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导视牌</w:t>
            </w:r>
          </w:p>
        </w:tc>
        <w:tc>
          <w:tcPr>
            <w:tcW w:w="2077"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不少于10个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exact"/>
        </w:trPr>
        <w:tc>
          <w:tcPr>
            <w:tcW w:w="429" w:type="dxa"/>
            <w:tcBorders>
              <w:tl2br w:val="nil"/>
              <w:tr2bl w:val="nil"/>
            </w:tcBorders>
            <w:shd w:val="clear" w:color="auto" w:fill="auto"/>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ascii="宋体" w:hAnsi="宋体" w:eastAsia="宋体" w:cs="宋体"/>
                <w:b w:val="0"/>
                <w:bCs w:val="0"/>
                <w:kern w:val="0"/>
                <w:szCs w:val="21"/>
                <w:highlight w:val="none"/>
              </w:rPr>
            </w:pPr>
            <w:r>
              <w:rPr>
                <w:rFonts w:hint="eastAsia" w:ascii="宋体" w:hAnsi="宋体" w:eastAsia="宋体" w:cs="宋体"/>
                <w:b w:val="0"/>
                <w:bCs w:val="0"/>
                <w:kern w:val="0"/>
                <w:szCs w:val="21"/>
                <w:highlight w:val="none"/>
                <w:lang w:val="en-US" w:eastAsia="zh-CN"/>
              </w:rPr>
              <w:t>休闲区</w:t>
            </w:r>
            <w:r>
              <w:rPr>
                <w:rFonts w:hint="eastAsia" w:ascii="宋体" w:hAnsi="宋体" w:eastAsia="宋体" w:cs="宋体"/>
                <w:b w:val="0"/>
                <w:bCs w:val="0"/>
                <w:i w:val="0"/>
                <w:iCs w:val="0"/>
                <w:color w:val="000000"/>
                <w:kern w:val="0"/>
                <w:sz w:val="20"/>
                <w:szCs w:val="20"/>
                <w:highlight w:val="none"/>
                <w:u w:val="none"/>
                <w:lang w:val="en-US" w:eastAsia="zh-CN" w:bidi="ar"/>
              </w:rPr>
              <w:t>户外露营风桌椅</w:t>
            </w:r>
          </w:p>
        </w:tc>
        <w:tc>
          <w:tcPr>
            <w:tcW w:w="4521" w:type="dxa"/>
            <w:tcBorders>
              <w:tl2br w:val="nil"/>
              <w:tr2bl w:val="nil"/>
            </w:tcBorders>
            <w:shd w:val="clear" w:color="auto" w:fill="auto"/>
            <w:vAlign w:val="center"/>
          </w:tcPr>
          <w:p>
            <w:pPr>
              <w:keepNext w:val="0"/>
              <w:keepLines w:val="0"/>
              <w:widowControl/>
              <w:suppressLineNumbers w:val="0"/>
              <w:jc w:val="both"/>
              <w:textAlignment w:val="center"/>
              <w:rPr>
                <w:rFonts w:hint="default" w:ascii="宋体" w:hAnsi="宋体" w:eastAsia="宋体" w:cs="宋体"/>
                <w:kern w:val="0"/>
                <w:szCs w:val="21"/>
                <w:highlight w:val="none"/>
                <w:lang w:val="en-US"/>
              </w:rPr>
            </w:pPr>
            <w:r>
              <w:rPr>
                <w:rFonts w:hint="eastAsia" w:ascii="宋体" w:hAnsi="宋体" w:eastAsia="宋体" w:cs="宋体"/>
                <w:i w:val="0"/>
                <w:iCs w:val="0"/>
                <w:color w:val="000000"/>
                <w:kern w:val="0"/>
                <w:sz w:val="20"/>
                <w:szCs w:val="20"/>
                <w:highlight w:val="none"/>
                <w:u w:val="none"/>
                <w:lang w:val="en-US" w:eastAsia="zh-CN" w:bidi="ar"/>
              </w:rPr>
              <w:t>购置，每套含：长条桌、四张椅子</w:t>
            </w:r>
          </w:p>
        </w:tc>
        <w:tc>
          <w:tcPr>
            <w:tcW w:w="2077" w:type="dxa"/>
            <w:tcBorders>
              <w:tl2br w:val="nil"/>
              <w:tr2bl w:val="nil"/>
            </w:tcBorders>
            <w:shd w:val="clear" w:color="auto" w:fill="auto"/>
            <w:vAlign w:val="top"/>
          </w:tcPr>
          <w:p>
            <w:pPr>
              <w:widowControl/>
              <w:jc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不少于15套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8773" w:type="dxa"/>
            <w:gridSpan w:val="4"/>
            <w:tcBorders>
              <w:tl2br w:val="nil"/>
              <w:tr2bl w:val="nil"/>
            </w:tcBorders>
            <w:shd w:val="clear" w:color="auto" w:fill="auto"/>
            <w:vAlign w:val="center"/>
          </w:tcPr>
          <w:p>
            <w:pPr>
              <w:widowControl/>
              <w:jc w:val="center"/>
              <w:rPr>
                <w:rFonts w:hint="eastAsia" w:ascii="宋体" w:hAnsi="宋体" w:eastAsia="宋体" w:cs="宋体"/>
                <w:b/>
                <w:bCs/>
                <w:kern w:val="0"/>
                <w:szCs w:val="21"/>
                <w:highlight w:val="none"/>
              </w:rPr>
            </w:pPr>
            <w:r>
              <w:rPr>
                <w:rFonts w:hint="eastAsia" w:ascii="宋体" w:hAnsi="宋体" w:eastAsia="宋体" w:cs="宋体"/>
                <w:b/>
                <w:bCs/>
                <w:kern w:val="0"/>
                <w:szCs w:val="21"/>
                <w:highlight w:val="none"/>
                <w:lang w:val="en-US" w:eastAsia="zh-CN"/>
              </w:rPr>
              <w:t>二、</w:t>
            </w:r>
            <w:r>
              <w:rPr>
                <w:rFonts w:hint="eastAsia" w:ascii="宋体" w:hAnsi="宋体" w:eastAsia="宋体" w:cs="宋体"/>
                <w:b/>
                <w:bCs/>
                <w:kern w:val="0"/>
                <w:szCs w:val="21"/>
                <w:highlight w:val="none"/>
              </w:rPr>
              <w:t>廊里文创展示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29" w:type="dxa"/>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1746" w:type="dxa"/>
            <w:vMerge w:val="restart"/>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展台</w:t>
            </w:r>
          </w:p>
        </w:tc>
        <w:tc>
          <w:tcPr>
            <w:tcW w:w="4521" w:type="dxa"/>
            <w:tcBorders>
              <w:tl2br w:val="nil"/>
              <w:tr2bl w:val="nil"/>
            </w:tcBorders>
            <w:shd w:val="clear" w:color="auto" w:fill="auto"/>
            <w:vAlign w:val="center"/>
          </w:tcPr>
          <w:p>
            <w:pPr>
              <w:keepNext w:val="0"/>
              <w:keepLines w:val="0"/>
              <w:widowControl/>
              <w:suppressLineNumbers w:val="0"/>
              <w:jc w:val="both"/>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玻璃造型展示空间，定制</w:t>
            </w:r>
          </w:p>
        </w:tc>
        <w:tc>
          <w:tcPr>
            <w:tcW w:w="2077"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429" w:type="dxa"/>
            <w:vMerge w:val="continue"/>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1746" w:type="dxa"/>
            <w:vMerge w:val="continue"/>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4521" w:type="dxa"/>
            <w:tcBorders>
              <w:tl2br w:val="nil"/>
              <w:tr2bl w:val="nil"/>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固定展示台，定制</w:t>
            </w:r>
          </w:p>
        </w:tc>
        <w:tc>
          <w:tcPr>
            <w:tcW w:w="2077"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429" w:type="dxa"/>
            <w:vMerge w:val="continue"/>
            <w:tcBorders>
              <w:tl2br w:val="nil"/>
              <w:tr2bl w:val="nil"/>
            </w:tcBorders>
            <w:shd w:val="clear" w:color="auto" w:fill="auto"/>
            <w:vAlign w:val="center"/>
          </w:tcPr>
          <w:p>
            <w:pPr>
              <w:widowControl/>
              <w:jc w:val="center"/>
              <w:rPr>
                <w:rFonts w:ascii="宋体" w:hAnsi="宋体" w:eastAsia="宋体" w:cs="宋体"/>
                <w:kern w:val="0"/>
                <w:szCs w:val="21"/>
                <w:highlight w:val="none"/>
              </w:rPr>
            </w:pPr>
          </w:p>
        </w:tc>
        <w:tc>
          <w:tcPr>
            <w:tcW w:w="1746" w:type="dxa"/>
            <w:vMerge w:val="continue"/>
            <w:tcBorders>
              <w:tl2br w:val="nil"/>
              <w:tr2bl w:val="nil"/>
            </w:tcBorders>
            <w:shd w:val="clear" w:color="auto" w:fill="auto"/>
            <w:vAlign w:val="center"/>
          </w:tcPr>
          <w:p>
            <w:pPr>
              <w:widowControl/>
              <w:jc w:val="center"/>
              <w:rPr>
                <w:rFonts w:ascii="宋体" w:hAnsi="宋体" w:eastAsia="宋体" w:cs="宋体"/>
                <w:kern w:val="0"/>
                <w:szCs w:val="21"/>
                <w:highlight w:val="none"/>
              </w:rPr>
            </w:pPr>
          </w:p>
        </w:tc>
        <w:tc>
          <w:tcPr>
            <w:tcW w:w="4521" w:type="dxa"/>
            <w:tcBorders>
              <w:tl2br w:val="nil"/>
              <w:tr2bl w:val="nil"/>
            </w:tcBorders>
            <w:shd w:val="clear" w:color="auto" w:fill="auto"/>
            <w:vAlign w:val="center"/>
          </w:tcPr>
          <w:p>
            <w:pPr>
              <w:widowControl/>
              <w:jc w:val="both"/>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图书文创类展架，定制</w:t>
            </w:r>
          </w:p>
        </w:tc>
        <w:tc>
          <w:tcPr>
            <w:tcW w:w="2077" w:type="dxa"/>
            <w:tcBorders>
              <w:tl2br w:val="nil"/>
              <w:tr2bl w:val="nil"/>
            </w:tcBorders>
            <w:shd w:val="clear" w:color="auto" w:fill="auto"/>
            <w:vAlign w:val="top"/>
          </w:tcPr>
          <w:p>
            <w:pPr>
              <w:widowControl/>
              <w:jc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25个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429" w:type="dxa"/>
            <w:vMerge w:val="continue"/>
            <w:tcBorders>
              <w:tl2br w:val="nil"/>
              <w:tr2bl w:val="nil"/>
            </w:tcBorders>
            <w:shd w:val="clear" w:color="auto" w:fill="auto"/>
            <w:vAlign w:val="center"/>
          </w:tcPr>
          <w:p>
            <w:pPr>
              <w:widowControl/>
              <w:jc w:val="center"/>
              <w:rPr>
                <w:rFonts w:ascii="宋体" w:hAnsi="宋体" w:eastAsia="宋体" w:cs="宋体"/>
                <w:kern w:val="0"/>
                <w:szCs w:val="21"/>
                <w:highlight w:val="none"/>
              </w:rPr>
            </w:pPr>
          </w:p>
        </w:tc>
        <w:tc>
          <w:tcPr>
            <w:tcW w:w="1746" w:type="dxa"/>
            <w:vMerge w:val="continue"/>
            <w:tcBorders>
              <w:tl2br w:val="nil"/>
              <w:tr2bl w:val="nil"/>
            </w:tcBorders>
            <w:shd w:val="clear" w:color="auto" w:fill="auto"/>
            <w:vAlign w:val="center"/>
          </w:tcPr>
          <w:p>
            <w:pPr>
              <w:widowControl/>
              <w:jc w:val="center"/>
              <w:rPr>
                <w:rFonts w:ascii="宋体" w:hAnsi="宋体" w:eastAsia="宋体" w:cs="宋体"/>
                <w:kern w:val="0"/>
                <w:szCs w:val="21"/>
                <w:highlight w:val="none"/>
              </w:rPr>
            </w:pPr>
          </w:p>
        </w:tc>
        <w:tc>
          <w:tcPr>
            <w:tcW w:w="4521" w:type="dxa"/>
            <w:tcBorders>
              <w:tl2br w:val="nil"/>
              <w:tr2bl w:val="nil"/>
            </w:tcBorders>
            <w:shd w:val="clear" w:color="auto" w:fill="auto"/>
            <w:vAlign w:val="center"/>
          </w:tcPr>
          <w:p>
            <w:pPr>
              <w:widowControl/>
              <w:jc w:val="both"/>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展桌、展椅（含桌布、椅布），租赁</w:t>
            </w:r>
          </w:p>
        </w:tc>
        <w:tc>
          <w:tcPr>
            <w:tcW w:w="2077" w:type="dxa"/>
            <w:tcBorders>
              <w:tl2br w:val="nil"/>
              <w:tr2bl w:val="nil"/>
            </w:tcBorders>
            <w:shd w:val="clear" w:color="auto" w:fill="auto"/>
            <w:vAlign w:val="top"/>
          </w:tcPr>
          <w:p>
            <w:pPr>
              <w:widowControl/>
              <w:jc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240套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429" w:type="dxa"/>
            <w:vMerge w:val="restart"/>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w:t>
            </w:r>
          </w:p>
        </w:tc>
        <w:tc>
          <w:tcPr>
            <w:tcW w:w="1746" w:type="dxa"/>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主理人</w:t>
            </w:r>
          </w:p>
        </w:tc>
        <w:tc>
          <w:tcPr>
            <w:tcW w:w="4521" w:type="dxa"/>
            <w:tcBorders>
              <w:tl2br w:val="nil"/>
              <w:tr2bl w:val="nil"/>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非遗传承人</w:t>
            </w:r>
          </w:p>
        </w:tc>
        <w:tc>
          <w:tcPr>
            <w:tcW w:w="2077"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不少于30人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429" w:type="dxa"/>
            <w:vMerge w:val="continue"/>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1746" w:type="dxa"/>
            <w:vMerge w:val="continue"/>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4521" w:type="dxa"/>
            <w:tcBorders>
              <w:tl2br w:val="nil"/>
              <w:tr2bl w:val="nil"/>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文化主理人（藏书等特色）</w:t>
            </w:r>
          </w:p>
        </w:tc>
        <w:tc>
          <w:tcPr>
            <w:tcW w:w="2077"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不少于30人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exact"/>
        </w:trPr>
        <w:tc>
          <w:tcPr>
            <w:tcW w:w="429"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设备</w:t>
            </w:r>
          </w:p>
        </w:tc>
        <w:tc>
          <w:tcPr>
            <w:tcW w:w="4521" w:type="dxa"/>
            <w:tcBorders>
              <w:tl2br w:val="nil"/>
              <w:tr2bl w:val="nil"/>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全区域电线电缆铺设</w:t>
            </w:r>
          </w:p>
        </w:tc>
        <w:tc>
          <w:tcPr>
            <w:tcW w:w="2077"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根据实际需求布置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exact"/>
        </w:trPr>
        <w:tc>
          <w:tcPr>
            <w:tcW w:w="429"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饮用水</w:t>
            </w:r>
          </w:p>
        </w:tc>
        <w:tc>
          <w:tcPr>
            <w:tcW w:w="4521" w:type="dxa"/>
            <w:tcBorders>
              <w:tl2br w:val="nil"/>
              <w:tr2bl w:val="nil"/>
            </w:tcBorders>
            <w:shd w:val="clear" w:color="auto" w:fill="auto"/>
            <w:vAlign w:val="center"/>
          </w:tcPr>
          <w:p>
            <w:pPr>
              <w:keepNext w:val="0"/>
              <w:keepLines w:val="0"/>
              <w:widowControl/>
              <w:suppressLineNumbers w:val="0"/>
              <w:jc w:val="both"/>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矿泉水</w:t>
            </w:r>
          </w:p>
        </w:tc>
        <w:tc>
          <w:tcPr>
            <w:tcW w:w="2077"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不少于150箱*24瓶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8773" w:type="dxa"/>
            <w:gridSpan w:val="4"/>
            <w:tcBorders>
              <w:tl2br w:val="nil"/>
              <w:tr2bl w:val="nil"/>
            </w:tcBorders>
            <w:shd w:val="clear" w:color="auto" w:fill="auto"/>
            <w:vAlign w:val="center"/>
          </w:tcPr>
          <w:p>
            <w:pPr>
              <w:widowControl/>
              <w:jc w:val="center"/>
              <w:rPr>
                <w:rFonts w:hint="eastAsia" w:ascii="宋体" w:hAnsi="宋体" w:eastAsia="宋体" w:cs="宋体"/>
                <w:b/>
                <w:bCs/>
                <w:kern w:val="0"/>
                <w:szCs w:val="21"/>
                <w:highlight w:val="none"/>
                <w:lang w:val="en-US" w:eastAsia="zh-CN"/>
              </w:rPr>
            </w:pPr>
            <w:r>
              <w:rPr>
                <w:rFonts w:hint="eastAsia" w:ascii="宋体" w:hAnsi="宋体" w:eastAsia="宋体" w:cs="宋体"/>
                <w:b/>
                <w:bCs/>
                <w:kern w:val="0"/>
                <w:szCs w:val="21"/>
                <w:highlight w:val="none"/>
                <w:lang w:val="en-US" w:eastAsia="zh-CN"/>
              </w:rPr>
              <w:t>三、设计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42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平面设计</w:t>
            </w:r>
          </w:p>
        </w:tc>
        <w:tc>
          <w:tcPr>
            <w:tcW w:w="4521" w:type="dxa"/>
            <w:tcBorders>
              <w:tl2br w:val="nil"/>
              <w:tr2bl w:val="nil"/>
            </w:tcBorders>
            <w:shd w:val="clear" w:color="auto" w:fill="auto"/>
            <w:vAlign w:val="center"/>
          </w:tcPr>
          <w:p>
            <w:pPr>
              <w:keepNext w:val="0"/>
              <w:keepLines w:val="0"/>
              <w:widowControl/>
              <w:suppressLineNumbers w:val="0"/>
              <w:jc w:val="both"/>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视觉设计、演艺节目单设计和布局图设计等</w:t>
            </w:r>
          </w:p>
        </w:tc>
        <w:tc>
          <w:tcPr>
            <w:tcW w:w="2077" w:type="dxa"/>
            <w:tcBorders>
              <w:tl2br w:val="nil"/>
              <w:tr2bl w:val="nil"/>
            </w:tcBorders>
            <w:shd w:val="clear" w:color="auto" w:fill="auto"/>
            <w:vAlign w:val="top"/>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42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动态视频</w:t>
            </w:r>
          </w:p>
        </w:tc>
        <w:tc>
          <w:tcPr>
            <w:tcW w:w="4521" w:type="dxa"/>
            <w:tcBorders>
              <w:tl2br w:val="nil"/>
              <w:tr2bl w:val="nil"/>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动态视频剪辑制作</w:t>
            </w:r>
          </w:p>
        </w:tc>
        <w:tc>
          <w:tcPr>
            <w:tcW w:w="2077" w:type="dxa"/>
            <w:tcBorders>
              <w:tl2br w:val="nil"/>
              <w:tr2bl w:val="nil"/>
            </w:tcBorders>
            <w:shd w:val="clear" w:color="auto" w:fill="auto"/>
            <w:vAlign w:val="top"/>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不少于90秒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8773" w:type="dxa"/>
            <w:gridSpan w:val="4"/>
            <w:tcBorders>
              <w:tl2br w:val="nil"/>
              <w:tr2bl w:val="nil"/>
            </w:tcBorders>
            <w:shd w:val="clear" w:color="auto" w:fill="auto"/>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b/>
                <w:bCs/>
                <w:kern w:val="0"/>
                <w:szCs w:val="21"/>
                <w:highlight w:val="none"/>
                <w:lang w:val="en-US" w:eastAsia="zh-CN"/>
              </w:rPr>
              <w:t>四、节目制作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42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原创歌曲</w:t>
            </w:r>
          </w:p>
        </w:tc>
        <w:tc>
          <w:tcPr>
            <w:tcW w:w="4521" w:type="dxa"/>
            <w:tcBorders>
              <w:tl2br w:val="nil"/>
              <w:tr2bl w:val="nil"/>
            </w:tcBorders>
            <w:shd w:val="clear" w:color="auto" w:fill="auto"/>
            <w:vAlign w:val="center"/>
          </w:tcPr>
          <w:p>
            <w:pPr>
              <w:keepNext w:val="0"/>
              <w:keepLines w:val="0"/>
              <w:widowControl/>
              <w:suppressLineNumbers w:val="0"/>
              <w:jc w:val="both"/>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原创歌曲作词作曲、编曲和制作等</w:t>
            </w:r>
          </w:p>
        </w:tc>
        <w:tc>
          <w:tcPr>
            <w:tcW w:w="2077"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exact"/>
        </w:trPr>
        <w:tc>
          <w:tcPr>
            <w:tcW w:w="429"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文艺节目</w:t>
            </w:r>
          </w:p>
        </w:tc>
        <w:tc>
          <w:tcPr>
            <w:tcW w:w="4521" w:type="dxa"/>
            <w:tcBorders>
              <w:tl2br w:val="nil"/>
              <w:tr2bl w:val="nil"/>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不少于5个文艺节目，管乐器、弦乐器、钢琴等各种艺术展演形式，循环演出3个小时。</w:t>
            </w:r>
          </w:p>
        </w:tc>
        <w:tc>
          <w:tcPr>
            <w:tcW w:w="2077"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5个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8773" w:type="dxa"/>
            <w:gridSpan w:val="4"/>
            <w:tcBorders>
              <w:tl2br w:val="nil"/>
              <w:tr2bl w:val="nil"/>
            </w:tcBorders>
            <w:shd w:val="clear" w:color="auto" w:fill="auto"/>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b/>
                <w:bCs/>
                <w:kern w:val="0"/>
                <w:szCs w:val="21"/>
                <w:highlight w:val="none"/>
                <w:lang w:val="en-US" w:eastAsia="zh-CN"/>
              </w:rPr>
              <w:t>五、人员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exact"/>
        </w:trPr>
        <w:tc>
          <w:tcPr>
            <w:tcW w:w="42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演职人员</w:t>
            </w:r>
          </w:p>
        </w:tc>
        <w:tc>
          <w:tcPr>
            <w:tcW w:w="4521" w:type="dxa"/>
            <w:tcBorders>
              <w:tl2br w:val="nil"/>
              <w:tr2bl w:val="nil"/>
            </w:tcBorders>
            <w:shd w:val="clear" w:color="auto" w:fill="auto"/>
            <w:vAlign w:val="center"/>
          </w:tcPr>
          <w:p>
            <w:pPr>
              <w:keepNext w:val="0"/>
              <w:keepLines w:val="0"/>
              <w:widowControl/>
              <w:suppressLineNumbers w:val="0"/>
              <w:jc w:val="both"/>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主持人、演艺人员等</w:t>
            </w:r>
          </w:p>
        </w:tc>
        <w:tc>
          <w:tcPr>
            <w:tcW w:w="2077"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根据实际需求配备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42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设备人员</w:t>
            </w:r>
          </w:p>
        </w:tc>
        <w:tc>
          <w:tcPr>
            <w:tcW w:w="4521" w:type="dxa"/>
            <w:tcBorders>
              <w:tl2br w:val="nil"/>
              <w:tr2bl w:val="nil"/>
            </w:tcBorders>
            <w:shd w:val="clear" w:color="auto" w:fill="auto"/>
            <w:vAlign w:val="center"/>
          </w:tcPr>
          <w:p>
            <w:pPr>
              <w:keepNext w:val="0"/>
              <w:keepLines w:val="0"/>
              <w:widowControl/>
              <w:suppressLineNumbers w:val="0"/>
              <w:jc w:val="both"/>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摄影师、摄像师、灯光师、音响师等</w:t>
            </w:r>
          </w:p>
        </w:tc>
        <w:tc>
          <w:tcPr>
            <w:tcW w:w="2077"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根据实际需求配备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42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技术人员</w:t>
            </w:r>
          </w:p>
        </w:tc>
        <w:tc>
          <w:tcPr>
            <w:tcW w:w="4521" w:type="dxa"/>
            <w:tcBorders>
              <w:tl2br w:val="nil"/>
              <w:tr2bl w:val="nil"/>
            </w:tcBorders>
            <w:shd w:val="clear" w:color="auto" w:fill="auto"/>
            <w:vAlign w:val="center"/>
          </w:tcPr>
          <w:p>
            <w:pPr>
              <w:keepNext w:val="0"/>
              <w:keepLines w:val="0"/>
              <w:widowControl/>
              <w:suppressLineNumbers w:val="0"/>
              <w:jc w:val="both"/>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维修维保和搭建工人等</w:t>
            </w:r>
          </w:p>
        </w:tc>
        <w:tc>
          <w:tcPr>
            <w:tcW w:w="2077"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根据实际需求配备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429"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工作人员</w:t>
            </w:r>
          </w:p>
        </w:tc>
        <w:tc>
          <w:tcPr>
            <w:tcW w:w="4521" w:type="dxa"/>
            <w:tcBorders>
              <w:tl2br w:val="nil"/>
              <w:tr2bl w:val="nil"/>
            </w:tcBorders>
            <w:shd w:val="clear" w:color="auto" w:fill="auto"/>
            <w:vAlign w:val="center"/>
          </w:tcPr>
          <w:p>
            <w:pPr>
              <w:keepNext w:val="0"/>
              <w:keepLines w:val="0"/>
              <w:widowControl/>
              <w:suppressLineNumbers w:val="0"/>
              <w:jc w:val="both"/>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保安、保洁、志愿者和统筹执行人员等</w:t>
            </w:r>
          </w:p>
        </w:tc>
        <w:tc>
          <w:tcPr>
            <w:tcW w:w="2077"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根据实际需求配备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8773" w:type="dxa"/>
            <w:gridSpan w:val="4"/>
            <w:tcBorders>
              <w:tl2br w:val="nil"/>
              <w:tr2bl w:val="nil"/>
            </w:tcBorders>
            <w:shd w:val="clear" w:color="auto" w:fill="auto"/>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b/>
                <w:bCs/>
                <w:kern w:val="0"/>
                <w:szCs w:val="21"/>
                <w:highlight w:val="none"/>
                <w:lang w:val="en-US" w:eastAsia="zh-CN"/>
              </w:rPr>
              <w:t>六、物料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exact"/>
        </w:trPr>
        <w:tc>
          <w:tcPr>
            <w:tcW w:w="429" w:type="dxa"/>
            <w:tcBorders>
              <w:tl2br w:val="nil"/>
              <w:tr2bl w:val="nil"/>
            </w:tcBorders>
            <w:shd w:val="clear" w:color="auto" w:fill="auto"/>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1</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kern w:val="0"/>
                <w:szCs w:val="21"/>
                <w:highlight w:val="none"/>
                <w:lang w:val="en-US"/>
              </w:rPr>
            </w:pPr>
            <w:r>
              <w:rPr>
                <w:rFonts w:hint="eastAsia" w:ascii="宋体" w:hAnsi="宋体" w:eastAsia="宋体" w:cs="宋体"/>
                <w:i w:val="0"/>
                <w:iCs w:val="0"/>
                <w:color w:val="000000"/>
                <w:kern w:val="0"/>
                <w:sz w:val="20"/>
                <w:szCs w:val="20"/>
                <w:highlight w:val="none"/>
                <w:u w:val="none"/>
                <w:lang w:val="en-US" w:eastAsia="zh-CN" w:bidi="ar"/>
              </w:rPr>
              <w:t>人员证件</w:t>
            </w:r>
          </w:p>
        </w:tc>
        <w:tc>
          <w:tcPr>
            <w:tcW w:w="4521" w:type="dxa"/>
            <w:tcBorders>
              <w:tl2br w:val="nil"/>
              <w:tr2bl w:val="nil"/>
            </w:tcBorders>
            <w:shd w:val="clear" w:color="auto" w:fill="auto"/>
            <w:vAlign w:val="center"/>
          </w:tcPr>
          <w:p>
            <w:pPr>
              <w:widowControl/>
              <w:jc w:val="center"/>
              <w:rPr>
                <w:rFonts w:ascii="宋体" w:hAnsi="宋体" w:eastAsia="宋体" w:cs="宋体"/>
                <w:kern w:val="0"/>
                <w:szCs w:val="21"/>
                <w:highlight w:val="none"/>
              </w:rPr>
            </w:pPr>
          </w:p>
        </w:tc>
        <w:tc>
          <w:tcPr>
            <w:tcW w:w="2077" w:type="dxa"/>
            <w:tcBorders>
              <w:tl2br w:val="nil"/>
              <w:tr2bl w:val="nil"/>
            </w:tcBorders>
            <w:shd w:val="clear" w:color="auto" w:fill="auto"/>
            <w:vAlign w:val="top"/>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不少于500个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429" w:type="dxa"/>
            <w:tcBorders>
              <w:tl2br w:val="nil"/>
              <w:tr2bl w:val="nil"/>
            </w:tcBorders>
            <w:shd w:val="clear" w:color="auto" w:fill="auto"/>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2</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拍照打卡手举牌</w:t>
            </w:r>
          </w:p>
        </w:tc>
        <w:tc>
          <w:tcPr>
            <w:tcW w:w="4521" w:type="dxa"/>
            <w:tcBorders>
              <w:tl2br w:val="nil"/>
              <w:tr2bl w:val="nil"/>
            </w:tcBorders>
            <w:shd w:val="clear" w:color="auto" w:fill="auto"/>
            <w:vAlign w:val="center"/>
          </w:tcPr>
          <w:p>
            <w:pPr>
              <w:widowControl/>
              <w:jc w:val="center"/>
              <w:rPr>
                <w:rFonts w:ascii="宋体" w:hAnsi="宋体" w:eastAsia="宋体" w:cs="宋体"/>
                <w:kern w:val="0"/>
                <w:szCs w:val="21"/>
                <w:highlight w:val="none"/>
              </w:rPr>
            </w:pPr>
          </w:p>
        </w:tc>
        <w:tc>
          <w:tcPr>
            <w:tcW w:w="2077" w:type="dxa"/>
            <w:tcBorders>
              <w:tl2br w:val="nil"/>
              <w:tr2bl w:val="nil"/>
            </w:tcBorders>
            <w:shd w:val="clear" w:color="auto" w:fill="auto"/>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不少于30个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429" w:type="dxa"/>
            <w:tcBorders>
              <w:tl2br w:val="nil"/>
              <w:tr2bl w:val="nil"/>
            </w:tcBorders>
            <w:shd w:val="clear" w:color="auto" w:fill="auto"/>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3</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VIP台签</w:t>
            </w:r>
          </w:p>
        </w:tc>
        <w:tc>
          <w:tcPr>
            <w:tcW w:w="4521" w:type="dxa"/>
            <w:tcBorders>
              <w:tl2br w:val="nil"/>
              <w:tr2bl w:val="nil"/>
            </w:tcBorders>
            <w:shd w:val="clear" w:color="auto" w:fill="auto"/>
            <w:vAlign w:val="center"/>
          </w:tcPr>
          <w:p>
            <w:pPr>
              <w:keepNext w:val="0"/>
              <w:keepLines w:val="0"/>
              <w:widowControl/>
              <w:suppressLineNumbers w:val="0"/>
              <w:jc w:val="center"/>
              <w:textAlignment w:val="center"/>
              <w:rPr>
                <w:rFonts w:ascii="宋体" w:hAnsi="宋体" w:eastAsia="宋体" w:cs="宋体"/>
                <w:kern w:val="0"/>
                <w:szCs w:val="21"/>
                <w:highlight w:val="none"/>
              </w:rPr>
            </w:pPr>
          </w:p>
        </w:tc>
        <w:tc>
          <w:tcPr>
            <w:tcW w:w="2077" w:type="dxa"/>
            <w:tcBorders>
              <w:tl2br w:val="nil"/>
              <w:tr2bl w:val="nil"/>
            </w:tcBorders>
            <w:shd w:val="clear" w:color="auto" w:fill="auto"/>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不少于20个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429" w:type="dxa"/>
            <w:tcBorders>
              <w:tl2br w:val="nil"/>
              <w:tr2bl w:val="nil"/>
            </w:tcBorders>
            <w:shd w:val="clear" w:color="auto" w:fill="auto"/>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4</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手卡</w:t>
            </w:r>
          </w:p>
        </w:tc>
        <w:tc>
          <w:tcPr>
            <w:tcW w:w="4521" w:type="dxa"/>
            <w:tcBorders>
              <w:tl2br w:val="nil"/>
              <w:tr2bl w:val="nil"/>
            </w:tcBorders>
            <w:shd w:val="clear" w:color="auto" w:fill="auto"/>
            <w:vAlign w:val="center"/>
          </w:tcPr>
          <w:p>
            <w:pPr>
              <w:keepNext w:val="0"/>
              <w:keepLines w:val="0"/>
              <w:widowControl/>
              <w:suppressLineNumbers w:val="0"/>
              <w:jc w:val="both"/>
              <w:textAlignment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300g铜版纸  20张</w:t>
            </w:r>
          </w:p>
        </w:tc>
        <w:tc>
          <w:tcPr>
            <w:tcW w:w="2077" w:type="dxa"/>
            <w:tcBorders>
              <w:tl2br w:val="nil"/>
              <w:tr2bl w:val="nil"/>
            </w:tcBorders>
            <w:shd w:val="clear" w:color="auto" w:fill="auto"/>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至少1组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429" w:type="dxa"/>
            <w:tcBorders>
              <w:tl2br w:val="nil"/>
              <w:tr2bl w:val="nil"/>
            </w:tcBorders>
            <w:shd w:val="clear" w:color="auto" w:fill="auto"/>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5</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麦卡</w:t>
            </w:r>
          </w:p>
        </w:tc>
        <w:tc>
          <w:tcPr>
            <w:tcW w:w="4521" w:type="dxa"/>
            <w:tcBorders>
              <w:tl2br w:val="nil"/>
              <w:tr2bl w:val="nil"/>
            </w:tcBorders>
            <w:shd w:val="clear" w:color="auto" w:fill="auto"/>
            <w:vAlign w:val="center"/>
          </w:tcPr>
          <w:p>
            <w:pPr>
              <w:keepNext w:val="0"/>
              <w:keepLines w:val="0"/>
              <w:widowControl/>
              <w:suppressLineNumbers w:val="0"/>
              <w:jc w:val="both"/>
              <w:textAlignment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 xml:space="preserve">亚克力麦卡/黑胶车贴写真  </w:t>
            </w:r>
          </w:p>
        </w:tc>
        <w:tc>
          <w:tcPr>
            <w:tcW w:w="2077" w:type="dxa"/>
            <w:tcBorders>
              <w:tl2br w:val="nil"/>
              <w:tr2bl w:val="nil"/>
            </w:tcBorders>
            <w:shd w:val="clear" w:color="auto" w:fill="auto"/>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不少于4个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429" w:type="dxa"/>
            <w:tcBorders>
              <w:tl2br w:val="nil"/>
              <w:tr2bl w:val="nil"/>
            </w:tcBorders>
            <w:shd w:val="clear" w:color="auto" w:fill="auto"/>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6</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演艺节目单</w:t>
            </w:r>
          </w:p>
        </w:tc>
        <w:tc>
          <w:tcPr>
            <w:tcW w:w="4521" w:type="dxa"/>
            <w:tcBorders>
              <w:tl2br w:val="nil"/>
              <w:tr2bl w:val="nil"/>
            </w:tcBorders>
            <w:shd w:val="clear" w:color="auto" w:fill="auto"/>
            <w:vAlign w:val="center"/>
          </w:tcPr>
          <w:p>
            <w:pPr>
              <w:keepNext w:val="0"/>
              <w:keepLines w:val="0"/>
              <w:widowControl/>
              <w:suppressLineNumbers w:val="0"/>
              <w:jc w:val="both"/>
              <w:textAlignment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270g铜版纸</w:t>
            </w:r>
          </w:p>
        </w:tc>
        <w:tc>
          <w:tcPr>
            <w:tcW w:w="2077" w:type="dxa"/>
            <w:tcBorders>
              <w:tl2br w:val="nil"/>
              <w:tr2bl w:val="nil"/>
            </w:tcBorders>
            <w:shd w:val="clear" w:color="auto" w:fill="auto"/>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不少于50个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429" w:type="dxa"/>
            <w:tcBorders>
              <w:tl2br w:val="nil"/>
              <w:tr2bl w:val="nil"/>
            </w:tcBorders>
            <w:shd w:val="clear" w:color="auto" w:fill="auto"/>
            <w:vAlign w:val="center"/>
          </w:tcPr>
          <w:p>
            <w:pPr>
              <w:widowControl/>
              <w:jc w:val="center"/>
              <w:rPr>
                <w:rFonts w:ascii="宋体" w:hAnsi="宋体" w:eastAsia="宋体" w:cs="宋体"/>
                <w:kern w:val="0"/>
                <w:szCs w:val="21"/>
                <w:highlight w:val="none"/>
              </w:rPr>
            </w:pPr>
            <w:r>
              <w:rPr>
                <w:rFonts w:hint="eastAsia" w:ascii="宋体" w:hAnsi="宋体" w:eastAsia="宋体" w:cs="宋体"/>
                <w:kern w:val="0"/>
                <w:szCs w:val="21"/>
                <w:highlight w:val="none"/>
              </w:rPr>
              <w:t>7</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工作服定制</w:t>
            </w:r>
          </w:p>
        </w:tc>
        <w:tc>
          <w:tcPr>
            <w:tcW w:w="4521" w:type="dxa"/>
            <w:tcBorders>
              <w:tl2br w:val="nil"/>
              <w:tr2bl w:val="nil"/>
            </w:tcBorders>
            <w:shd w:val="clear" w:color="auto" w:fill="auto"/>
            <w:vAlign w:val="center"/>
          </w:tcPr>
          <w:p>
            <w:pPr>
              <w:widowControl/>
              <w:jc w:val="center"/>
              <w:rPr>
                <w:rFonts w:hint="eastAsia" w:ascii="宋体" w:hAnsi="宋体" w:eastAsia="宋体" w:cs="宋体"/>
                <w:kern w:val="0"/>
                <w:szCs w:val="21"/>
                <w:highlight w:val="none"/>
                <w:lang w:val="en-US" w:eastAsia="zh-CN"/>
              </w:rPr>
            </w:pPr>
          </w:p>
        </w:tc>
        <w:tc>
          <w:tcPr>
            <w:tcW w:w="2077" w:type="dxa"/>
            <w:tcBorders>
              <w:tl2br w:val="nil"/>
              <w:tr2bl w:val="nil"/>
            </w:tcBorders>
            <w:shd w:val="clear" w:color="auto" w:fill="auto"/>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不少于60件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8773" w:type="dxa"/>
            <w:gridSpan w:val="4"/>
            <w:tcBorders>
              <w:tl2br w:val="nil"/>
              <w:tr2bl w:val="nil"/>
            </w:tcBorders>
            <w:shd w:val="clear" w:color="auto" w:fill="auto"/>
            <w:vAlign w:val="center"/>
          </w:tcPr>
          <w:p>
            <w:pPr>
              <w:widowControl/>
              <w:jc w:val="center"/>
              <w:rPr>
                <w:rFonts w:hint="default" w:ascii="宋体" w:hAnsi="宋体" w:eastAsia="宋体" w:cs="宋体"/>
                <w:kern w:val="0"/>
                <w:szCs w:val="21"/>
                <w:highlight w:val="none"/>
                <w:lang w:val="en-US" w:eastAsia="zh-CN"/>
              </w:rPr>
            </w:pPr>
            <w:r>
              <w:rPr>
                <w:rFonts w:hint="eastAsia" w:ascii="宋体" w:hAnsi="宋体" w:eastAsia="宋体" w:cs="宋体"/>
                <w:b/>
                <w:bCs/>
                <w:kern w:val="0"/>
                <w:szCs w:val="21"/>
                <w:highlight w:val="none"/>
                <w:lang w:val="en-US" w:eastAsia="zh-CN"/>
              </w:rPr>
              <w:t>七、综合事务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429" w:type="dxa"/>
            <w:tcBorders>
              <w:tl2br w:val="nil"/>
              <w:tr2bl w:val="nil"/>
            </w:tcBorders>
            <w:shd w:val="clear" w:color="auto" w:fill="auto"/>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1</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物品运输</w:t>
            </w:r>
          </w:p>
        </w:tc>
        <w:tc>
          <w:tcPr>
            <w:tcW w:w="4521" w:type="dxa"/>
            <w:tcBorders>
              <w:tl2br w:val="nil"/>
              <w:tr2bl w:val="nil"/>
            </w:tcBorders>
            <w:shd w:val="clear" w:color="auto" w:fill="auto"/>
            <w:vAlign w:val="center"/>
          </w:tcPr>
          <w:p>
            <w:pPr>
              <w:keepNext w:val="0"/>
              <w:keepLines w:val="0"/>
              <w:widowControl/>
              <w:suppressLineNumbers w:val="0"/>
              <w:jc w:val="both"/>
              <w:textAlignment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桁架、特装、桌椅等</w:t>
            </w:r>
          </w:p>
        </w:tc>
        <w:tc>
          <w:tcPr>
            <w:tcW w:w="2077" w:type="dxa"/>
            <w:tcBorders>
              <w:tl2br w:val="nil"/>
              <w:tr2bl w:val="nil"/>
            </w:tcBorders>
            <w:shd w:val="clear" w:color="auto" w:fill="auto"/>
            <w:vAlign w:val="top"/>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429" w:type="dxa"/>
            <w:tcBorders>
              <w:tl2br w:val="nil"/>
              <w:tr2bl w:val="nil"/>
            </w:tcBorders>
            <w:shd w:val="clear" w:color="auto" w:fill="auto"/>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2</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地面养护</w:t>
            </w:r>
          </w:p>
        </w:tc>
        <w:tc>
          <w:tcPr>
            <w:tcW w:w="4521" w:type="dxa"/>
            <w:tcBorders>
              <w:tl2br w:val="nil"/>
              <w:tr2bl w:val="nil"/>
            </w:tcBorders>
            <w:shd w:val="clear" w:color="auto" w:fill="auto"/>
            <w:vAlign w:val="center"/>
          </w:tcPr>
          <w:p>
            <w:pPr>
              <w:keepNext w:val="0"/>
              <w:keepLines w:val="0"/>
              <w:widowControl/>
              <w:suppressLineNumbers w:val="0"/>
              <w:jc w:val="both"/>
              <w:textAlignment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地面地毯铺设及养护</w:t>
            </w:r>
          </w:p>
        </w:tc>
        <w:tc>
          <w:tcPr>
            <w:tcW w:w="2077"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429" w:type="dxa"/>
            <w:tcBorders>
              <w:tl2br w:val="nil"/>
              <w:tr2bl w:val="nil"/>
            </w:tcBorders>
            <w:shd w:val="clear" w:color="auto" w:fill="auto"/>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3</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工作餐</w:t>
            </w:r>
          </w:p>
        </w:tc>
        <w:tc>
          <w:tcPr>
            <w:tcW w:w="4521" w:type="dxa"/>
            <w:tcBorders>
              <w:tl2br w:val="nil"/>
              <w:tr2bl w:val="nil"/>
            </w:tcBorders>
            <w:shd w:val="clear" w:color="auto" w:fill="auto"/>
            <w:vAlign w:val="center"/>
          </w:tcPr>
          <w:p>
            <w:pPr>
              <w:keepNext w:val="0"/>
              <w:keepLines w:val="0"/>
              <w:widowControl/>
              <w:suppressLineNumbers w:val="0"/>
              <w:jc w:val="both"/>
              <w:textAlignment w:val="center"/>
              <w:rPr>
                <w:rFonts w:hint="default" w:ascii="宋体" w:hAnsi="宋体" w:eastAsia="宋体" w:cs="宋体"/>
                <w:i w:val="0"/>
                <w:iCs w:val="0"/>
                <w:color w:val="000000"/>
                <w:kern w:val="2"/>
                <w:sz w:val="20"/>
                <w:szCs w:val="20"/>
                <w:highlight w:val="none"/>
                <w:u w:val="none"/>
                <w:lang w:eastAsia="zh-CN" w:bidi="ar-SA"/>
              </w:rPr>
            </w:pPr>
            <w:r>
              <w:rPr>
                <w:rFonts w:hint="eastAsia" w:ascii="宋体" w:hAnsi="宋体" w:eastAsia="宋体" w:cs="宋体"/>
                <w:i w:val="0"/>
                <w:iCs w:val="0"/>
                <w:color w:val="000000"/>
                <w:kern w:val="2"/>
                <w:sz w:val="20"/>
                <w:szCs w:val="20"/>
                <w:highlight w:val="none"/>
                <w:u w:val="none"/>
                <w:lang w:val="en-US" w:eastAsia="zh-CN" w:bidi="ar-SA"/>
              </w:rPr>
              <w:t>盒饭，100份/</w:t>
            </w:r>
            <w:r>
              <w:rPr>
                <w:rFonts w:hint="default" w:ascii="宋体" w:hAnsi="宋体" w:eastAsia="宋体" w:cs="宋体"/>
                <w:i w:val="0"/>
                <w:iCs w:val="0"/>
                <w:color w:val="000000"/>
                <w:kern w:val="2"/>
                <w:sz w:val="20"/>
                <w:szCs w:val="20"/>
                <w:highlight w:val="none"/>
                <w:u w:val="none"/>
                <w:lang w:eastAsia="zh-CN" w:bidi="ar-SA"/>
              </w:rPr>
              <w:t>餐</w:t>
            </w:r>
          </w:p>
        </w:tc>
        <w:tc>
          <w:tcPr>
            <w:tcW w:w="2077" w:type="dxa"/>
            <w:tcBorders>
              <w:tl2br w:val="nil"/>
              <w:tr2bl w:val="nil"/>
            </w:tcBorders>
            <w:shd w:val="clear" w:color="auto" w:fill="auto"/>
            <w:vAlign w:val="top"/>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eastAsia="zh-CN" w:bidi="ar"/>
              </w:rPr>
            </w:pPr>
            <w:r>
              <w:rPr>
                <w:rFonts w:hint="eastAsia" w:ascii="宋体" w:hAnsi="宋体" w:eastAsia="宋体" w:cs="宋体"/>
                <w:i w:val="0"/>
                <w:iCs w:val="0"/>
                <w:color w:val="000000"/>
                <w:kern w:val="0"/>
                <w:sz w:val="20"/>
                <w:szCs w:val="20"/>
                <w:highlight w:val="none"/>
                <w:u w:val="none"/>
                <w:lang w:val="en-US" w:eastAsia="zh-CN" w:bidi="ar"/>
              </w:rPr>
              <w:t>5</w:t>
            </w:r>
            <w:r>
              <w:rPr>
                <w:rFonts w:hint="default" w:ascii="宋体" w:hAnsi="宋体" w:eastAsia="宋体" w:cs="宋体"/>
                <w:i w:val="0"/>
                <w:iCs w:val="0"/>
                <w:color w:val="000000"/>
                <w:kern w:val="0"/>
                <w:sz w:val="20"/>
                <w:szCs w:val="20"/>
                <w:highlight w:val="none"/>
                <w:u w:val="none"/>
                <w:lang w:eastAsia="zh-CN" w:bidi="ar"/>
              </w:rPr>
              <w:t>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trPr>
        <w:tc>
          <w:tcPr>
            <w:tcW w:w="429" w:type="dxa"/>
            <w:tcBorders>
              <w:tl2br w:val="nil"/>
              <w:tr2bl w:val="nil"/>
            </w:tcBorders>
            <w:shd w:val="clear" w:color="auto" w:fill="auto"/>
            <w:vAlign w:val="center"/>
          </w:tcPr>
          <w:p>
            <w:pPr>
              <w:widowControl/>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4</w:t>
            </w:r>
          </w:p>
        </w:tc>
        <w:tc>
          <w:tcPr>
            <w:tcW w:w="1746" w:type="dxa"/>
            <w:tcBorders>
              <w:tl2br w:val="nil"/>
              <w:tr2bl w:val="nil"/>
            </w:tcBorders>
            <w:shd w:val="clear" w:color="auto" w:fill="auto"/>
            <w:vAlign w:val="center"/>
          </w:tcPr>
          <w:p>
            <w:pPr>
              <w:keepNext w:val="0"/>
              <w:keepLines w:val="0"/>
              <w:widowControl/>
              <w:suppressLineNumbers w:val="0"/>
              <w:jc w:val="center"/>
              <w:textAlignment w:val="center"/>
              <w:rPr>
                <w:rFonts w:ascii="宋体" w:hAnsi="宋体" w:eastAsia="宋体" w:cs="宋体"/>
                <w:kern w:val="0"/>
                <w:szCs w:val="21"/>
                <w:highlight w:val="none"/>
              </w:rPr>
            </w:pPr>
            <w:r>
              <w:rPr>
                <w:rFonts w:hint="eastAsia" w:ascii="宋体" w:hAnsi="宋体" w:eastAsia="宋体" w:cs="宋体"/>
                <w:i w:val="0"/>
                <w:iCs w:val="0"/>
                <w:color w:val="000000"/>
                <w:kern w:val="0"/>
                <w:sz w:val="20"/>
                <w:szCs w:val="20"/>
                <w:highlight w:val="none"/>
                <w:u w:val="none"/>
                <w:lang w:val="en-US" w:eastAsia="zh-CN" w:bidi="ar"/>
              </w:rPr>
              <w:t>网络</w:t>
            </w:r>
          </w:p>
        </w:tc>
        <w:tc>
          <w:tcPr>
            <w:tcW w:w="4521" w:type="dxa"/>
            <w:tcBorders>
              <w:tl2br w:val="nil"/>
              <w:tr2bl w:val="nil"/>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kern w:val="2"/>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bidi="ar"/>
              </w:rPr>
              <w:t>电信/联通</w:t>
            </w:r>
          </w:p>
        </w:tc>
        <w:tc>
          <w:tcPr>
            <w:tcW w:w="2077" w:type="dxa"/>
            <w:tcBorders>
              <w:tl2br w:val="nil"/>
              <w:tr2bl w:val="nil"/>
            </w:tcBorders>
            <w:shd w:val="clear" w:color="auto" w:fill="auto"/>
            <w:vAlign w:val="top"/>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1项</w:t>
            </w:r>
          </w:p>
        </w:tc>
      </w:tr>
    </w:tbl>
    <w:p>
      <w:pPr>
        <w:rPr>
          <w:rFonts w:hint="eastAsia" w:asciiTheme="minorEastAsia" w:hAnsiTheme="minorEastAsia"/>
          <w:sz w:val="32"/>
          <w:highlight w:val="none"/>
        </w:rPr>
      </w:pPr>
      <w:r>
        <w:rPr>
          <w:rFonts w:hint="eastAsia" w:asciiTheme="minorEastAsia" w:hAnsiTheme="minorEastAsia"/>
          <w:sz w:val="32"/>
          <w:highlight w:val="none"/>
        </w:rPr>
        <w:br w:type="page"/>
      </w:r>
    </w:p>
    <w:p>
      <w:pPr>
        <w:pStyle w:val="8"/>
        <w:spacing w:before="0" w:after="0"/>
        <w:jc w:val="center"/>
        <w:rPr>
          <w:rFonts w:asciiTheme="minorEastAsia" w:hAnsiTheme="minorEastAsia"/>
          <w:sz w:val="32"/>
          <w:highlight w:val="none"/>
        </w:rPr>
      </w:pPr>
      <w:bookmarkStart w:id="72" w:name="_Toc30292"/>
      <w:r>
        <w:rPr>
          <w:rFonts w:hint="eastAsia" w:asciiTheme="minorEastAsia" w:hAnsiTheme="minorEastAsia"/>
          <w:sz w:val="32"/>
          <w:highlight w:val="none"/>
        </w:rPr>
        <w:t>郑州市政府采购合同融资政策告知函</w:t>
      </w:r>
      <w:bookmarkEnd w:id="72"/>
    </w:p>
    <w:p>
      <w:pPr>
        <w:rPr>
          <w:highlight w:val="none"/>
        </w:rPr>
      </w:pPr>
    </w:p>
    <w:p>
      <w:pPr>
        <w:rPr>
          <w:highlight w:val="none"/>
        </w:rPr>
      </w:pPr>
    </w:p>
    <w:p>
      <w:pPr>
        <w:spacing w:line="360" w:lineRule="auto"/>
        <w:rPr>
          <w:sz w:val="24"/>
          <w:szCs w:val="24"/>
          <w:highlight w:val="none"/>
        </w:rPr>
      </w:pPr>
      <w:r>
        <w:rPr>
          <w:rFonts w:hint="eastAsia"/>
          <w:sz w:val="24"/>
          <w:szCs w:val="24"/>
          <w:highlight w:val="none"/>
        </w:rPr>
        <w:t>各供应商：</w:t>
      </w:r>
    </w:p>
    <w:p>
      <w:pPr>
        <w:spacing w:line="360" w:lineRule="auto"/>
        <w:ind w:firstLine="480" w:firstLineChars="200"/>
        <w:rPr>
          <w:sz w:val="24"/>
          <w:szCs w:val="24"/>
          <w:highlight w:val="none"/>
        </w:rPr>
      </w:pPr>
      <w:r>
        <w:rPr>
          <w:rFonts w:hint="eastAsia"/>
          <w:sz w:val="24"/>
          <w:szCs w:val="24"/>
          <w:highlight w:val="none"/>
        </w:rPr>
        <w:t>欢迎贵公司参与郑州市政府采购活动！</w:t>
      </w:r>
    </w:p>
    <w:p>
      <w:pPr>
        <w:spacing w:line="360" w:lineRule="auto"/>
        <w:ind w:firstLine="480" w:firstLineChars="200"/>
        <w:rPr>
          <w:sz w:val="24"/>
          <w:szCs w:val="24"/>
          <w:highlight w:val="none"/>
        </w:rPr>
      </w:pPr>
      <w:r>
        <w:rPr>
          <w:rFonts w:hint="eastAsia"/>
          <w:sz w:val="24"/>
          <w:szCs w:val="24"/>
          <w:highlight w:val="none"/>
        </w:rPr>
        <w:t>政府采购合同融资是郑州市财政局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 〔2017〕10 号）和《郑州市财政局关于加强和推进政府采购合同融资工作的通知》（郑财购 〔201</w:t>
      </w:r>
      <w:r>
        <w:rPr>
          <w:sz w:val="24"/>
          <w:szCs w:val="24"/>
          <w:highlight w:val="none"/>
        </w:rPr>
        <w:t>8</w:t>
      </w:r>
      <w:r>
        <w:rPr>
          <w:rFonts w:hint="eastAsia"/>
          <w:sz w:val="24"/>
          <w:szCs w:val="24"/>
          <w:highlight w:val="none"/>
        </w:rPr>
        <w:t>〕</w:t>
      </w:r>
      <w:r>
        <w:rPr>
          <w:sz w:val="24"/>
          <w:szCs w:val="24"/>
          <w:highlight w:val="none"/>
        </w:rPr>
        <w:t>4</w:t>
      </w:r>
      <w:r>
        <w:rPr>
          <w:rFonts w:hint="eastAsia"/>
          <w:sz w:val="24"/>
          <w:szCs w:val="24"/>
          <w:highlight w:val="none"/>
        </w:rPr>
        <w:t>号），按照双方自愿的原则提供便捷、优惠的贷款服务。贷款渠道和提供贷款的金融机构，可在郑州市政府采购网 “郑州市政府采购合同融资入口”查询联系。</w:t>
      </w:r>
    </w:p>
    <w:p>
      <w:pPr>
        <w:spacing w:line="360" w:lineRule="auto"/>
        <w:rPr>
          <w:sz w:val="24"/>
          <w:szCs w:val="24"/>
          <w:highlight w:val="none"/>
        </w:rPr>
      </w:pPr>
    </w:p>
    <w:p>
      <w:pPr>
        <w:spacing w:line="360" w:lineRule="auto"/>
        <w:rPr>
          <w:sz w:val="24"/>
          <w:szCs w:val="24"/>
          <w:highlight w:val="none"/>
        </w:rPr>
      </w:pPr>
    </w:p>
    <w:p>
      <w:pPr>
        <w:spacing w:line="360" w:lineRule="auto"/>
        <w:rPr>
          <w:sz w:val="24"/>
          <w:szCs w:val="24"/>
          <w:highlight w:val="none"/>
        </w:rPr>
      </w:pPr>
    </w:p>
    <w:sectPr>
      <w:headerReference r:id="rId4" w:type="first"/>
      <w:footerReference r:id="rId6" w:type="first"/>
      <w:headerReference r:id="rId3" w:type="default"/>
      <w:footerReference r:id="rId5" w:type="default"/>
      <w:pgSz w:w="11906" w:h="16838"/>
      <w:pgMar w:top="1440" w:right="1800" w:bottom="1440" w:left="1800" w:header="851" w:footer="992" w:gutter="0"/>
      <w:pgBorders>
        <w:top w:val="none" w:sz="0" w:space="0"/>
        <w:left w:val="none" w:sz="0" w:space="0"/>
        <w:bottom w:val="none" w:sz="0" w:space="0"/>
        <w:right w:val="none" w:sz="0" w:space="0"/>
      </w:pgBorders>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F"/>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top w:val="thinThickSmallGap" w:color="622423" w:themeColor="accent2" w:themeShade="7F" w:sz="24" w:space="1"/>
      </w:pBdr>
      <w:rPr>
        <w:rFonts w:asciiTheme="majorHAnsi" w:hAnsiTheme="majorHAnsi" w:eastAsiaTheme="majorEastAsia" w:cstheme="majorBidi"/>
      </w:rPr>
    </w:pPr>
    <w:r>
      <w:rPr>
        <w:rFonts w:hint="eastAsia" w:asciiTheme="majorHAnsi" w:hAnsiTheme="majorHAnsi" w:eastAsiaTheme="majorEastAsia" w:cstheme="majorBidi"/>
        <w:b/>
      </w:rPr>
      <w:t>河南省伟信招标管理咨询有限公司</w:t>
    </w:r>
    <w:r>
      <w:rPr>
        <w:rFonts w:asciiTheme="majorHAnsi" w:hAnsiTheme="majorHAnsi" w:eastAsiaTheme="majorEastAsia" w:cstheme="majorBidi"/>
      </w:rPr>
      <w:ptab w:relativeTo="margin" w:alignment="right" w:leader="none"/>
    </w:r>
    <w:r>
      <w:fldChar w:fldCharType="begin"/>
    </w:r>
    <w:r>
      <w:instrText xml:space="preserve">PAGE   \* MERGEFORMAT</w:instrText>
    </w:r>
    <w:r>
      <w:fldChar w:fldCharType="separate"/>
    </w:r>
    <w:r>
      <w:rPr>
        <w:rFonts w:asciiTheme="majorHAnsi" w:hAnsiTheme="majorHAnsi" w:eastAsiaTheme="majorEastAsia" w:cstheme="majorBidi"/>
        <w:lang w:val="zh-CN"/>
      </w:rPr>
      <w:t>4</w:t>
    </w:r>
    <w:r>
      <w:rPr>
        <w:rFonts w:asciiTheme="majorHAnsi" w:hAnsiTheme="majorHAnsi" w:eastAsiaTheme="majorEastAsia" w:cstheme="majorBidi"/>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23087538"/>
    </w:sdtPr>
    <w:sdtContent>
      <w:p>
        <w:pPr>
          <w:pStyle w:val="21"/>
          <w:jc w:val="right"/>
        </w:pPr>
        <w:r>
          <w:fldChar w:fldCharType="begin"/>
        </w:r>
        <w:r>
          <w:instrText xml:space="preserve">PAGE   \* MERGEFORMAT</w:instrText>
        </w:r>
        <w:r>
          <w:fldChar w:fldCharType="separate"/>
        </w:r>
        <w:r>
          <w:rPr>
            <w:lang w:val="zh-CN"/>
          </w:rPr>
          <w:t>1</w:t>
        </w:r>
        <w:r>
          <w:rPr>
            <w:lang w:val="zh-CN"/>
          </w:rPr>
          <w:fldChar w:fldCharType="end"/>
        </w:r>
      </w:p>
    </w:sdtContent>
  </w:sdt>
  <w:p>
    <w:pPr>
      <w:pStyle w:val="21"/>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thickThinSmallGap" w:color="622423" w:themeColor="accent2" w:themeShade="7F" w:sz="24" w:space="1"/>
      </w:pBdr>
      <w:jc w:val="left"/>
      <w:rPr>
        <w:rFonts w:asciiTheme="majorHAnsi" w:hAnsiTheme="majorHAnsi" w:eastAsiaTheme="majorEastAsia" w:cstheme="majorBidi"/>
        <w:bCs/>
        <w:sz w:val="21"/>
        <w:szCs w:val="32"/>
      </w:rPr>
    </w:pPr>
    <w:r>
      <w:rPr>
        <w:rFonts w:hint="eastAsia" w:ascii="宋体" w:hAnsi="宋体" w:cs="宋体"/>
        <w:bCs/>
        <w:kern w:val="0"/>
        <w:szCs w:val="24"/>
        <w:lang w:val="zh-CN"/>
      </w:rPr>
      <w:t>郑州市文化广电和旅游局2023年中国图书馆年会项目</w:t>
    </w:r>
    <w:sdt>
      <w:sdtPr>
        <w:rPr>
          <w:rFonts w:asciiTheme="majorHAnsi" w:hAnsiTheme="majorHAnsi" w:eastAsiaTheme="majorEastAsia" w:cstheme="majorBidi"/>
          <w:bCs/>
          <w:szCs w:val="24"/>
        </w:rPr>
        <w:alias w:val="标题"/>
        <w:id w:val="77738743"/>
        <w:placeholder>
          <w:docPart w:val="D701315EDB774114B29368D51E9A69F1"/>
        </w:placeholder>
        <w:text/>
      </w:sdtPr>
      <w:sdtEndPr>
        <w:rPr>
          <w:rFonts w:asciiTheme="majorHAnsi" w:hAnsiTheme="majorHAnsi" w:eastAsiaTheme="majorEastAsia" w:cstheme="majorBidi"/>
          <w:bCs/>
          <w:sz w:val="21"/>
          <w:szCs w:val="32"/>
        </w:rPr>
      </w:sdtEndPr>
      <w:sdtContent>
        <w:r>
          <w:rPr>
            <w:rFonts w:hint="eastAsia" w:asciiTheme="majorHAnsi" w:hAnsiTheme="majorHAnsi" w:eastAsiaTheme="majorEastAsia" w:cstheme="majorBidi"/>
            <w:bCs/>
            <w:szCs w:val="24"/>
          </w:rPr>
          <w:t xml:space="preserve"> </w:t>
        </w:r>
        <w:r>
          <w:rPr>
            <w:rFonts w:hint="eastAsia" w:asciiTheme="majorHAnsi" w:hAnsiTheme="majorHAnsi" w:eastAsiaTheme="majorEastAsia" w:cstheme="majorBidi"/>
            <w:bCs/>
            <w:szCs w:val="24"/>
            <w:lang w:val="en-US" w:eastAsia="zh-CN"/>
          </w:rPr>
          <w:t>B包</w:t>
        </w:r>
        <w:r>
          <w:rPr>
            <w:rFonts w:hint="eastAsia" w:asciiTheme="majorHAnsi" w:hAnsiTheme="majorHAnsi" w:eastAsiaTheme="majorEastAsia" w:cstheme="majorBidi"/>
            <w:bCs/>
            <w:szCs w:val="24"/>
          </w:rPr>
          <w:t xml:space="preserve">                     招标文件</w:t>
        </w:r>
      </w:sdtContent>
    </w:sdt>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thickThinSmallGap" w:color="622423" w:themeColor="accent2" w:themeShade="7F" w:sz="24" w:space="1"/>
      </w:pBdr>
      <w:jc w:val="left"/>
      <w:rPr>
        <w:rFonts w:asciiTheme="majorHAnsi" w:hAnsiTheme="majorHAnsi" w:eastAsiaTheme="majorEastAsia" w:cstheme="majorBidi"/>
        <w:b/>
        <w:sz w:val="21"/>
        <w:szCs w:val="32"/>
      </w:rPr>
    </w:pPr>
    <w:r>
      <w:rPr>
        <w:rFonts w:hint="eastAsia" w:ascii="宋体" w:hAnsi="宋体" w:cs="宋体"/>
        <w:bCs/>
        <w:kern w:val="0"/>
        <w:szCs w:val="24"/>
        <w:lang w:val="zh-CN"/>
      </w:rPr>
      <w:t>郑州市文化广电和旅游局2023年中国图书馆年会项目</w:t>
    </w:r>
    <w:r>
      <w:rPr>
        <w:rFonts w:hint="eastAsia" w:ascii="宋体" w:hAnsi="宋体" w:cs="宋体"/>
        <w:bCs/>
        <w:kern w:val="0"/>
        <w:szCs w:val="24"/>
        <w:lang w:val="en-US" w:eastAsia="zh-CN"/>
      </w:rPr>
      <w:t>B包</w:t>
    </w:r>
    <w:r>
      <w:rPr>
        <w:rFonts w:hint="eastAsia" w:ascii="宋体" w:hAnsi="宋体" w:cs="宋体"/>
        <w:b/>
        <w:kern w:val="0"/>
        <w:szCs w:val="24"/>
        <w:lang w:val="zh-CN"/>
      </w:rPr>
      <w:t xml:space="preserve">          </w:t>
    </w:r>
    <w:r>
      <w:rPr>
        <w:rFonts w:hint="eastAsia" w:ascii="宋体" w:hAnsi="宋体" w:cs="宋体"/>
        <w:bCs/>
        <w:kern w:val="0"/>
        <w:szCs w:val="24"/>
        <w:lang w:val="zh-CN"/>
      </w:rPr>
      <w:t xml:space="preserve"> </w:t>
    </w:r>
    <w:sdt>
      <w:sdtPr>
        <w:rPr>
          <w:rFonts w:asciiTheme="majorHAnsi" w:hAnsiTheme="majorHAnsi" w:eastAsiaTheme="majorEastAsia" w:cstheme="majorBidi"/>
          <w:bCs/>
          <w:szCs w:val="24"/>
        </w:rPr>
        <w:alias w:val="标题"/>
        <w:id w:val="983586745"/>
        <w:placeholder>
          <w:docPart w:val="283FE5D022FC4D64A25C7565F95BF63E"/>
        </w:placeholder>
        <w:text/>
      </w:sdtPr>
      <w:sdtEndPr>
        <w:rPr>
          <w:rFonts w:asciiTheme="majorHAnsi" w:hAnsiTheme="majorHAnsi" w:eastAsiaTheme="majorEastAsia" w:cstheme="majorBidi"/>
          <w:b/>
          <w:bCs/>
          <w:sz w:val="21"/>
          <w:szCs w:val="32"/>
        </w:rPr>
      </w:sdtEndPr>
      <w:sdtContent>
        <w:r>
          <w:rPr>
            <w:rFonts w:hint="eastAsia" w:asciiTheme="majorHAnsi" w:hAnsiTheme="majorHAnsi" w:eastAsiaTheme="majorEastAsia" w:cstheme="majorBidi"/>
            <w:bCs/>
            <w:szCs w:val="24"/>
          </w:rPr>
          <w:t xml:space="preserve">          招标文件</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0097B6"/>
    <w:multiLevelType w:val="singleLevel"/>
    <w:tmpl w:val="980097B6"/>
    <w:lvl w:ilvl="0" w:tentative="0">
      <w:start w:val="1"/>
      <w:numFmt w:val="decimal"/>
      <w:lvlText w:val="(%1)"/>
      <w:lvlJc w:val="left"/>
      <w:pPr>
        <w:ind w:left="845" w:hanging="425"/>
      </w:pPr>
      <w:rPr>
        <w:rFonts w:hint="default"/>
      </w:rPr>
    </w:lvl>
  </w:abstractNum>
  <w:abstractNum w:abstractNumId="1">
    <w:nsid w:val="D5084587"/>
    <w:multiLevelType w:val="singleLevel"/>
    <w:tmpl w:val="D5084587"/>
    <w:lvl w:ilvl="0" w:tentative="0">
      <w:start w:val="2"/>
      <w:numFmt w:val="decimal"/>
      <w:lvlText w:val="%1."/>
      <w:lvlJc w:val="left"/>
      <w:pPr>
        <w:tabs>
          <w:tab w:val="left" w:pos="312"/>
        </w:tabs>
      </w:pPr>
    </w:lvl>
  </w:abstractNum>
  <w:abstractNum w:abstractNumId="2">
    <w:nsid w:val="E38344E7"/>
    <w:multiLevelType w:val="singleLevel"/>
    <w:tmpl w:val="E38344E7"/>
    <w:lvl w:ilvl="0" w:tentative="0">
      <w:start w:val="1"/>
      <w:numFmt w:val="decimal"/>
      <w:lvlText w:val="(%1)"/>
      <w:lvlJc w:val="left"/>
      <w:pPr>
        <w:ind w:left="425" w:hanging="425"/>
      </w:pPr>
      <w:rPr>
        <w:rFonts w:hint="default"/>
      </w:rPr>
    </w:lvl>
  </w:abstractNum>
  <w:abstractNum w:abstractNumId="3">
    <w:nsid w:val="E3DFC5DD"/>
    <w:multiLevelType w:val="singleLevel"/>
    <w:tmpl w:val="E3DFC5DD"/>
    <w:lvl w:ilvl="0" w:tentative="0">
      <w:start w:val="1"/>
      <w:numFmt w:val="lowerLetter"/>
      <w:lvlText w:val="%1."/>
      <w:lvlJc w:val="left"/>
      <w:pPr>
        <w:ind w:left="425" w:hanging="425"/>
      </w:pPr>
      <w:rPr>
        <w:rFonts w:hint="default"/>
      </w:rPr>
    </w:lvl>
  </w:abstractNum>
  <w:abstractNum w:abstractNumId="4">
    <w:nsid w:val="ECBE0C86"/>
    <w:multiLevelType w:val="singleLevel"/>
    <w:tmpl w:val="ECBE0C86"/>
    <w:lvl w:ilvl="0" w:tentative="0">
      <w:start w:val="1"/>
      <w:numFmt w:val="chineseCounting"/>
      <w:suff w:val="nothing"/>
      <w:lvlText w:val="%1、"/>
      <w:lvlJc w:val="left"/>
      <w:rPr>
        <w:rFonts w:hint="eastAsia"/>
      </w:rPr>
    </w:lvl>
  </w:abstractNum>
  <w:abstractNum w:abstractNumId="5">
    <w:nsid w:val="FFCDA79F"/>
    <w:multiLevelType w:val="singleLevel"/>
    <w:tmpl w:val="FFCDA79F"/>
    <w:lvl w:ilvl="0" w:tentative="0">
      <w:start w:val="1"/>
      <w:numFmt w:val="lowerLetter"/>
      <w:lvlText w:val="%1."/>
      <w:lvlJc w:val="left"/>
      <w:pPr>
        <w:ind w:left="425" w:hanging="425"/>
      </w:pPr>
      <w:rPr>
        <w:rFonts w:hint="default"/>
      </w:rPr>
    </w:lvl>
  </w:abstractNum>
  <w:abstractNum w:abstractNumId="6">
    <w:nsid w:val="066B1370"/>
    <w:multiLevelType w:val="singleLevel"/>
    <w:tmpl w:val="066B1370"/>
    <w:lvl w:ilvl="0" w:tentative="0">
      <w:start w:val="2"/>
      <w:numFmt w:val="decimal"/>
      <w:suff w:val="nothing"/>
      <w:lvlText w:val="%1．"/>
      <w:lvlJc w:val="left"/>
    </w:lvl>
  </w:abstractNum>
  <w:abstractNum w:abstractNumId="7">
    <w:nsid w:val="14078F45"/>
    <w:multiLevelType w:val="singleLevel"/>
    <w:tmpl w:val="14078F45"/>
    <w:lvl w:ilvl="0" w:tentative="0">
      <w:start w:val="1"/>
      <w:numFmt w:val="decimal"/>
      <w:lvlText w:val="%1."/>
      <w:lvlJc w:val="left"/>
      <w:pPr>
        <w:ind w:left="425" w:hanging="425"/>
      </w:pPr>
      <w:rPr>
        <w:rFonts w:hint="default"/>
      </w:rPr>
    </w:lvl>
  </w:abstractNum>
  <w:abstractNum w:abstractNumId="8">
    <w:nsid w:val="2261C7F1"/>
    <w:multiLevelType w:val="singleLevel"/>
    <w:tmpl w:val="2261C7F1"/>
    <w:lvl w:ilvl="0" w:tentative="0">
      <w:start w:val="5"/>
      <w:numFmt w:val="decimal"/>
      <w:lvlText w:val="%1."/>
      <w:lvlJc w:val="left"/>
      <w:pPr>
        <w:tabs>
          <w:tab w:val="left" w:pos="312"/>
        </w:tabs>
        <w:ind w:left="-480"/>
      </w:pPr>
    </w:lvl>
  </w:abstractNum>
  <w:abstractNum w:abstractNumId="9">
    <w:nsid w:val="2FF1719A"/>
    <w:multiLevelType w:val="singleLevel"/>
    <w:tmpl w:val="2FF1719A"/>
    <w:lvl w:ilvl="0" w:tentative="0">
      <w:start w:val="1"/>
      <w:numFmt w:val="chineseCounting"/>
      <w:suff w:val="nothing"/>
      <w:lvlText w:val="%1、"/>
      <w:lvlJc w:val="left"/>
      <w:rPr>
        <w:rFonts w:hint="eastAsia"/>
      </w:rPr>
    </w:lvl>
  </w:abstractNum>
  <w:abstractNum w:abstractNumId="10">
    <w:nsid w:val="33CD9D08"/>
    <w:multiLevelType w:val="singleLevel"/>
    <w:tmpl w:val="33CD9D08"/>
    <w:lvl w:ilvl="0" w:tentative="0">
      <w:start w:val="1"/>
      <w:numFmt w:val="decimal"/>
      <w:lvlText w:val="%1)"/>
      <w:lvlJc w:val="left"/>
      <w:pPr>
        <w:ind w:left="1265" w:hanging="425"/>
      </w:pPr>
      <w:rPr>
        <w:rFonts w:hint="default"/>
      </w:rPr>
    </w:lvl>
  </w:abstractNum>
  <w:abstractNum w:abstractNumId="11">
    <w:nsid w:val="3A8AE46E"/>
    <w:multiLevelType w:val="singleLevel"/>
    <w:tmpl w:val="3A8AE46E"/>
    <w:lvl w:ilvl="0" w:tentative="0">
      <w:start w:val="1"/>
      <w:numFmt w:val="chineseCounting"/>
      <w:suff w:val="nothing"/>
      <w:lvlText w:val="%1、"/>
      <w:lvlJc w:val="left"/>
      <w:rPr>
        <w:rFonts w:hint="eastAsia"/>
      </w:rPr>
    </w:lvl>
  </w:abstractNum>
  <w:abstractNum w:abstractNumId="12">
    <w:nsid w:val="477828F5"/>
    <w:multiLevelType w:val="singleLevel"/>
    <w:tmpl w:val="477828F5"/>
    <w:lvl w:ilvl="0" w:tentative="0">
      <w:start w:val="7"/>
      <w:numFmt w:val="chineseCounting"/>
      <w:suff w:val="nothing"/>
      <w:lvlText w:val="%1、"/>
      <w:lvlJc w:val="left"/>
      <w:rPr>
        <w:rFonts w:hint="eastAsia"/>
      </w:rPr>
    </w:lvl>
  </w:abstractNum>
  <w:abstractNum w:abstractNumId="13">
    <w:nsid w:val="67AD2F18"/>
    <w:multiLevelType w:val="multilevel"/>
    <w:tmpl w:val="67AD2F18"/>
    <w:lvl w:ilvl="0" w:tentative="0">
      <w:start w:val="1"/>
      <w:numFmt w:val="japaneseCounting"/>
      <w:lvlText w:val="第%1章"/>
      <w:lvlJc w:val="left"/>
      <w:pPr>
        <w:ind w:left="1120" w:hanging="11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3"/>
  </w:num>
  <w:num w:numId="2">
    <w:abstractNumId w:val="8"/>
  </w:num>
  <w:num w:numId="3">
    <w:abstractNumId w:val="12"/>
  </w:num>
  <w:num w:numId="4">
    <w:abstractNumId w:val="2"/>
  </w:num>
  <w:num w:numId="5">
    <w:abstractNumId w:val="11"/>
  </w:num>
  <w:num w:numId="6">
    <w:abstractNumId w:val="5"/>
  </w:num>
  <w:num w:numId="7">
    <w:abstractNumId w:val="3"/>
  </w:num>
  <w:num w:numId="8">
    <w:abstractNumId w:val="0"/>
  </w:num>
  <w:num w:numId="9">
    <w:abstractNumId w:val="1"/>
  </w:num>
  <w:num w:numId="10">
    <w:abstractNumId w:val="6"/>
  </w:num>
  <w:num w:numId="11">
    <w:abstractNumId w:val="10"/>
  </w:num>
  <w:num w:numId="12">
    <w:abstractNumId w:val="9"/>
  </w:num>
  <w:num w:numId="13">
    <w:abstractNumId w:val="4"/>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trackRevisions w:val="1"/>
  <w:documentProtection w:edit="trackedChanges" w:enforcement="1" w:cryptProviderType="rsaFull" w:cryptAlgorithmClass="hash" w:cryptAlgorithmType="typeAny" w:cryptAlgorithmSid="4" w:cryptSpinCount="0" w:hash="+IB4PiSkkROTIhnP4NrYZPfAMaY=" w:salt="LCqpLSVGD7RDWR61LXAiQA=="/>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E2ZmI2NWM2ZmQ2Y2VmYzQyMjdkMThkMGIxMDg1YjkifQ=="/>
  </w:docVars>
  <w:rsids>
    <w:rsidRoot w:val="0081599F"/>
    <w:rsid w:val="00001C72"/>
    <w:rsid w:val="00001F74"/>
    <w:rsid w:val="00002044"/>
    <w:rsid w:val="00006418"/>
    <w:rsid w:val="00007B73"/>
    <w:rsid w:val="00011F18"/>
    <w:rsid w:val="00013846"/>
    <w:rsid w:val="00014AFE"/>
    <w:rsid w:val="000151A2"/>
    <w:rsid w:val="000214E8"/>
    <w:rsid w:val="000216CB"/>
    <w:rsid w:val="000222C1"/>
    <w:rsid w:val="00023EC0"/>
    <w:rsid w:val="000248F6"/>
    <w:rsid w:val="00024D78"/>
    <w:rsid w:val="00026743"/>
    <w:rsid w:val="000349AF"/>
    <w:rsid w:val="00037E89"/>
    <w:rsid w:val="00040263"/>
    <w:rsid w:val="0004043C"/>
    <w:rsid w:val="00040986"/>
    <w:rsid w:val="0004148C"/>
    <w:rsid w:val="00043352"/>
    <w:rsid w:val="00044CE9"/>
    <w:rsid w:val="00047B0D"/>
    <w:rsid w:val="00052EC4"/>
    <w:rsid w:val="000548D4"/>
    <w:rsid w:val="00054CD2"/>
    <w:rsid w:val="00056124"/>
    <w:rsid w:val="00060F1F"/>
    <w:rsid w:val="00062D24"/>
    <w:rsid w:val="00065873"/>
    <w:rsid w:val="00066C87"/>
    <w:rsid w:val="00067034"/>
    <w:rsid w:val="00067C64"/>
    <w:rsid w:val="00074631"/>
    <w:rsid w:val="000807FB"/>
    <w:rsid w:val="000831BE"/>
    <w:rsid w:val="00084A9D"/>
    <w:rsid w:val="00084C50"/>
    <w:rsid w:val="0008518B"/>
    <w:rsid w:val="00085945"/>
    <w:rsid w:val="00085CDA"/>
    <w:rsid w:val="0008668D"/>
    <w:rsid w:val="0009113D"/>
    <w:rsid w:val="00091B76"/>
    <w:rsid w:val="00091DA6"/>
    <w:rsid w:val="00092247"/>
    <w:rsid w:val="00092902"/>
    <w:rsid w:val="000952D0"/>
    <w:rsid w:val="000A0469"/>
    <w:rsid w:val="000A2ACE"/>
    <w:rsid w:val="000A2BC6"/>
    <w:rsid w:val="000A37D6"/>
    <w:rsid w:val="000A5CE7"/>
    <w:rsid w:val="000A67C1"/>
    <w:rsid w:val="000B46DD"/>
    <w:rsid w:val="000B54CB"/>
    <w:rsid w:val="000B630C"/>
    <w:rsid w:val="000B655F"/>
    <w:rsid w:val="000B6D63"/>
    <w:rsid w:val="000C1569"/>
    <w:rsid w:val="000C3B6F"/>
    <w:rsid w:val="000C3CF5"/>
    <w:rsid w:val="000C5150"/>
    <w:rsid w:val="000C604F"/>
    <w:rsid w:val="000C6524"/>
    <w:rsid w:val="000D206B"/>
    <w:rsid w:val="000D3AFF"/>
    <w:rsid w:val="000D5D6C"/>
    <w:rsid w:val="000D7032"/>
    <w:rsid w:val="000D7B70"/>
    <w:rsid w:val="000E1250"/>
    <w:rsid w:val="000E1E60"/>
    <w:rsid w:val="000E39B3"/>
    <w:rsid w:val="000E3EFF"/>
    <w:rsid w:val="000E66FC"/>
    <w:rsid w:val="000F3B72"/>
    <w:rsid w:val="000F45AE"/>
    <w:rsid w:val="000F4FF1"/>
    <w:rsid w:val="000F6D08"/>
    <w:rsid w:val="001022C1"/>
    <w:rsid w:val="00103948"/>
    <w:rsid w:val="001041E1"/>
    <w:rsid w:val="001073D9"/>
    <w:rsid w:val="00112AC1"/>
    <w:rsid w:val="00112EDC"/>
    <w:rsid w:val="00113906"/>
    <w:rsid w:val="001139D2"/>
    <w:rsid w:val="00115411"/>
    <w:rsid w:val="00115C88"/>
    <w:rsid w:val="00116525"/>
    <w:rsid w:val="00116D44"/>
    <w:rsid w:val="00117596"/>
    <w:rsid w:val="001176A5"/>
    <w:rsid w:val="00117A6A"/>
    <w:rsid w:val="0012352F"/>
    <w:rsid w:val="001251AE"/>
    <w:rsid w:val="00125ECC"/>
    <w:rsid w:val="00126F6C"/>
    <w:rsid w:val="00130063"/>
    <w:rsid w:val="0013166A"/>
    <w:rsid w:val="0013185C"/>
    <w:rsid w:val="00131CB8"/>
    <w:rsid w:val="00132216"/>
    <w:rsid w:val="00132D28"/>
    <w:rsid w:val="001338ED"/>
    <w:rsid w:val="001340FA"/>
    <w:rsid w:val="0013580E"/>
    <w:rsid w:val="00135A31"/>
    <w:rsid w:val="00135B92"/>
    <w:rsid w:val="0014065F"/>
    <w:rsid w:val="0014197E"/>
    <w:rsid w:val="00144318"/>
    <w:rsid w:val="001444F0"/>
    <w:rsid w:val="00145504"/>
    <w:rsid w:val="00145CDC"/>
    <w:rsid w:val="00147DC9"/>
    <w:rsid w:val="0015154F"/>
    <w:rsid w:val="00160943"/>
    <w:rsid w:val="00160DA2"/>
    <w:rsid w:val="001619B8"/>
    <w:rsid w:val="00162BA3"/>
    <w:rsid w:val="00163FE7"/>
    <w:rsid w:val="00165A7E"/>
    <w:rsid w:val="0016670A"/>
    <w:rsid w:val="001672B1"/>
    <w:rsid w:val="0017090D"/>
    <w:rsid w:val="001750F6"/>
    <w:rsid w:val="00175AE8"/>
    <w:rsid w:val="00177715"/>
    <w:rsid w:val="001822E7"/>
    <w:rsid w:val="0018249E"/>
    <w:rsid w:val="00186AE9"/>
    <w:rsid w:val="00187EFF"/>
    <w:rsid w:val="00190FCE"/>
    <w:rsid w:val="00191956"/>
    <w:rsid w:val="00191F40"/>
    <w:rsid w:val="00195C2D"/>
    <w:rsid w:val="001A3338"/>
    <w:rsid w:val="001A33FC"/>
    <w:rsid w:val="001A4986"/>
    <w:rsid w:val="001A6860"/>
    <w:rsid w:val="001A7654"/>
    <w:rsid w:val="001B2147"/>
    <w:rsid w:val="001B2337"/>
    <w:rsid w:val="001B2939"/>
    <w:rsid w:val="001B4601"/>
    <w:rsid w:val="001C1512"/>
    <w:rsid w:val="001C15D9"/>
    <w:rsid w:val="001C3B27"/>
    <w:rsid w:val="001C67AD"/>
    <w:rsid w:val="001D260D"/>
    <w:rsid w:val="001D2C39"/>
    <w:rsid w:val="001E006B"/>
    <w:rsid w:val="001E0479"/>
    <w:rsid w:val="001E283A"/>
    <w:rsid w:val="001E4D23"/>
    <w:rsid w:val="001E5B65"/>
    <w:rsid w:val="001E61AA"/>
    <w:rsid w:val="001E70F6"/>
    <w:rsid w:val="001E7E62"/>
    <w:rsid w:val="001F0A9B"/>
    <w:rsid w:val="001F1642"/>
    <w:rsid w:val="001F21DA"/>
    <w:rsid w:val="001F4502"/>
    <w:rsid w:val="001F53D0"/>
    <w:rsid w:val="001F693C"/>
    <w:rsid w:val="001F7A2A"/>
    <w:rsid w:val="00202BC1"/>
    <w:rsid w:val="0020427B"/>
    <w:rsid w:val="00204EB6"/>
    <w:rsid w:val="00205014"/>
    <w:rsid w:val="00207E26"/>
    <w:rsid w:val="002125CA"/>
    <w:rsid w:val="002128D5"/>
    <w:rsid w:val="00213AE6"/>
    <w:rsid w:val="00214D78"/>
    <w:rsid w:val="00215EEF"/>
    <w:rsid w:val="002208D1"/>
    <w:rsid w:val="00222A20"/>
    <w:rsid w:val="00223809"/>
    <w:rsid w:val="002244D4"/>
    <w:rsid w:val="00225C80"/>
    <w:rsid w:val="00226442"/>
    <w:rsid w:val="002270AF"/>
    <w:rsid w:val="00232EB6"/>
    <w:rsid w:val="00233C1D"/>
    <w:rsid w:val="00234774"/>
    <w:rsid w:val="00237416"/>
    <w:rsid w:val="00240210"/>
    <w:rsid w:val="00241A17"/>
    <w:rsid w:val="00244119"/>
    <w:rsid w:val="00244FA3"/>
    <w:rsid w:val="00247742"/>
    <w:rsid w:val="00250AFB"/>
    <w:rsid w:val="00250E5C"/>
    <w:rsid w:val="00252512"/>
    <w:rsid w:val="00257405"/>
    <w:rsid w:val="00257CDF"/>
    <w:rsid w:val="00263668"/>
    <w:rsid w:val="0026498B"/>
    <w:rsid w:val="00265E96"/>
    <w:rsid w:val="002668BE"/>
    <w:rsid w:val="00267153"/>
    <w:rsid w:val="00270E9C"/>
    <w:rsid w:val="00270F87"/>
    <w:rsid w:val="00271A74"/>
    <w:rsid w:val="00271BC7"/>
    <w:rsid w:val="0027281C"/>
    <w:rsid w:val="0027418D"/>
    <w:rsid w:val="0027768A"/>
    <w:rsid w:val="0028441E"/>
    <w:rsid w:val="002853A9"/>
    <w:rsid w:val="00287700"/>
    <w:rsid w:val="002878E0"/>
    <w:rsid w:val="00293AE1"/>
    <w:rsid w:val="002941C0"/>
    <w:rsid w:val="0029525F"/>
    <w:rsid w:val="00295DC0"/>
    <w:rsid w:val="00296250"/>
    <w:rsid w:val="002A140F"/>
    <w:rsid w:val="002A6DDA"/>
    <w:rsid w:val="002B17D3"/>
    <w:rsid w:val="002B2327"/>
    <w:rsid w:val="002B3EA4"/>
    <w:rsid w:val="002B49AD"/>
    <w:rsid w:val="002B5C0B"/>
    <w:rsid w:val="002B633F"/>
    <w:rsid w:val="002B6455"/>
    <w:rsid w:val="002C1F74"/>
    <w:rsid w:val="002C3CC5"/>
    <w:rsid w:val="002C3E18"/>
    <w:rsid w:val="002C40FB"/>
    <w:rsid w:val="002D5EDF"/>
    <w:rsid w:val="002D7BF0"/>
    <w:rsid w:val="002E0316"/>
    <w:rsid w:val="002E2AF8"/>
    <w:rsid w:val="002E6056"/>
    <w:rsid w:val="002F23D1"/>
    <w:rsid w:val="002F3478"/>
    <w:rsid w:val="002F3E8C"/>
    <w:rsid w:val="002F45A1"/>
    <w:rsid w:val="003003EE"/>
    <w:rsid w:val="003027A0"/>
    <w:rsid w:val="003045C7"/>
    <w:rsid w:val="00312AA2"/>
    <w:rsid w:val="00314270"/>
    <w:rsid w:val="00317C5E"/>
    <w:rsid w:val="00320B1B"/>
    <w:rsid w:val="00322717"/>
    <w:rsid w:val="00326EC3"/>
    <w:rsid w:val="0033039A"/>
    <w:rsid w:val="00330446"/>
    <w:rsid w:val="00331D00"/>
    <w:rsid w:val="00332E7F"/>
    <w:rsid w:val="00332FC3"/>
    <w:rsid w:val="003336DD"/>
    <w:rsid w:val="003338E9"/>
    <w:rsid w:val="0033421B"/>
    <w:rsid w:val="0034634E"/>
    <w:rsid w:val="00350F73"/>
    <w:rsid w:val="003512A0"/>
    <w:rsid w:val="00351B15"/>
    <w:rsid w:val="0035494B"/>
    <w:rsid w:val="00355DFE"/>
    <w:rsid w:val="0035692C"/>
    <w:rsid w:val="0035731A"/>
    <w:rsid w:val="0036248D"/>
    <w:rsid w:val="0036413C"/>
    <w:rsid w:val="00364F02"/>
    <w:rsid w:val="003654B6"/>
    <w:rsid w:val="00366D70"/>
    <w:rsid w:val="00372071"/>
    <w:rsid w:val="00373B09"/>
    <w:rsid w:val="00374317"/>
    <w:rsid w:val="00377325"/>
    <w:rsid w:val="00381C09"/>
    <w:rsid w:val="00382406"/>
    <w:rsid w:val="00384B7E"/>
    <w:rsid w:val="00386B3A"/>
    <w:rsid w:val="00387861"/>
    <w:rsid w:val="00390CBC"/>
    <w:rsid w:val="003913AE"/>
    <w:rsid w:val="00392AB3"/>
    <w:rsid w:val="00396EDE"/>
    <w:rsid w:val="00397CD9"/>
    <w:rsid w:val="003A1547"/>
    <w:rsid w:val="003A1B78"/>
    <w:rsid w:val="003A25C0"/>
    <w:rsid w:val="003A2868"/>
    <w:rsid w:val="003A31F7"/>
    <w:rsid w:val="003A3BF6"/>
    <w:rsid w:val="003A4305"/>
    <w:rsid w:val="003A5306"/>
    <w:rsid w:val="003A5407"/>
    <w:rsid w:val="003A660A"/>
    <w:rsid w:val="003A73DD"/>
    <w:rsid w:val="003B37A0"/>
    <w:rsid w:val="003B392D"/>
    <w:rsid w:val="003B3FAF"/>
    <w:rsid w:val="003B519A"/>
    <w:rsid w:val="003B69AB"/>
    <w:rsid w:val="003B7385"/>
    <w:rsid w:val="003C09D9"/>
    <w:rsid w:val="003C2B1B"/>
    <w:rsid w:val="003C373C"/>
    <w:rsid w:val="003C4ABC"/>
    <w:rsid w:val="003C62B3"/>
    <w:rsid w:val="003C71C3"/>
    <w:rsid w:val="003C792E"/>
    <w:rsid w:val="003D0265"/>
    <w:rsid w:val="003D17FB"/>
    <w:rsid w:val="003D37C6"/>
    <w:rsid w:val="003D47C4"/>
    <w:rsid w:val="003D53C5"/>
    <w:rsid w:val="003D56CD"/>
    <w:rsid w:val="003D773B"/>
    <w:rsid w:val="003E1374"/>
    <w:rsid w:val="003E2474"/>
    <w:rsid w:val="003E25EF"/>
    <w:rsid w:val="003E2AFE"/>
    <w:rsid w:val="003E43C0"/>
    <w:rsid w:val="003E4669"/>
    <w:rsid w:val="003E6767"/>
    <w:rsid w:val="003E6B1E"/>
    <w:rsid w:val="003E6B52"/>
    <w:rsid w:val="003E703B"/>
    <w:rsid w:val="003E79B0"/>
    <w:rsid w:val="003F4262"/>
    <w:rsid w:val="003F4DFD"/>
    <w:rsid w:val="003F5736"/>
    <w:rsid w:val="003F6632"/>
    <w:rsid w:val="00403B64"/>
    <w:rsid w:val="00404838"/>
    <w:rsid w:val="00404B32"/>
    <w:rsid w:val="004056EA"/>
    <w:rsid w:val="00406B62"/>
    <w:rsid w:val="00407A12"/>
    <w:rsid w:val="00411CF3"/>
    <w:rsid w:val="00411F45"/>
    <w:rsid w:val="00413140"/>
    <w:rsid w:val="00416EC1"/>
    <w:rsid w:val="0042007D"/>
    <w:rsid w:val="0042093D"/>
    <w:rsid w:val="004241EF"/>
    <w:rsid w:val="0042548A"/>
    <w:rsid w:val="004254DE"/>
    <w:rsid w:val="00427817"/>
    <w:rsid w:val="00432497"/>
    <w:rsid w:val="0043249E"/>
    <w:rsid w:val="00433158"/>
    <w:rsid w:val="00433407"/>
    <w:rsid w:val="00434835"/>
    <w:rsid w:val="00435E76"/>
    <w:rsid w:val="0044019F"/>
    <w:rsid w:val="004406C8"/>
    <w:rsid w:val="0044143E"/>
    <w:rsid w:val="00443F47"/>
    <w:rsid w:val="00450CF0"/>
    <w:rsid w:val="00451215"/>
    <w:rsid w:val="004515DC"/>
    <w:rsid w:val="00451F30"/>
    <w:rsid w:val="00452E6C"/>
    <w:rsid w:val="00454107"/>
    <w:rsid w:val="00456989"/>
    <w:rsid w:val="0046092D"/>
    <w:rsid w:val="00461493"/>
    <w:rsid w:val="004620A8"/>
    <w:rsid w:val="00462563"/>
    <w:rsid w:val="00462C2B"/>
    <w:rsid w:val="0046339F"/>
    <w:rsid w:val="004673F2"/>
    <w:rsid w:val="00467C8E"/>
    <w:rsid w:val="00471BDB"/>
    <w:rsid w:val="0047487A"/>
    <w:rsid w:val="00474E1C"/>
    <w:rsid w:val="00480C6F"/>
    <w:rsid w:val="00481376"/>
    <w:rsid w:val="00482751"/>
    <w:rsid w:val="004836F1"/>
    <w:rsid w:val="00483D1E"/>
    <w:rsid w:val="00486297"/>
    <w:rsid w:val="004875BB"/>
    <w:rsid w:val="00490529"/>
    <w:rsid w:val="0049324A"/>
    <w:rsid w:val="00495C27"/>
    <w:rsid w:val="00495D8C"/>
    <w:rsid w:val="004A0BE7"/>
    <w:rsid w:val="004A15DA"/>
    <w:rsid w:val="004A17F9"/>
    <w:rsid w:val="004A3D74"/>
    <w:rsid w:val="004A4345"/>
    <w:rsid w:val="004A6B16"/>
    <w:rsid w:val="004B088D"/>
    <w:rsid w:val="004B12B3"/>
    <w:rsid w:val="004B68A2"/>
    <w:rsid w:val="004C012B"/>
    <w:rsid w:val="004C0F24"/>
    <w:rsid w:val="004C1E5F"/>
    <w:rsid w:val="004C26B6"/>
    <w:rsid w:val="004C481E"/>
    <w:rsid w:val="004C606B"/>
    <w:rsid w:val="004C60BC"/>
    <w:rsid w:val="004C6814"/>
    <w:rsid w:val="004C6A9E"/>
    <w:rsid w:val="004D0023"/>
    <w:rsid w:val="004D0C28"/>
    <w:rsid w:val="004D0C3B"/>
    <w:rsid w:val="004D2963"/>
    <w:rsid w:val="004D4138"/>
    <w:rsid w:val="004D4AB1"/>
    <w:rsid w:val="004D7360"/>
    <w:rsid w:val="004E065D"/>
    <w:rsid w:val="004E4A97"/>
    <w:rsid w:val="004E5077"/>
    <w:rsid w:val="004E708B"/>
    <w:rsid w:val="004F0CBE"/>
    <w:rsid w:val="004F1460"/>
    <w:rsid w:val="004F217E"/>
    <w:rsid w:val="004F3926"/>
    <w:rsid w:val="004F3EEC"/>
    <w:rsid w:val="004F4F06"/>
    <w:rsid w:val="005018FE"/>
    <w:rsid w:val="00504E2E"/>
    <w:rsid w:val="00506ABD"/>
    <w:rsid w:val="00506C3D"/>
    <w:rsid w:val="00510E1A"/>
    <w:rsid w:val="00511588"/>
    <w:rsid w:val="00514DCC"/>
    <w:rsid w:val="0051687E"/>
    <w:rsid w:val="00523F01"/>
    <w:rsid w:val="005312D3"/>
    <w:rsid w:val="005342A6"/>
    <w:rsid w:val="00536684"/>
    <w:rsid w:val="00537422"/>
    <w:rsid w:val="0054395C"/>
    <w:rsid w:val="005441CC"/>
    <w:rsid w:val="005520EC"/>
    <w:rsid w:val="00553C98"/>
    <w:rsid w:val="005541FB"/>
    <w:rsid w:val="00556FE0"/>
    <w:rsid w:val="005578AE"/>
    <w:rsid w:val="005633EB"/>
    <w:rsid w:val="005643C0"/>
    <w:rsid w:val="0056512A"/>
    <w:rsid w:val="005736E4"/>
    <w:rsid w:val="00574185"/>
    <w:rsid w:val="00575898"/>
    <w:rsid w:val="0057661F"/>
    <w:rsid w:val="0057773C"/>
    <w:rsid w:val="005807C7"/>
    <w:rsid w:val="00580C6B"/>
    <w:rsid w:val="00580D40"/>
    <w:rsid w:val="005848C6"/>
    <w:rsid w:val="005855C6"/>
    <w:rsid w:val="00585F53"/>
    <w:rsid w:val="00590D6E"/>
    <w:rsid w:val="005913D1"/>
    <w:rsid w:val="0059503F"/>
    <w:rsid w:val="0059522F"/>
    <w:rsid w:val="00595EE8"/>
    <w:rsid w:val="005965D4"/>
    <w:rsid w:val="005A32C0"/>
    <w:rsid w:val="005A32F7"/>
    <w:rsid w:val="005A5336"/>
    <w:rsid w:val="005A6EFE"/>
    <w:rsid w:val="005A7530"/>
    <w:rsid w:val="005B0128"/>
    <w:rsid w:val="005B19DF"/>
    <w:rsid w:val="005B26C6"/>
    <w:rsid w:val="005B3436"/>
    <w:rsid w:val="005B7127"/>
    <w:rsid w:val="005B779A"/>
    <w:rsid w:val="005C0BA4"/>
    <w:rsid w:val="005C235E"/>
    <w:rsid w:val="005C2F70"/>
    <w:rsid w:val="005C41A4"/>
    <w:rsid w:val="005D164E"/>
    <w:rsid w:val="005D16CB"/>
    <w:rsid w:val="005D1A46"/>
    <w:rsid w:val="005D64F8"/>
    <w:rsid w:val="005D756E"/>
    <w:rsid w:val="005E00EF"/>
    <w:rsid w:val="005E01F1"/>
    <w:rsid w:val="005E0715"/>
    <w:rsid w:val="005E1372"/>
    <w:rsid w:val="005E1A3D"/>
    <w:rsid w:val="005E1B88"/>
    <w:rsid w:val="005E2CB9"/>
    <w:rsid w:val="005E340C"/>
    <w:rsid w:val="005E5D09"/>
    <w:rsid w:val="005E6067"/>
    <w:rsid w:val="005E78A9"/>
    <w:rsid w:val="005F12FE"/>
    <w:rsid w:val="005F28A6"/>
    <w:rsid w:val="005F3CB4"/>
    <w:rsid w:val="005F3EED"/>
    <w:rsid w:val="005F432D"/>
    <w:rsid w:val="005F47C2"/>
    <w:rsid w:val="005F4D36"/>
    <w:rsid w:val="00600E93"/>
    <w:rsid w:val="00600F5D"/>
    <w:rsid w:val="0060100C"/>
    <w:rsid w:val="0060340F"/>
    <w:rsid w:val="006034FA"/>
    <w:rsid w:val="006049C9"/>
    <w:rsid w:val="006054AE"/>
    <w:rsid w:val="00605FC6"/>
    <w:rsid w:val="00606940"/>
    <w:rsid w:val="00607BF3"/>
    <w:rsid w:val="006118D4"/>
    <w:rsid w:val="006119FD"/>
    <w:rsid w:val="006128F4"/>
    <w:rsid w:val="00612A59"/>
    <w:rsid w:val="006146D6"/>
    <w:rsid w:val="006159EA"/>
    <w:rsid w:val="0061652A"/>
    <w:rsid w:val="00617CA9"/>
    <w:rsid w:val="0062149E"/>
    <w:rsid w:val="00621F66"/>
    <w:rsid w:val="00622D37"/>
    <w:rsid w:val="00624C43"/>
    <w:rsid w:val="00624D0F"/>
    <w:rsid w:val="00626769"/>
    <w:rsid w:val="00627071"/>
    <w:rsid w:val="0063265B"/>
    <w:rsid w:val="00633DF9"/>
    <w:rsid w:val="0063665B"/>
    <w:rsid w:val="00640B89"/>
    <w:rsid w:val="0064128D"/>
    <w:rsid w:val="00643DA8"/>
    <w:rsid w:val="0065240A"/>
    <w:rsid w:val="00653EE9"/>
    <w:rsid w:val="0065430B"/>
    <w:rsid w:val="0065695E"/>
    <w:rsid w:val="00656ED7"/>
    <w:rsid w:val="0066034D"/>
    <w:rsid w:val="006624C8"/>
    <w:rsid w:val="00662676"/>
    <w:rsid w:val="00662F2F"/>
    <w:rsid w:val="006656FE"/>
    <w:rsid w:val="00666A3F"/>
    <w:rsid w:val="00667878"/>
    <w:rsid w:val="006704B8"/>
    <w:rsid w:val="0067262B"/>
    <w:rsid w:val="00673A80"/>
    <w:rsid w:val="00673AEB"/>
    <w:rsid w:val="00676951"/>
    <w:rsid w:val="00676F31"/>
    <w:rsid w:val="00677E4C"/>
    <w:rsid w:val="00680C20"/>
    <w:rsid w:val="00680FD1"/>
    <w:rsid w:val="006812FC"/>
    <w:rsid w:val="00693F36"/>
    <w:rsid w:val="006958A5"/>
    <w:rsid w:val="00695A17"/>
    <w:rsid w:val="006A1FA6"/>
    <w:rsid w:val="006A23DA"/>
    <w:rsid w:val="006A70CE"/>
    <w:rsid w:val="006B05F7"/>
    <w:rsid w:val="006B07CE"/>
    <w:rsid w:val="006B2113"/>
    <w:rsid w:val="006B2F4D"/>
    <w:rsid w:val="006B3F85"/>
    <w:rsid w:val="006B4174"/>
    <w:rsid w:val="006B740B"/>
    <w:rsid w:val="006C061C"/>
    <w:rsid w:val="006C1BC7"/>
    <w:rsid w:val="006C3103"/>
    <w:rsid w:val="006C6CEB"/>
    <w:rsid w:val="006C770C"/>
    <w:rsid w:val="006D027B"/>
    <w:rsid w:val="006D0494"/>
    <w:rsid w:val="006D2E04"/>
    <w:rsid w:val="006D4CC9"/>
    <w:rsid w:val="006D7127"/>
    <w:rsid w:val="006D725D"/>
    <w:rsid w:val="006D7615"/>
    <w:rsid w:val="006E0BC5"/>
    <w:rsid w:val="006E1B3F"/>
    <w:rsid w:val="006E1F9E"/>
    <w:rsid w:val="006E3397"/>
    <w:rsid w:val="006F05EF"/>
    <w:rsid w:val="006F05FB"/>
    <w:rsid w:val="006F230F"/>
    <w:rsid w:val="00705648"/>
    <w:rsid w:val="00705A6A"/>
    <w:rsid w:val="0070651A"/>
    <w:rsid w:val="007119D9"/>
    <w:rsid w:val="00711EC4"/>
    <w:rsid w:val="00712F0E"/>
    <w:rsid w:val="0071715E"/>
    <w:rsid w:val="0072074F"/>
    <w:rsid w:val="00721FA3"/>
    <w:rsid w:val="00723248"/>
    <w:rsid w:val="007244AA"/>
    <w:rsid w:val="00726002"/>
    <w:rsid w:val="00730BB8"/>
    <w:rsid w:val="00730C13"/>
    <w:rsid w:val="0073134F"/>
    <w:rsid w:val="0073210B"/>
    <w:rsid w:val="00735A26"/>
    <w:rsid w:val="00737961"/>
    <w:rsid w:val="007425C3"/>
    <w:rsid w:val="0074279F"/>
    <w:rsid w:val="00742D4E"/>
    <w:rsid w:val="007440C9"/>
    <w:rsid w:val="00744C5E"/>
    <w:rsid w:val="00744D44"/>
    <w:rsid w:val="00745D42"/>
    <w:rsid w:val="00746259"/>
    <w:rsid w:val="00750494"/>
    <w:rsid w:val="007507E6"/>
    <w:rsid w:val="00751C32"/>
    <w:rsid w:val="00752B04"/>
    <w:rsid w:val="007534EE"/>
    <w:rsid w:val="00754C7D"/>
    <w:rsid w:val="007553DF"/>
    <w:rsid w:val="00755FF9"/>
    <w:rsid w:val="00756944"/>
    <w:rsid w:val="0076001D"/>
    <w:rsid w:val="00760510"/>
    <w:rsid w:val="00765DF3"/>
    <w:rsid w:val="007662B0"/>
    <w:rsid w:val="00767A3B"/>
    <w:rsid w:val="0077172D"/>
    <w:rsid w:val="0077264D"/>
    <w:rsid w:val="0077394E"/>
    <w:rsid w:val="007749B1"/>
    <w:rsid w:val="007753AD"/>
    <w:rsid w:val="00775A18"/>
    <w:rsid w:val="00775F43"/>
    <w:rsid w:val="00776ED2"/>
    <w:rsid w:val="00780894"/>
    <w:rsid w:val="007818B1"/>
    <w:rsid w:val="007823E2"/>
    <w:rsid w:val="007852A8"/>
    <w:rsid w:val="00785D61"/>
    <w:rsid w:val="007918BB"/>
    <w:rsid w:val="00793A17"/>
    <w:rsid w:val="00794105"/>
    <w:rsid w:val="00794FCD"/>
    <w:rsid w:val="00796874"/>
    <w:rsid w:val="00796C95"/>
    <w:rsid w:val="0079780C"/>
    <w:rsid w:val="007A1615"/>
    <w:rsid w:val="007A4F6F"/>
    <w:rsid w:val="007A5974"/>
    <w:rsid w:val="007B2F62"/>
    <w:rsid w:val="007C1508"/>
    <w:rsid w:val="007C32A4"/>
    <w:rsid w:val="007C3BA3"/>
    <w:rsid w:val="007D066E"/>
    <w:rsid w:val="007D092E"/>
    <w:rsid w:val="007D3D74"/>
    <w:rsid w:val="007D4464"/>
    <w:rsid w:val="007D577F"/>
    <w:rsid w:val="007D6023"/>
    <w:rsid w:val="007E14A0"/>
    <w:rsid w:val="007E2B16"/>
    <w:rsid w:val="007E5D81"/>
    <w:rsid w:val="007F1B7E"/>
    <w:rsid w:val="007F422F"/>
    <w:rsid w:val="007F65BB"/>
    <w:rsid w:val="00800028"/>
    <w:rsid w:val="00800654"/>
    <w:rsid w:val="00802CE8"/>
    <w:rsid w:val="0081116B"/>
    <w:rsid w:val="008116DC"/>
    <w:rsid w:val="008120B2"/>
    <w:rsid w:val="00814C63"/>
    <w:rsid w:val="0081599F"/>
    <w:rsid w:val="00817B58"/>
    <w:rsid w:val="00823508"/>
    <w:rsid w:val="00825473"/>
    <w:rsid w:val="00825D4B"/>
    <w:rsid w:val="00826C55"/>
    <w:rsid w:val="00830B26"/>
    <w:rsid w:val="0083145B"/>
    <w:rsid w:val="008339E8"/>
    <w:rsid w:val="0083416F"/>
    <w:rsid w:val="00834D01"/>
    <w:rsid w:val="00834EE8"/>
    <w:rsid w:val="00836E9B"/>
    <w:rsid w:val="00845759"/>
    <w:rsid w:val="00847210"/>
    <w:rsid w:val="00847B1A"/>
    <w:rsid w:val="00850703"/>
    <w:rsid w:val="00850BE4"/>
    <w:rsid w:val="0085213A"/>
    <w:rsid w:val="0085286E"/>
    <w:rsid w:val="00852D6C"/>
    <w:rsid w:val="00854916"/>
    <w:rsid w:val="00856D0F"/>
    <w:rsid w:val="00861F6E"/>
    <w:rsid w:val="00865265"/>
    <w:rsid w:val="008679C9"/>
    <w:rsid w:val="00870A20"/>
    <w:rsid w:val="0087137A"/>
    <w:rsid w:val="008715E9"/>
    <w:rsid w:val="00872F5B"/>
    <w:rsid w:val="00873CBF"/>
    <w:rsid w:val="00873DA6"/>
    <w:rsid w:val="008816B2"/>
    <w:rsid w:val="008819B5"/>
    <w:rsid w:val="0088442C"/>
    <w:rsid w:val="00885736"/>
    <w:rsid w:val="0088759E"/>
    <w:rsid w:val="0088773C"/>
    <w:rsid w:val="008906F6"/>
    <w:rsid w:val="0089422E"/>
    <w:rsid w:val="0089589E"/>
    <w:rsid w:val="00897366"/>
    <w:rsid w:val="00897E23"/>
    <w:rsid w:val="008A2EB4"/>
    <w:rsid w:val="008A52E6"/>
    <w:rsid w:val="008A5B38"/>
    <w:rsid w:val="008A7C4F"/>
    <w:rsid w:val="008C26F2"/>
    <w:rsid w:val="008C2776"/>
    <w:rsid w:val="008C399A"/>
    <w:rsid w:val="008C47E6"/>
    <w:rsid w:val="008C5396"/>
    <w:rsid w:val="008C55FC"/>
    <w:rsid w:val="008C64AC"/>
    <w:rsid w:val="008C7B0C"/>
    <w:rsid w:val="008D1D7F"/>
    <w:rsid w:val="008D4643"/>
    <w:rsid w:val="008E3A67"/>
    <w:rsid w:val="008E4B6F"/>
    <w:rsid w:val="008E5819"/>
    <w:rsid w:val="008E6854"/>
    <w:rsid w:val="008E72B0"/>
    <w:rsid w:val="008F049D"/>
    <w:rsid w:val="008F0697"/>
    <w:rsid w:val="008F2C5A"/>
    <w:rsid w:val="008F6381"/>
    <w:rsid w:val="009005D5"/>
    <w:rsid w:val="009024D8"/>
    <w:rsid w:val="00906642"/>
    <w:rsid w:val="00912113"/>
    <w:rsid w:val="00912321"/>
    <w:rsid w:val="009137A6"/>
    <w:rsid w:val="00913F6A"/>
    <w:rsid w:val="009149FC"/>
    <w:rsid w:val="009162EA"/>
    <w:rsid w:val="0091667D"/>
    <w:rsid w:val="0092787B"/>
    <w:rsid w:val="00927DF9"/>
    <w:rsid w:val="00932C5F"/>
    <w:rsid w:val="009331E8"/>
    <w:rsid w:val="009336E3"/>
    <w:rsid w:val="00933EDC"/>
    <w:rsid w:val="009367C7"/>
    <w:rsid w:val="009417D2"/>
    <w:rsid w:val="00943E4B"/>
    <w:rsid w:val="00946FD8"/>
    <w:rsid w:val="00950369"/>
    <w:rsid w:val="00954D62"/>
    <w:rsid w:val="00955273"/>
    <w:rsid w:val="00955EDB"/>
    <w:rsid w:val="009571C5"/>
    <w:rsid w:val="00960261"/>
    <w:rsid w:val="009604DB"/>
    <w:rsid w:val="00960935"/>
    <w:rsid w:val="00962488"/>
    <w:rsid w:val="00963D96"/>
    <w:rsid w:val="0096477D"/>
    <w:rsid w:val="009739F8"/>
    <w:rsid w:val="00973C7A"/>
    <w:rsid w:val="0097447A"/>
    <w:rsid w:val="00975ABD"/>
    <w:rsid w:val="00976FA6"/>
    <w:rsid w:val="00977022"/>
    <w:rsid w:val="0098179E"/>
    <w:rsid w:val="00981A98"/>
    <w:rsid w:val="00982F17"/>
    <w:rsid w:val="00983668"/>
    <w:rsid w:val="00983957"/>
    <w:rsid w:val="00983AAC"/>
    <w:rsid w:val="00983FEC"/>
    <w:rsid w:val="00984D56"/>
    <w:rsid w:val="00985860"/>
    <w:rsid w:val="009859B5"/>
    <w:rsid w:val="00990F96"/>
    <w:rsid w:val="00992D87"/>
    <w:rsid w:val="00993925"/>
    <w:rsid w:val="00994A5E"/>
    <w:rsid w:val="00995388"/>
    <w:rsid w:val="009A0D9C"/>
    <w:rsid w:val="009A422A"/>
    <w:rsid w:val="009A58A4"/>
    <w:rsid w:val="009A700B"/>
    <w:rsid w:val="009B0CCB"/>
    <w:rsid w:val="009B0D79"/>
    <w:rsid w:val="009B22E2"/>
    <w:rsid w:val="009B2654"/>
    <w:rsid w:val="009B2785"/>
    <w:rsid w:val="009B3868"/>
    <w:rsid w:val="009B4867"/>
    <w:rsid w:val="009B4CF7"/>
    <w:rsid w:val="009B592F"/>
    <w:rsid w:val="009B6119"/>
    <w:rsid w:val="009C0FCA"/>
    <w:rsid w:val="009C3FB2"/>
    <w:rsid w:val="009C57F2"/>
    <w:rsid w:val="009C70A9"/>
    <w:rsid w:val="009D031E"/>
    <w:rsid w:val="009D1A8A"/>
    <w:rsid w:val="009D5DCD"/>
    <w:rsid w:val="009D7339"/>
    <w:rsid w:val="009D7B59"/>
    <w:rsid w:val="009E005D"/>
    <w:rsid w:val="009E043B"/>
    <w:rsid w:val="009E079A"/>
    <w:rsid w:val="009E2533"/>
    <w:rsid w:val="009E63E7"/>
    <w:rsid w:val="009F057D"/>
    <w:rsid w:val="009F145C"/>
    <w:rsid w:val="009F2ECF"/>
    <w:rsid w:val="00A01FFE"/>
    <w:rsid w:val="00A0263B"/>
    <w:rsid w:val="00A02D07"/>
    <w:rsid w:val="00A02FE7"/>
    <w:rsid w:val="00A038A0"/>
    <w:rsid w:val="00A05340"/>
    <w:rsid w:val="00A10375"/>
    <w:rsid w:val="00A13D01"/>
    <w:rsid w:val="00A15C4B"/>
    <w:rsid w:val="00A207B8"/>
    <w:rsid w:val="00A21B3C"/>
    <w:rsid w:val="00A21EE2"/>
    <w:rsid w:val="00A23280"/>
    <w:rsid w:val="00A239D2"/>
    <w:rsid w:val="00A2639C"/>
    <w:rsid w:val="00A26992"/>
    <w:rsid w:val="00A306B5"/>
    <w:rsid w:val="00A32F50"/>
    <w:rsid w:val="00A3423C"/>
    <w:rsid w:val="00A34346"/>
    <w:rsid w:val="00A3740E"/>
    <w:rsid w:val="00A44A54"/>
    <w:rsid w:val="00A45BE7"/>
    <w:rsid w:val="00A52D43"/>
    <w:rsid w:val="00A5432D"/>
    <w:rsid w:val="00A547CE"/>
    <w:rsid w:val="00A54A97"/>
    <w:rsid w:val="00A56ABC"/>
    <w:rsid w:val="00A60D94"/>
    <w:rsid w:val="00A6262D"/>
    <w:rsid w:val="00A6294B"/>
    <w:rsid w:val="00A62FB5"/>
    <w:rsid w:val="00A65354"/>
    <w:rsid w:val="00A6673C"/>
    <w:rsid w:val="00A66D62"/>
    <w:rsid w:val="00A73693"/>
    <w:rsid w:val="00A73DA7"/>
    <w:rsid w:val="00A77A3A"/>
    <w:rsid w:val="00A81055"/>
    <w:rsid w:val="00A81535"/>
    <w:rsid w:val="00A817E8"/>
    <w:rsid w:val="00A83D31"/>
    <w:rsid w:val="00A86506"/>
    <w:rsid w:val="00A867EF"/>
    <w:rsid w:val="00A873F1"/>
    <w:rsid w:val="00A875AD"/>
    <w:rsid w:val="00AA4D2C"/>
    <w:rsid w:val="00AA5055"/>
    <w:rsid w:val="00AA5792"/>
    <w:rsid w:val="00AA6310"/>
    <w:rsid w:val="00AA6D07"/>
    <w:rsid w:val="00AA6D6E"/>
    <w:rsid w:val="00AA7F83"/>
    <w:rsid w:val="00AB353D"/>
    <w:rsid w:val="00AB49FD"/>
    <w:rsid w:val="00AB57D0"/>
    <w:rsid w:val="00AB7512"/>
    <w:rsid w:val="00AC06AF"/>
    <w:rsid w:val="00AC0F0E"/>
    <w:rsid w:val="00AC22E6"/>
    <w:rsid w:val="00AC260B"/>
    <w:rsid w:val="00AC34B8"/>
    <w:rsid w:val="00AC5286"/>
    <w:rsid w:val="00AC5BC5"/>
    <w:rsid w:val="00AC774D"/>
    <w:rsid w:val="00AD1688"/>
    <w:rsid w:val="00AD43DD"/>
    <w:rsid w:val="00AE0FE0"/>
    <w:rsid w:val="00AE1D32"/>
    <w:rsid w:val="00AE2506"/>
    <w:rsid w:val="00AE27E3"/>
    <w:rsid w:val="00AE29DE"/>
    <w:rsid w:val="00AE6F6B"/>
    <w:rsid w:val="00AE6FB4"/>
    <w:rsid w:val="00AF2979"/>
    <w:rsid w:val="00AF41A1"/>
    <w:rsid w:val="00AF4716"/>
    <w:rsid w:val="00AF4EDB"/>
    <w:rsid w:val="00AF6481"/>
    <w:rsid w:val="00AF6B9A"/>
    <w:rsid w:val="00B02F48"/>
    <w:rsid w:val="00B0447B"/>
    <w:rsid w:val="00B0743B"/>
    <w:rsid w:val="00B105AA"/>
    <w:rsid w:val="00B110AB"/>
    <w:rsid w:val="00B113B3"/>
    <w:rsid w:val="00B13C4F"/>
    <w:rsid w:val="00B15D0F"/>
    <w:rsid w:val="00B15E44"/>
    <w:rsid w:val="00B16AFC"/>
    <w:rsid w:val="00B17773"/>
    <w:rsid w:val="00B17A75"/>
    <w:rsid w:val="00B22589"/>
    <w:rsid w:val="00B255B6"/>
    <w:rsid w:val="00B309A3"/>
    <w:rsid w:val="00B3169E"/>
    <w:rsid w:val="00B33E56"/>
    <w:rsid w:val="00B33EB8"/>
    <w:rsid w:val="00B34158"/>
    <w:rsid w:val="00B35FA4"/>
    <w:rsid w:val="00B4062F"/>
    <w:rsid w:val="00B40B0E"/>
    <w:rsid w:val="00B439AD"/>
    <w:rsid w:val="00B4611A"/>
    <w:rsid w:val="00B46504"/>
    <w:rsid w:val="00B46C59"/>
    <w:rsid w:val="00B50447"/>
    <w:rsid w:val="00B51E37"/>
    <w:rsid w:val="00B5262B"/>
    <w:rsid w:val="00B52FE0"/>
    <w:rsid w:val="00B53CF3"/>
    <w:rsid w:val="00B543EC"/>
    <w:rsid w:val="00B56755"/>
    <w:rsid w:val="00B5702E"/>
    <w:rsid w:val="00B60934"/>
    <w:rsid w:val="00B612D9"/>
    <w:rsid w:val="00B63035"/>
    <w:rsid w:val="00B63378"/>
    <w:rsid w:val="00B65C10"/>
    <w:rsid w:val="00B660E5"/>
    <w:rsid w:val="00B661AC"/>
    <w:rsid w:val="00B7260C"/>
    <w:rsid w:val="00B74788"/>
    <w:rsid w:val="00B75689"/>
    <w:rsid w:val="00B77719"/>
    <w:rsid w:val="00B80FA6"/>
    <w:rsid w:val="00B831B6"/>
    <w:rsid w:val="00B84FF0"/>
    <w:rsid w:val="00B867D2"/>
    <w:rsid w:val="00B92507"/>
    <w:rsid w:val="00B92B85"/>
    <w:rsid w:val="00B92BA9"/>
    <w:rsid w:val="00B93233"/>
    <w:rsid w:val="00B94C7D"/>
    <w:rsid w:val="00B95C42"/>
    <w:rsid w:val="00B96733"/>
    <w:rsid w:val="00B96ED6"/>
    <w:rsid w:val="00BA4006"/>
    <w:rsid w:val="00BA4007"/>
    <w:rsid w:val="00BA6249"/>
    <w:rsid w:val="00BA6DB5"/>
    <w:rsid w:val="00BB11BC"/>
    <w:rsid w:val="00BB1476"/>
    <w:rsid w:val="00BB22F2"/>
    <w:rsid w:val="00BB2935"/>
    <w:rsid w:val="00BB4B87"/>
    <w:rsid w:val="00BB6AFA"/>
    <w:rsid w:val="00BB6D95"/>
    <w:rsid w:val="00BC3261"/>
    <w:rsid w:val="00BC4CAD"/>
    <w:rsid w:val="00BC51A4"/>
    <w:rsid w:val="00BC5586"/>
    <w:rsid w:val="00BD17F5"/>
    <w:rsid w:val="00BD2A71"/>
    <w:rsid w:val="00BD2AB6"/>
    <w:rsid w:val="00BD2D4B"/>
    <w:rsid w:val="00BD70BD"/>
    <w:rsid w:val="00BD73F5"/>
    <w:rsid w:val="00BD7AA7"/>
    <w:rsid w:val="00BD7F27"/>
    <w:rsid w:val="00BE1132"/>
    <w:rsid w:val="00BE166F"/>
    <w:rsid w:val="00BE3C34"/>
    <w:rsid w:val="00BE5926"/>
    <w:rsid w:val="00BE5BF8"/>
    <w:rsid w:val="00BF07D6"/>
    <w:rsid w:val="00BF2A50"/>
    <w:rsid w:val="00BF2B37"/>
    <w:rsid w:val="00BF54E1"/>
    <w:rsid w:val="00BF72A6"/>
    <w:rsid w:val="00C0063B"/>
    <w:rsid w:val="00C029AF"/>
    <w:rsid w:val="00C0422F"/>
    <w:rsid w:val="00C05690"/>
    <w:rsid w:val="00C071EF"/>
    <w:rsid w:val="00C10195"/>
    <w:rsid w:val="00C106A2"/>
    <w:rsid w:val="00C10DD5"/>
    <w:rsid w:val="00C1171C"/>
    <w:rsid w:val="00C11931"/>
    <w:rsid w:val="00C12AB3"/>
    <w:rsid w:val="00C13898"/>
    <w:rsid w:val="00C1445B"/>
    <w:rsid w:val="00C14746"/>
    <w:rsid w:val="00C148E8"/>
    <w:rsid w:val="00C1709D"/>
    <w:rsid w:val="00C20B63"/>
    <w:rsid w:val="00C20CE4"/>
    <w:rsid w:val="00C24CC3"/>
    <w:rsid w:val="00C24D7B"/>
    <w:rsid w:val="00C27914"/>
    <w:rsid w:val="00C317D0"/>
    <w:rsid w:val="00C32944"/>
    <w:rsid w:val="00C33D57"/>
    <w:rsid w:val="00C34075"/>
    <w:rsid w:val="00C376A2"/>
    <w:rsid w:val="00C37C3E"/>
    <w:rsid w:val="00C37F84"/>
    <w:rsid w:val="00C416EB"/>
    <w:rsid w:val="00C41E55"/>
    <w:rsid w:val="00C42065"/>
    <w:rsid w:val="00C43034"/>
    <w:rsid w:val="00C433E2"/>
    <w:rsid w:val="00C466EE"/>
    <w:rsid w:val="00C52587"/>
    <w:rsid w:val="00C57244"/>
    <w:rsid w:val="00C6166F"/>
    <w:rsid w:val="00C619DC"/>
    <w:rsid w:val="00C6246B"/>
    <w:rsid w:val="00C6295E"/>
    <w:rsid w:val="00C63BB9"/>
    <w:rsid w:val="00C6468B"/>
    <w:rsid w:val="00C64CA4"/>
    <w:rsid w:val="00C65874"/>
    <w:rsid w:val="00C66AF7"/>
    <w:rsid w:val="00C674F5"/>
    <w:rsid w:val="00C724EC"/>
    <w:rsid w:val="00C72A04"/>
    <w:rsid w:val="00C742DA"/>
    <w:rsid w:val="00C800F9"/>
    <w:rsid w:val="00C80A2D"/>
    <w:rsid w:val="00C81B55"/>
    <w:rsid w:val="00C81BB3"/>
    <w:rsid w:val="00C81F78"/>
    <w:rsid w:val="00C82C13"/>
    <w:rsid w:val="00C84600"/>
    <w:rsid w:val="00C85709"/>
    <w:rsid w:val="00C8588A"/>
    <w:rsid w:val="00C85E44"/>
    <w:rsid w:val="00C9131D"/>
    <w:rsid w:val="00C967B9"/>
    <w:rsid w:val="00C975EA"/>
    <w:rsid w:val="00CA1EFB"/>
    <w:rsid w:val="00CA4B75"/>
    <w:rsid w:val="00CB0B8C"/>
    <w:rsid w:val="00CB207D"/>
    <w:rsid w:val="00CB2176"/>
    <w:rsid w:val="00CB35BC"/>
    <w:rsid w:val="00CB5EDE"/>
    <w:rsid w:val="00CB6869"/>
    <w:rsid w:val="00CB7D04"/>
    <w:rsid w:val="00CC2E9E"/>
    <w:rsid w:val="00CC470A"/>
    <w:rsid w:val="00CD023B"/>
    <w:rsid w:val="00CD5F9F"/>
    <w:rsid w:val="00CD7EA0"/>
    <w:rsid w:val="00CE0517"/>
    <w:rsid w:val="00CE19E7"/>
    <w:rsid w:val="00CE242E"/>
    <w:rsid w:val="00CE38C9"/>
    <w:rsid w:val="00CE457A"/>
    <w:rsid w:val="00CE6E0C"/>
    <w:rsid w:val="00CF2B3B"/>
    <w:rsid w:val="00CF51E3"/>
    <w:rsid w:val="00D01F2D"/>
    <w:rsid w:val="00D027ED"/>
    <w:rsid w:val="00D03CDD"/>
    <w:rsid w:val="00D0559D"/>
    <w:rsid w:val="00D07F44"/>
    <w:rsid w:val="00D1208A"/>
    <w:rsid w:val="00D13F94"/>
    <w:rsid w:val="00D14BC4"/>
    <w:rsid w:val="00D153D5"/>
    <w:rsid w:val="00D15759"/>
    <w:rsid w:val="00D1767A"/>
    <w:rsid w:val="00D214DF"/>
    <w:rsid w:val="00D23242"/>
    <w:rsid w:val="00D253EC"/>
    <w:rsid w:val="00D30CFC"/>
    <w:rsid w:val="00D358AB"/>
    <w:rsid w:val="00D35BC6"/>
    <w:rsid w:val="00D36E36"/>
    <w:rsid w:val="00D4072E"/>
    <w:rsid w:val="00D41527"/>
    <w:rsid w:val="00D4403E"/>
    <w:rsid w:val="00D515D1"/>
    <w:rsid w:val="00D53CF9"/>
    <w:rsid w:val="00D5646A"/>
    <w:rsid w:val="00D567C1"/>
    <w:rsid w:val="00D603AB"/>
    <w:rsid w:val="00D60D30"/>
    <w:rsid w:val="00D64649"/>
    <w:rsid w:val="00D6474C"/>
    <w:rsid w:val="00D65BF1"/>
    <w:rsid w:val="00D669A5"/>
    <w:rsid w:val="00D670BB"/>
    <w:rsid w:val="00D709B4"/>
    <w:rsid w:val="00D727A7"/>
    <w:rsid w:val="00D72835"/>
    <w:rsid w:val="00D73D3A"/>
    <w:rsid w:val="00D758C1"/>
    <w:rsid w:val="00D76F7A"/>
    <w:rsid w:val="00D8133D"/>
    <w:rsid w:val="00D82A21"/>
    <w:rsid w:val="00D82D14"/>
    <w:rsid w:val="00D872BB"/>
    <w:rsid w:val="00D90449"/>
    <w:rsid w:val="00D9169B"/>
    <w:rsid w:val="00D92DE9"/>
    <w:rsid w:val="00D93130"/>
    <w:rsid w:val="00D93D92"/>
    <w:rsid w:val="00D946DA"/>
    <w:rsid w:val="00D95B0D"/>
    <w:rsid w:val="00DA1F1F"/>
    <w:rsid w:val="00DA2476"/>
    <w:rsid w:val="00DA4020"/>
    <w:rsid w:val="00DA4730"/>
    <w:rsid w:val="00DA4BC2"/>
    <w:rsid w:val="00DA602F"/>
    <w:rsid w:val="00DA732B"/>
    <w:rsid w:val="00DA75F8"/>
    <w:rsid w:val="00DB057D"/>
    <w:rsid w:val="00DB1FA2"/>
    <w:rsid w:val="00DB22FC"/>
    <w:rsid w:val="00DB32ED"/>
    <w:rsid w:val="00DB3357"/>
    <w:rsid w:val="00DB4D33"/>
    <w:rsid w:val="00DB71A4"/>
    <w:rsid w:val="00DC4B5E"/>
    <w:rsid w:val="00DC5632"/>
    <w:rsid w:val="00DD2298"/>
    <w:rsid w:val="00DD3973"/>
    <w:rsid w:val="00DD39A8"/>
    <w:rsid w:val="00DD561D"/>
    <w:rsid w:val="00DD5920"/>
    <w:rsid w:val="00DD66F2"/>
    <w:rsid w:val="00DE089D"/>
    <w:rsid w:val="00DE1C8B"/>
    <w:rsid w:val="00DE22A2"/>
    <w:rsid w:val="00DE2BFA"/>
    <w:rsid w:val="00DE5D50"/>
    <w:rsid w:val="00DE5E77"/>
    <w:rsid w:val="00DE63D9"/>
    <w:rsid w:val="00DF3FE8"/>
    <w:rsid w:val="00DF4201"/>
    <w:rsid w:val="00DF6801"/>
    <w:rsid w:val="00DF73D6"/>
    <w:rsid w:val="00E00F39"/>
    <w:rsid w:val="00E01C69"/>
    <w:rsid w:val="00E0306C"/>
    <w:rsid w:val="00E10330"/>
    <w:rsid w:val="00E10D7D"/>
    <w:rsid w:val="00E139E3"/>
    <w:rsid w:val="00E147C7"/>
    <w:rsid w:val="00E17076"/>
    <w:rsid w:val="00E213EE"/>
    <w:rsid w:val="00E22235"/>
    <w:rsid w:val="00E241C6"/>
    <w:rsid w:val="00E25B2C"/>
    <w:rsid w:val="00E3064C"/>
    <w:rsid w:val="00E30C0A"/>
    <w:rsid w:val="00E30D00"/>
    <w:rsid w:val="00E31218"/>
    <w:rsid w:val="00E357A1"/>
    <w:rsid w:val="00E3700B"/>
    <w:rsid w:val="00E37F28"/>
    <w:rsid w:val="00E451CD"/>
    <w:rsid w:val="00E45C17"/>
    <w:rsid w:val="00E464E2"/>
    <w:rsid w:val="00E50B1E"/>
    <w:rsid w:val="00E510F4"/>
    <w:rsid w:val="00E517FB"/>
    <w:rsid w:val="00E53BB6"/>
    <w:rsid w:val="00E61898"/>
    <w:rsid w:val="00E62F52"/>
    <w:rsid w:val="00E64FD1"/>
    <w:rsid w:val="00E6673D"/>
    <w:rsid w:val="00E67EF3"/>
    <w:rsid w:val="00E73A30"/>
    <w:rsid w:val="00E76EA3"/>
    <w:rsid w:val="00E77386"/>
    <w:rsid w:val="00E81FA0"/>
    <w:rsid w:val="00E83453"/>
    <w:rsid w:val="00E8443C"/>
    <w:rsid w:val="00E8482D"/>
    <w:rsid w:val="00E87FD3"/>
    <w:rsid w:val="00E90138"/>
    <w:rsid w:val="00E94A5D"/>
    <w:rsid w:val="00E97A3A"/>
    <w:rsid w:val="00EA20D5"/>
    <w:rsid w:val="00EA3795"/>
    <w:rsid w:val="00EA3968"/>
    <w:rsid w:val="00EA3DA7"/>
    <w:rsid w:val="00EA4424"/>
    <w:rsid w:val="00EA4B71"/>
    <w:rsid w:val="00EA5E09"/>
    <w:rsid w:val="00EB1FB4"/>
    <w:rsid w:val="00EB3641"/>
    <w:rsid w:val="00EB3D71"/>
    <w:rsid w:val="00EB3FBB"/>
    <w:rsid w:val="00EB5783"/>
    <w:rsid w:val="00EB5F19"/>
    <w:rsid w:val="00EC0275"/>
    <w:rsid w:val="00EC117A"/>
    <w:rsid w:val="00EC2202"/>
    <w:rsid w:val="00ED013C"/>
    <w:rsid w:val="00ED0CB4"/>
    <w:rsid w:val="00ED4AFE"/>
    <w:rsid w:val="00EE2E7B"/>
    <w:rsid w:val="00EE3645"/>
    <w:rsid w:val="00EE475D"/>
    <w:rsid w:val="00EF118D"/>
    <w:rsid w:val="00EF37F5"/>
    <w:rsid w:val="00EF4277"/>
    <w:rsid w:val="00EF462C"/>
    <w:rsid w:val="00EF4BDC"/>
    <w:rsid w:val="00EF7A48"/>
    <w:rsid w:val="00EF7BA1"/>
    <w:rsid w:val="00F001EB"/>
    <w:rsid w:val="00F00C3B"/>
    <w:rsid w:val="00F0281F"/>
    <w:rsid w:val="00F07867"/>
    <w:rsid w:val="00F128EE"/>
    <w:rsid w:val="00F15120"/>
    <w:rsid w:val="00F166EA"/>
    <w:rsid w:val="00F17DFF"/>
    <w:rsid w:val="00F21B09"/>
    <w:rsid w:val="00F22E3B"/>
    <w:rsid w:val="00F231A7"/>
    <w:rsid w:val="00F26304"/>
    <w:rsid w:val="00F27C4F"/>
    <w:rsid w:val="00F338AA"/>
    <w:rsid w:val="00F342CE"/>
    <w:rsid w:val="00F34561"/>
    <w:rsid w:val="00F34AA7"/>
    <w:rsid w:val="00F36105"/>
    <w:rsid w:val="00F37A1F"/>
    <w:rsid w:val="00F37D1A"/>
    <w:rsid w:val="00F40CCD"/>
    <w:rsid w:val="00F413DB"/>
    <w:rsid w:val="00F41455"/>
    <w:rsid w:val="00F46C9D"/>
    <w:rsid w:val="00F47564"/>
    <w:rsid w:val="00F47A49"/>
    <w:rsid w:val="00F54670"/>
    <w:rsid w:val="00F5497E"/>
    <w:rsid w:val="00F54C26"/>
    <w:rsid w:val="00F558CF"/>
    <w:rsid w:val="00F560B4"/>
    <w:rsid w:val="00F56EB4"/>
    <w:rsid w:val="00F5763D"/>
    <w:rsid w:val="00F60A4B"/>
    <w:rsid w:val="00F66F84"/>
    <w:rsid w:val="00F71BE2"/>
    <w:rsid w:val="00F72102"/>
    <w:rsid w:val="00F7258E"/>
    <w:rsid w:val="00F73762"/>
    <w:rsid w:val="00F74EA0"/>
    <w:rsid w:val="00F7607F"/>
    <w:rsid w:val="00F761CC"/>
    <w:rsid w:val="00F8296D"/>
    <w:rsid w:val="00F83D24"/>
    <w:rsid w:val="00F8422D"/>
    <w:rsid w:val="00F8714F"/>
    <w:rsid w:val="00F937BF"/>
    <w:rsid w:val="00FA038D"/>
    <w:rsid w:val="00FA0807"/>
    <w:rsid w:val="00FA0DDF"/>
    <w:rsid w:val="00FA2B6B"/>
    <w:rsid w:val="00FA52B1"/>
    <w:rsid w:val="00FA5BB7"/>
    <w:rsid w:val="00FA697C"/>
    <w:rsid w:val="00FA6DD9"/>
    <w:rsid w:val="00FA7093"/>
    <w:rsid w:val="00FA7312"/>
    <w:rsid w:val="00FB6E82"/>
    <w:rsid w:val="00FC015F"/>
    <w:rsid w:val="00FC0362"/>
    <w:rsid w:val="00FC1CB0"/>
    <w:rsid w:val="00FC39A4"/>
    <w:rsid w:val="00FD2DC5"/>
    <w:rsid w:val="00FD2F87"/>
    <w:rsid w:val="00FD594A"/>
    <w:rsid w:val="00FE15A7"/>
    <w:rsid w:val="00FE4A8B"/>
    <w:rsid w:val="00FE5FCF"/>
    <w:rsid w:val="00FE7B0E"/>
    <w:rsid w:val="00FF2B65"/>
    <w:rsid w:val="00FF3E60"/>
    <w:rsid w:val="00FF46D1"/>
    <w:rsid w:val="00FF49AD"/>
    <w:rsid w:val="014C3441"/>
    <w:rsid w:val="01CD7566"/>
    <w:rsid w:val="022D1237"/>
    <w:rsid w:val="024A32E9"/>
    <w:rsid w:val="02783976"/>
    <w:rsid w:val="02A41583"/>
    <w:rsid w:val="02D71FB5"/>
    <w:rsid w:val="034C1E15"/>
    <w:rsid w:val="035D38F8"/>
    <w:rsid w:val="037450A1"/>
    <w:rsid w:val="03CF5817"/>
    <w:rsid w:val="03D64DF8"/>
    <w:rsid w:val="03F32BAC"/>
    <w:rsid w:val="04273552"/>
    <w:rsid w:val="045441F3"/>
    <w:rsid w:val="04671EF4"/>
    <w:rsid w:val="0469583E"/>
    <w:rsid w:val="04B0714F"/>
    <w:rsid w:val="04FB7722"/>
    <w:rsid w:val="05467D5B"/>
    <w:rsid w:val="055C20DC"/>
    <w:rsid w:val="05C212BC"/>
    <w:rsid w:val="05C85828"/>
    <w:rsid w:val="06381496"/>
    <w:rsid w:val="06533EC6"/>
    <w:rsid w:val="06537B56"/>
    <w:rsid w:val="06542106"/>
    <w:rsid w:val="069114AA"/>
    <w:rsid w:val="06BA0DDD"/>
    <w:rsid w:val="06F37760"/>
    <w:rsid w:val="074E3AA1"/>
    <w:rsid w:val="07571DAC"/>
    <w:rsid w:val="076170CE"/>
    <w:rsid w:val="077262FE"/>
    <w:rsid w:val="07807F76"/>
    <w:rsid w:val="07A6504F"/>
    <w:rsid w:val="07C136C9"/>
    <w:rsid w:val="07E31891"/>
    <w:rsid w:val="081128A2"/>
    <w:rsid w:val="082864B5"/>
    <w:rsid w:val="086808E2"/>
    <w:rsid w:val="08740AC5"/>
    <w:rsid w:val="087A0447"/>
    <w:rsid w:val="08803584"/>
    <w:rsid w:val="08B407EF"/>
    <w:rsid w:val="08BA0B74"/>
    <w:rsid w:val="08DB6A0C"/>
    <w:rsid w:val="08DD6EB4"/>
    <w:rsid w:val="09175C96"/>
    <w:rsid w:val="093C083C"/>
    <w:rsid w:val="094F481A"/>
    <w:rsid w:val="094F6865"/>
    <w:rsid w:val="096017F4"/>
    <w:rsid w:val="099A74AA"/>
    <w:rsid w:val="09CA1EED"/>
    <w:rsid w:val="09CD0A4B"/>
    <w:rsid w:val="09EB0422"/>
    <w:rsid w:val="0A006C19"/>
    <w:rsid w:val="0A157CFC"/>
    <w:rsid w:val="0A7F0917"/>
    <w:rsid w:val="0AD91C61"/>
    <w:rsid w:val="0B313C63"/>
    <w:rsid w:val="0B4E5A61"/>
    <w:rsid w:val="0B550CF8"/>
    <w:rsid w:val="0B6616EB"/>
    <w:rsid w:val="0B786794"/>
    <w:rsid w:val="0BAB4DBC"/>
    <w:rsid w:val="0BC67500"/>
    <w:rsid w:val="0BC85D37"/>
    <w:rsid w:val="0BCD088E"/>
    <w:rsid w:val="0BDE00AF"/>
    <w:rsid w:val="0C2675E6"/>
    <w:rsid w:val="0C3A5E99"/>
    <w:rsid w:val="0C7B29E0"/>
    <w:rsid w:val="0C8C1106"/>
    <w:rsid w:val="0CF10AD0"/>
    <w:rsid w:val="0D0C15A1"/>
    <w:rsid w:val="0D0E5602"/>
    <w:rsid w:val="0D207BE3"/>
    <w:rsid w:val="0D434636"/>
    <w:rsid w:val="0D4738C8"/>
    <w:rsid w:val="0D692839"/>
    <w:rsid w:val="0DA66B93"/>
    <w:rsid w:val="0DAF51F7"/>
    <w:rsid w:val="0DD24882"/>
    <w:rsid w:val="0E0B7D94"/>
    <w:rsid w:val="0E1D587C"/>
    <w:rsid w:val="0E30791C"/>
    <w:rsid w:val="0E4C4D50"/>
    <w:rsid w:val="0E4D5CB6"/>
    <w:rsid w:val="0E603A9C"/>
    <w:rsid w:val="0E7932CE"/>
    <w:rsid w:val="0E9D1879"/>
    <w:rsid w:val="0E9E5723"/>
    <w:rsid w:val="0F383104"/>
    <w:rsid w:val="0F6072F5"/>
    <w:rsid w:val="0F960D4A"/>
    <w:rsid w:val="0FBD1A3F"/>
    <w:rsid w:val="0FD53A37"/>
    <w:rsid w:val="0FFF7484"/>
    <w:rsid w:val="102124D3"/>
    <w:rsid w:val="103A0B86"/>
    <w:rsid w:val="1047260E"/>
    <w:rsid w:val="104D26B4"/>
    <w:rsid w:val="10BE10ED"/>
    <w:rsid w:val="10E97A62"/>
    <w:rsid w:val="10FC5E0D"/>
    <w:rsid w:val="11674128"/>
    <w:rsid w:val="11B55A0E"/>
    <w:rsid w:val="11B75770"/>
    <w:rsid w:val="120C4803"/>
    <w:rsid w:val="12974979"/>
    <w:rsid w:val="129E2F84"/>
    <w:rsid w:val="13070B2A"/>
    <w:rsid w:val="13BA6604"/>
    <w:rsid w:val="13C77DC3"/>
    <w:rsid w:val="13DE2CF5"/>
    <w:rsid w:val="13EA5200"/>
    <w:rsid w:val="144C33AD"/>
    <w:rsid w:val="148265F0"/>
    <w:rsid w:val="14887A48"/>
    <w:rsid w:val="14FB70C9"/>
    <w:rsid w:val="14FF122B"/>
    <w:rsid w:val="15D53B8A"/>
    <w:rsid w:val="15DA0777"/>
    <w:rsid w:val="15F14CE5"/>
    <w:rsid w:val="1617304A"/>
    <w:rsid w:val="161B4F15"/>
    <w:rsid w:val="163360DA"/>
    <w:rsid w:val="16610551"/>
    <w:rsid w:val="169362CF"/>
    <w:rsid w:val="169A2B53"/>
    <w:rsid w:val="16ED09C9"/>
    <w:rsid w:val="17113815"/>
    <w:rsid w:val="17651AEB"/>
    <w:rsid w:val="17A42811"/>
    <w:rsid w:val="180531C8"/>
    <w:rsid w:val="180C0F1F"/>
    <w:rsid w:val="181F682C"/>
    <w:rsid w:val="184620F4"/>
    <w:rsid w:val="18D07C10"/>
    <w:rsid w:val="18EE17C0"/>
    <w:rsid w:val="193A52A0"/>
    <w:rsid w:val="19595F04"/>
    <w:rsid w:val="19665EE9"/>
    <w:rsid w:val="196D1903"/>
    <w:rsid w:val="19796E86"/>
    <w:rsid w:val="19A11619"/>
    <w:rsid w:val="19F142E2"/>
    <w:rsid w:val="19F7370F"/>
    <w:rsid w:val="1A280D9B"/>
    <w:rsid w:val="1AA2382E"/>
    <w:rsid w:val="1AC05A8A"/>
    <w:rsid w:val="1AF62E44"/>
    <w:rsid w:val="1AFE56FC"/>
    <w:rsid w:val="1B097409"/>
    <w:rsid w:val="1B41737E"/>
    <w:rsid w:val="1BBC3DFE"/>
    <w:rsid w:val="1BDF2ED8"/>
    <w:rsid w:val="1C1147C7"/>
    <w:rsid w:val="1C991009"/>
    <w:rsid w:val="1CA93AF4"/>
    <w:rsid w:val="1CC35E00"/>
    <w:rsid w:val="1CC621F8"/>
    <w:rsid w:val="1D005D31"/>
    <w:rsid w:val="1D1D0F4A"/>
    <w:rsid w:val="1D660BA4"/>
    <w:rsid w:val="1D763C22"/>
    <w:rsid w:val="1D7EAB62"/>
    <w:rsid w:val="1E215DAF"/>
    <w:rsid w:val="1E263141"/>
    <w:rsid w:val="1E652BA8"/>
    <w:rsid w:val="1E8108FE"/>
    <w:rsid w:val="1EA731C1"/>
    <w:rsid w:val="1ECA6EAF"/>
    <w:rsid w:val="1EDC6C10"/>
    <w:rsid w:val="1EE14CE9"/>
    <w:rsid w:val="1EF04B68"/>
    <w:rsid w:val="1F0E3240"/>
    <w:rsid w:val="1F193FA4"/>
    <w:rsid w:val="1F35573C"/>
    <w:rsid w:val="1F64306C"/>
    <w:rsid w:val="1F7D096C"/>
    <w:rsid w:val="1F92646F"/>
    <w:rsid w:val="1FF05620"/>
    <w:rsid w:val="1FFCF776"/>
    <w:rsid w:val="1FFD7B91"/>
    <w:rsid w:val="1FFE0878"/>
    <w:rsid w:val="20340A84"/>
    <w:rsid w:val="203950E8"/>
    <w:rsid w:val="204D7D98"/>
    <w:rsid w:val="20A76F70"/>
    <w:rsid w:val="20EF0551"/>
    <w:rsid w:val="21244F9D"/>
    <w:rsid w:val="21515666"/>
    <w:rsid w:val="21674E89"/>
    <w:rsid w:val="221B014E"/>
    <w:rsid w:val="2258379E"/>
    <w:rsid w:val="229D6DB5"/>
    <w:rsid w:val="22BB46CF"/>
    <w:rsid w:val="22D10020"/>
    <w:rsid w:val="235D099A"/>
    <w:rsid w:val="23BA3996"/>
    <w:rsid w:val="240864B0"/>
    <w:rsid w:val="245A486E"/>
    <w:rsid w:val="24B83B8C"/>
    <w:rsid w:val="24CF3471"/>
    <w:rsid w:val="25893620"/>
    <w:rsid w:val="25AC4CBA"/>
    <w:rsid w:val="25BD776E"/>
    <w:rsid w:val="25EC3BAF"/>
    <w:rsid w:val="26444389"/>
    <w:rsid w:val="26AE0814"/>
    <w:rsid w:val="26C32B62"/>
    <w:rsid w:val="26ED2F39"/>
    <w:rsid w:val="26EF5F67"/>
    <w:rsid w:val="26F9151C"/>
    <w:rsid w:val="275935DA"/>
    <w:rsid w:val="27F78198"/>
    <w:rsid w:val="27F84A8D"/>
    <w:rsid w:val="283807F0"/>
    <w:rsid w:val="285C14C0"/>
    <w:rsid w:val="286979C1"/>
    <w:rsid w:val="2898760C"/>
    <w:rsid w:val="28A169ED"/>
    <w:rsid w:val="28AD5878"/>
    <w:rsid w:val="28B46C06"/>
    <w:rsid w:val="29051C33"/>
    <w:rsid w:val="296D5007"/>
    <w:rsid w:val="298B1709"/>
    <w:rsid w:val="29916C1B"/>
    <w:rsid w:val="29943E6A"/>
    <w:rsid w:val="29F319B0"/>
    <w:rsid w:val="2A0B4CC0"/>
    <w:rsid w:val="2A573CED"/>
    <w:rsid w:val="2A590825"/>
    <w:rsid w:val="2A961B94"/>
    <w:rsid w:val="2A97027B"/>
    <w:rsid w:val="2A9D36CA"/>
    <w:rsid w:val="2AA75D9B"/>
    <w:rsid w:val="2AE35581"/>
    <w:rsid w:val="2AE61149"/>
    <w:rsid w:val="2B104EB8"/>
    <w:rsid w:val="2B230073"/>
    <w:rsid w:val="2B2A1401"/>
    <w:rsid w:val="2B5D07B6"/>
    <w:rsid w:val="2B9E594C"/>
    <w:rsid w:val="2BAE3DE1"/>
    <w:rsid w:val="2BBFF617"/>
    <w:rsid w:val="2BDF442D"/>
    <w:rsid w:val="2BFD2672"/>
    <w:rsid w:val="2C0559CB"/>
    <w:rsid w:val="2C3B319A"/>
    <w:rsid w:val="2C7D37B3"/>
    <w:rsid w:val="2CAD4098"/>
    <w:rsid w:val="2CE13D42"/>
    <w:rsid w:val="2D1729C0"/>
    <w:rsid w:val="2D5C5ABE"/>
    <w:rsid w:val="2D5E0D01"/>
    <w:rsid w:val="2D9139BA"/>
    <w:rsid w:val="2D9D02BB"/>
    <w:rsid w:val="2DAC2D48"/>
    <w:rsid w:val="2DB11966"/>
    <w:rsid w:val="2DFFAD93"/>
    <w:rsid w:val="2E283D2D"/>
    <w:rsid w:val="2E43ADDA"/>
    <w:rsid w:val="2E862DF3"/>
    <w:rsid w:val="2E9574DA"/>
    <w:rsid w:val="2EC54CB0"/>
    <w:rsid w:val="2EFF4953"/>
    <w:rsid w:val="2F2F348A"/>
    <w:rsid w:val="2F5C3B54"/>
    <w:rsid w:val="2F7F4CE0"/>
    <w:rsid w:val="2F8165BD"/>
    <w:rsid w:val="2F9161FF"/>
    <w:rsid w:val="2FB67708"/>
    <w:rsid w:val="2FC319E8"/>
    <w:rsid w:val="3126266B"/>
    <w:rsid w:val="314307E5"/>
    <w:rsid w:val="314C707A"/>
    <w:rsid w:val="315B3E9C"/>
    <w:rsid w:val="31BC6B2B"/>
    <w:rsid w:val="32052280"/>
    <w:rsid w:val="32186C6B"/>
    <w:rsid w:val="322270B1"/>
    <w:rsid w:val="3226690F"/>
    <w:rsid w:val="32A215FF"/>
    <w:rsid w:val="32B92D89"/>
    <w:rsid w:val="32D20BBF"/>
    <w:rsid w:val="32E225C2"/>
    <w:rsid w:val="32E61DB5"/>
    <w:rsid w:val="335C63FE"/>
    <w:rsid w:val="337A40F4"/>
    <w:rsid w:val="339750BD"/>
    <w:rsid w:val="339C423A"/>
    <w:rsid w:val="33B4492C"/>
    <w:rsid w:val="33CC66C0"/>
    <w:rsid w:val="33F51CCF"/>
    <w:rsid w:val="340C598E"/>
    <w:rsid w:val="34312369"/>
    <w:rsid w:val="349140DB"/>
    <w:rsid w:val="34914FCD"/>
    <w:rsid w:val="34B41877"/>
    <w:rsid w:val="34B85CD0"/>
    <w:rsid w:val="34CD7FBA"/>
    <w:rsid w:val="358931C8"/>
    <w:rsid w:val="35D2703F"/>
    <w:rsid w:val="36127662"/>
    <w:rsid w:val="361B02C4"/>
    <w:rsid w:val="3637A8FB"/>
    <w:rsid w:val="36471A85"/>
    <w:rsid w:val="365E46EA"/>
    <w:rsid w:val="36B129D7"/>
    <w:rsid w:val="36E2410D"/>
    <w:rsid w:val="370B7D04"/>
    <w:rsid w:val="37296A11"/>
    <w:rsid w:val="372C1456"/>
    <w:rsid w:val="375B3591"/>
    <w:rsid w:val="376C68FE"/>
    <w:rsid w:val="37985581"/>
    <w:rsid w:val="379C03C4"/>
    <w:rsid w:val="37A756FD"/>
    <w:rsid w:val="37B704C1"/>
    <w:rsid w:val="37B7AE68"/>
    <w:rsid w:val="37E9D6CA"/>
    <w:rsid w:val="37F255AD"/>
    <w:rsid w:val="37F75750"/>
    <w:rsid w:val="381C47C8"/>
    <w:rsid w:val="38407C06"/>
    <w:rsid w:val="384B44A4"/>
    <w:rsid w:val="385365E5"/>
    <w:rsid w:val="38591578"/>
    <w:rsid w:val="38977A54"/>
    <w:rsid w:val="389E3764"/>
    <w:rsid w:val="39103E24"/>
    <w:rsid w:val="39475874"/>
    <w:rsid w:val="39693A3D"/>
    <w:rsid w:val="39924D42"/>
    <w:rsid w:val="39B71F20"/>
    <w:rsid w:val="39FB3010"/>
    <w:rsid w:val="3A24129E"/>
    <w:rsid w:val="3ADC4454"/>
    <w:rsid w:val="3AF03C06"/>
    <w:rsid w:val="3AF34676"/>
    <w:rsid w:val="3AFDFCEA"/>
    <w:rsid w:val="3B124595"/>
    <w:rsid w:val="3B141786"/>
    <w:rsid w:val="3B1C2CC2"/>
    <w:rsid w:val="3B7D43F6"/>
    <w:rsid w:val="3B810EE2"/>
    <w:rsid w:val="3B8701AA"/>
    <w:rsid w:val="3BD15E3E"/>
    <w:rsid w:val="3BFBCC53"/>
    <w:rsid w:val="3BFE5DE5"/>
    <w:rsid w:val="3BFFEDD6"/>
    <w:rsid w:val="3C5C7A17"/>
    <w:rsid w:val="3C6407B5"/>
    <w:rsid w:val="3CB32E5D"/>
    <w:rsid w:val="3D263AE1"/>
    <w:rsid w:val="3D2B69BB"/>
    <w:rsid w:val="3D2C725B"/>
    <w:rsid w:val="3D950B09"/>
    <w:rsid w:val="3DF44C30"/>
    <w:rsid w:val="3DFB9D05"/>
    <w:rsid w:val="3E0922B4"/>
    <w:rsid w:val="3E43485C"/>
    <w:rsid w:val="3E5720B6"/>
    <w:rsid w:val="3E7E3189"/>
    <w:rsid w:val="3E99447C"/>
    <w:rsid w:val="3EAD4507"/>
    <w:rsid w:val="3ECA0DF0"/>
    <w:rsid w:val="3EDD8252"/>
    <w:rsid w:val="3F3FC904"/>
    <w:rsid w:val="3F5F115B"/>
    <w:rsid w:val="3F815467"/>
    <w:rsid w:val="3F9133A5"/>
    <w:rsid w:val="3FAE974A"/>
    <w:rsid w:val="3FAF7569"/>
    <w:rsid w:val="3FBB0439"/>
    <w:rsid w:val="3FBD063E"/>
    <w:rsid w:val="3FBE7F56"/>
    <w:rsid w:val="3FE81BAF"/>
    <w:rsid w:val="3FEFEE89"/>
    <w:rsid w:val="3FFB8979"/>
    <w:rsid w:val="400E517B"/>
    <w:rsid w:val="402A0A9B"/>
    <w:rsid w:val="40925627"/>
    <w:rsid w:val="40953369"/>
    <w:rsid w:val="417E1395"/>
    <w:rsid w:val="424854EA"/>
    <w:rsid w:val="42722BDC"/>
    <w:rsid w:val="42D261AF"/>
    <w:rsid w:val="430F2F5F"/>
    <w:rsid w:val="43573408"/>
    <w:rsid w:val="437E00E5"/>
    <w:rsid w:val="438C0A54"/>
    <w:rsid w:val="439F0A92"/>
    <w:rsid w:val="43B32016"/>
    <w:rsid w:val="43C30B5C"/>
    <w:rsid w:val="43E229B6"/>
    <w:rsid w:val="43F45380"/>
    <w:rsid w:val="43F54B50"/>
    <w:rsid w:val="444F4EEE"/>
    <w:rsid w:val="445E217C"/>
    <w:rsid w:val="4466385E"/>
    <w:rsid w:val="44854751"/>
    <w:rsid w:val="4502080D"/>
    <w:rsid w:val="45506B85"/>
    <w:rsid w:val="455E06EB"/>
    <w:rsid w:val="459260C9"/>
    <w:rsid w:val="45940736"/>
    <w:rsid w:val="46582E6F"/>
    <w:rsid w:val="46822C95"/>
    <w:rsid w:val="468D3E8B"/>
    <w:rsid w:val="4698326B"/>
    <w:rsid w:val="46AC4F69"/>
    <w:rsid w:val="46C839BF"/>
    <w:rsid w:val="46FFF313"/>
    <w:rsid w:val="473F503E"/>
    <w:rsid w:val="47472098"/>
    <w:rsid w:val="476B072D"/>
    <w:rsid w:val="47EFC40C"/>
    <w:rsid w:val="480F1C53"/>
    <w:rsid w:val="481808E7"/>
    <w:rsid w:val="48195588"/>
    <w:rsid w:val="483C58DF"/>
    <w:rsid w:val="4868469C"/>
    <w:rsid w:val="48A603C0"/>
    <w:rsid w:val="48F301C0"/>
    <w:rsid w:val="491347C8"/>
    <w:rsid w:val="49153299"/>
    <w:rsid w:val="491B4F0A"/>
    <w:rsid w:val="493C0826"/>
    <w:rsid w:val="497004D0"/>
    <w:rsid w:val="498E6F7D"/>
    <w:rsid w:val="4A1E7F2C"/>
    <w:rsid w:val="4A4774B4"/>
    <w:rsid w:val="4A49144C"/>
    <w:rsid w:val="4A6942B1"/>
    <w:rsid w:val="4A9F72BE"/>
    <w:rsid w:val="4AAA7A11"/>
    <w:rsid w:val="4AAE45D1"/>
    <w:rsid w:val="4ADA6548"/>
    <w:rsid w:val="4B9C37FE"/>
    <w:rsid w:val="4C9F22F5"/>
    <w:rsid w:val="4CA8017F"/>
    <w:rsid w:val="4CDF1BF4"/>
    <w:rsid w:val="4D5E470F"/>
    <w:rsid w:val="4DB5402C"/>
    <w:rsid w:val="4DD25D81"/>
    <w:rsid w:val="4DF69778"/>
    <w:rsid w:val="4DFF5AA1"/>
    <w:rsid w:val="4E01203E"/>
    <w:rsid w:val="4E3F66C2"/>
    <w:rsid w:val="4E4A12EF"/>
    <w:rsid w:val="4E704ACE"/>
    <w:rsid w:val="4EA336C1"/>
    <w:rsid w:val="4EBC7BD9"/>
    <w:rsid w:val="4EC67CB9"/>
    <w:rsid w:val="4EFFC6A9"/>
    <w:rsid w:val="4F060883"/>
    <w:rsid w:val="4F0973FC"/>
    <w:rsid w:val="4F665F13"/>
    <w:rsid w:val="4FD39011"/>
    <w:rsid w:val="502B04CC"/>
    <w:rsid w:val="5032028D"/>
    <w:rsid w:val="507B5903"/>
    <w:rsid w:val="507E5A75"/>
    <w:rsid w:val="51275918"/>
    <w:rsid w:val="512C1180"/>
    <w:rsid w:val="519248BF"/>
    <w:rsid w:val="5196797D"/>
    <w:rsid w:val="51E1640E"/>
    <w:rsid w:val="52392C19"/>
    <w:rsid w:val="525E7A5F"/>
    <w:rsid w:val="52A94B53"/>
    <w:rsid w:val="52BD477F"/>
    <w:rsid w:val="52BE31A5"/>
    <w:rsid w:val="52BE768D"/>
    <w:rsid w:val="52CE4502"/>
    <w:rsid w:val="52E87431"/>
    <w:rsid w:val="5300792D"/>
    <w:rsid w:val="532268C9"/>
    <w:rsid w:val="533E519B"/>
    <w:rsid w:val="5367649F"/>
    <w:rsid w:val="53AA2830"/>
    <w:rsid w:val="545A5249"/>
    <w:rsid w:val="546B5E03"/>
    <w:rsid w:val="549E2185"/>
    <w:rsid w:val="54B22B1E"/>
    <w:rsid w:val="54F55E2E"/>
    <w:rsid w:val="55471AC8"/>
    <w:rsid w:val="555C0A19"/>
    <w:rsid w:val="55652EB2"/>
    <w:rsid w:val="557213D8"/>
    <w:rsid w:val="559B17AB"/>
    <w:rsid w:val="559D2A6F"/>
    <w:rsid w:val="55BFF152"/>
    <w:rsid w:val="55C2076D"/>
    <w:rsid w:val="55E42029"/>
    <w:rsid w:val="567B1675"/>
    <w:rsid w:val="56A25A40"/>
    <w:rsid w:val="56A31EE4"/>
    <w:rsid w:val="56AE6CA9"/>
    <w:rsid w:val="56DC36BA"/>
    <w:rsid w:val="56E147BB"/>
    <w:rsid w:val="570109B9"/>
    <w:rsid w:val="579A6471"/>
    <w:rsid w:val="57B6149D"/>
    <w:rsid w:val="57BF6BBB"/>
    <w:rsid w:val="57D4431F"/>
    <w:rsid w:val="57E7759A"/>
    <w:rsid w:val="581F7096"/>
    <w:rsid w:val="584A09A2"/>
    <w:rsid w:val="58562F86"/>
    <w:rsid w:val="58615BB3"/>
    <w:rsid w:val="586C27AA"/>
    <w:rsid w:val="5878260D"/>
    <w:rsid w:val="59015F07"/>
    <w:rsid w:val="591209B2"/>
    <w:rsid w:val="59215342"/>
    <w:rsid w:val="595D7206"/>
    <w:rsid w:val="598D29D8"/>
    <w:rsid w:val="59BB12F3"/>
    <w:rsid w:val="59C52172"/>
    <w:rsid w:val="59DC08E3"/>
    <w:rsid w:val="5A5D2FC6"/>
    <w:rsid w:val="5A6FB95D"/>
    <w:rsid w:val="5A870A5E"/>
    <w:rsid w:val="5AA31C50"/>
    <w:rsid w:val="5AFBB39F"/>
    <w:rsid w:val="5B445318"/>
    <w:rsid w:val="5B591320"/>
    <w:rsid w:val="5B8F2A37"/>
    <w:rsid w:val="5BAB947F"/>
    <w:rsid w:val="5BBF4F13"/>
    <w:rsid w:val="5BD3A87E"/>
    <w:rsid w:val="5BE56BAA"/>
    <w:rsid w:val="5BFA4553"/>
    <w:rsid w:val="5C04539A"/>
    <w:rsid w:val="5C8C5494"/>
    <w:rsid w:val="5C994992"/>
    <w:rsid w:val="5CC30C5B"/>
    <w:rsid w:val="5CEE64CC"/>
    <w:rsid w:val="5D017965"/>
    <w:rsid w:val="5D0D3F39"/>
    <w:rsid w:val="5D133F01"/>
    <w:rsid w:val="5D50269A"/>
    <w:rsid w:val="5D7F7390"/>
    <w:rsid w:val="5DBFA747"/>
    <w:rsid w:val="5DD6CF2A"/>
    <w:rsid w:val="5DFE37CC"/>
    <w:rsid w:val="5E131D9C"/>
    <w:rsid w:val="5E2C6C63"/>
    <w:rsid w:val="5E4F4700"/>
    <w:rsid w:val="5E5FDDB0"/>
    <w:rsid w:val="5E7F0716"/>
    <w:rsid w:val="5EC04C39"/>
    <w:rsid w:val="5EC92704"/>
    <w:rsid w:val="5F3FB621"/>
    <w:rsid w:val="5F4F92F2"/>
    <w:rsid w:val="5F545E94"/>
    <w:rsid w:val="5F5B1589"/>
    <w:rsid w:val="5F6B5569"/>
    <w:rsid w:val="5F77BF38"/>
    <w:rsid w:val="5F830EB2"/>
    <w:rsid w:val="5F927A48"/>
    <w:rsid w:val="5FAE107B"/>
    <w:rsid w:val="5FC44C79"/>
    <w:rsid w:val="5FDC2895"/>
    <w:rsid w:val="5FDF4CC3"/>
    <w:rsid w:val="5FF1B8B8"/>
    <w:rsid w:val="5FF321A8"/>
    <w:rsid w:val="5FF615BD"/>
    <w:rsid w:val="5FF64FAC"/>
    <w:rsid w:val="5FFBF74B"/>
    <w:rsid w:val="5FFCEF1B"/>
    <w:rsid w:val="602738FC"/>
    <w:rsid w:val="602C2F4B"/>
    <w:rsid w:val="605F2B43"/>
    <w:rsid w:val="606C2B70"/>
    <w:rsid w:val="60AA20C1"/>
    <w:rsid w:val="60AC2BDE"/>
    <w:rsid w:val="60AC408B"/>
    <w:rsid w:val="60C856BF"/>
    <w:rsid w:val="60D3492A"/>
    <w:rsid w:val="60DD4245"/>
    <w:rsid w:val="612D2E3D"/>
    <w:rsid w:val="61587F5F"/>
    <w:rsid w:val="61604C1E"/>
    <w:rsid w:val="616109D2"/>
    <w:rsid w:val="6183150C"/>
    <w:rsid w:val="61CC18F5"/>
    <w:rsid w:val="62436329"/>
    <w:rsid w:val="62514006"/>
    <w:rsid w:val="62525C5A"/>
    <w:rsid w:val="625E5F3C"/>
    <w:rsid w:val="62D80B9A"/>
    <w:rsid w:val="62EF0425"/>
    <w:rsid w:val="632F7FD4"/>
    <w:rsid w:val="636D547C"/>
    <w:rsid w:val="638B22F2"/>
    <w:rsid w:val="6420466E"/>
    <w:rsid w:val="64992B79"/>
    <w:rsid w:val="64EB52CA"/>
    <w:rsid w:val="65075D34"/>
    <w:rsid w:val="65A21D60"/>
    <w:rsid w:val="65AB4220"/>
    <w:rsid w:val="65C2575B"/>
    <w:rsid w:val="65D26D3E"/>
    <w:rsid w:val="65DD1449"/>
    <w:rsid w:val="65ED6CD8"/>
    <w:rsid w:val="66285F62"/>
    <w:rsid w:val="662E7672"/>
    <w:rsid w:val="66352C13"/>
    <w:rsid w:val="664045D4"/>
    <w:rsid w:val="66517498"/>
    <w:rsid w:val="6675638B"/>
    <w:rsid w:val="66873AE7"/>
    <w:rsid w:val="669F5E33"/>
    <w:rsid w:val="66C20165"/>
    <w:rsid w:val="66D936C4"/>
    <w:rsid w:val="66FB10EF"/>
    <w:rsid w:val="671F1BE5"/>
    <w:rsid w:val="67256946"/>
    <w:rsid w:val="672A7AB8"/>
    <w:rsid w:val="676E209B"/>
    <w:rsid w:val="67F7B096"/>
    <w:rsid w:val="67FB863B"/>
    <w:rsid w:val="68150152"/>
    <w:rsid w:val="681D29C9"/>
    <w:rsid w:val="684D1CB0"/>
    <w:rsid w:val="68664B20"/>
    <w:rsid w:val="6874345A"/>
    <w:rsid w:val="689549F6"/>
    <w:rsid w:val="68C13E28"/>
    <w:rsid w:val="68CB0E27"/>
    <w:rsid w:val="68CF7563"/>
    <w:rsid w:val="68DC2DAC"/>
    <w:rsid w:val="69140A20"/>
    <w:rsid w:val="691B0000"/>
    <w:rsid w:val="691B3B5C"/>
    <w:rsid w:val="691D5429"/>
    <w:rsid w:val="693134C4"/>
    <w:rsid w:val="693764BC"/>
    <w:rsid w:val="694806C9"/>
    <w:rsid w:val="694826A4"/>
    <w:rsid w:val="69A67BA4"/>
    <w:rsid w:val="69C02956"/>
    <w:rsid w:val="69C76052"/>
    <w:rsid w:val="69CB5582"/>
    <w:rsid w:val="69ED5B0B"/>
    <w:rsid w:val="69FC9584"/>
    <w:rsid w:val="6A0675A3"/>
    <w:rsid w:val="6A6B512C"/>
    <w:rsid w:val="6A94006A"/>
    <w:rsid w:val="6A962C03"/>
    <w:rsid w:val="6A9811DC"/>
    <w:rsid w:val="6ABA0007"/>
    <w:rsid w:val="6ABF49BB"/>
    <w:rsid w:val="6ADD2837"/>
    <w:rsid w:val="6ADE958E"/>
    <w:rsid w:val="6B2B4D5B"/>
    <w:rsid w:val="6B9D2F71"/>
    <w:rsid w:val="6C0A444D"/>
    <w:rsid w:val="6C332102"/>
    <w:rsid w:val="6CFF25D0"/>
    <w:rsid w:val="6D4D179A"/>
    <w:rsid w:val="6DF65EF8"/>
    <w:rsid w:val="6DFEC888"/>
    <w:rsid w:val="6E330D64"/>
    <w:rsid w:val="6E7837FF"/>
    <w:rsid w:val="6E95414B"/>
    <w:rsid w:val="6E9D3429"/>
    <w:rsid w:val="6EFFCE55"/>
    <w:rsid w:val="6F0357BE"/>
    <w:rsid w:val="6F0F4163"/>
    <w:rsid w:val="6F2658B0"/>
    <w:rsid w:val="6F527BE2"/>
    <w:rsid w:val="6F7FC5B7"/>
    <w:rsid w:val="6F91760E"/>
    <w:rsid w:val="6F9B7D62"/>
    <w:rsid w:val="6FBA63CB"/>
    <w:rsid w:val="6FC66971"/>
    <w:rsid w:val="6FCEB006"/>
    <w:rsid w:val="6FF67D01"/>
    <w:rsid w:val="6FF77172"/>
    <w:rsid w:val="6FF781EF"/>
    <w:rsid w:val="6FFEDCD8"/>
    <w:rsid w:val="70074E3A"/>
    <w:rsid w:val="701D6F1F"/>
    <w:rsid w:val="707F70C6"/>
    <w:rsid w:val="70CE5958"/>
    <w:rsid w:val="71031435"/>
    <w:rsid w:val="71067748"/>
    <w:rsid w:val="713D23C0"/>
    <w:rsid w:val="71500A63"/>
    <w:rsid w:val="71506E3D"/>
    <w:rsid w:val="71A02333"/>
    <w:rsid w:val="71D75408"/>
    <w:rsid w:val="71E2713D"/>
    <w:rsid w:val="71F3264D"/>
    <w:rsid w:val="71F429EE"/>
    <w:rsid w:val="725400DF"/>
    <w:rsid w:val="72867055"/>
    <w:rsid w:val="72E639F4"/>
    <w:rsid w:val="72ED38E1"/>
    <w:rsid w:val="72F37B89"/>
    <w:rsid w:val="73012015"/>
    <w:rsid w:val="733A0F3F"/>
    <w:rsid w:val="73B07C85"/>
    <w:rsid w:val="73B3520F"/>
    <w:rsid w:val="73FF5902"/>
    <w:rsid w:val="741A0AAF"/>
    <w:rsid w:val="742918EC"/>
    <w:rsid w:val="743B3AC1"/>
    <w:rsid w:val="74697267"/>
    <w:rsid w:val="746E12FE"/>
    <w:rsid w:val="7473350A"/>
    <w:rsid w:val="74736F42"/>
    <w:rsid w:val="74876180"/>
    <w:rsid w:val="74A561AC"/>
    <w:rsid w:val="74B07EB4"/>
    <w:rsid w:val="74B44E65"/>
    <w:rsid w:val="74B80DF9"/>
    <w:rsid w:val="74BF5CE3"/>
    <w:rsid w:val="74C07CAE"/>
    <w:rsid w:val="74EA0887"/>
    <w:rsid w:val="74FA6D1C"/>
    <w:rsid w:val="750C41FF"/>
    <w:rsid w:val="75114065"/>
    <w:rsid w:val="75383CE8"/>
    <w:rsid w:val="75A228F3"/>
    <w:rsid w:val="75BA487A"/>
    <w:rsid w:val="75CA2AB6"/>
    <w:rsid w:val="75E168B7"/>
    <w:rsid w:val="75ED062E"/>
    <w:rsid w:val="76577E25"/>
    <w:rsid w:val="7677B433"/>
    <w:rsid w:val="767DA199"/>
    <w:rsid w:val="768F34E2"/>
    <w:rsid w:val="76AA3EEA"/>
    <w:rsid w:val="76C05D43"/>
    <w:rsid w:val="76DA32A9"/>
    <w:rsid w:val="76DBEA81"/>
    <w:rsid w:val="76FB544D"/>
    <w:rsid w:val="7703426B"/>
    <w:rsid w:val="770B16B4"/>
    <w:rsid w:val="770DA1DD"/>
    <w:rsid w:val="7733608A"/>
    <w:rsid w:val="773D3837"/>
    <w:rsid w:val="773F04C4"/>
    <w:rsid w:val="778E6C24"/>
    <w:rsid w:val="77A15B74"/>
    <w:rsid w:val="77CA50CB"/>
    <w:rsid w:val="77DA70C3"/>
    <w:rsid w:val="77EB0D46"/>
    <w:rsid w:val="77FB51D3"/>
    <w:rsid w:val="77FC62BC"/>
    <w:rsid w:val="781400F4"/>
    <w:rsid w:val="782C50FB"/>
    <w:rsid w:val="785B3F75"/>
    <w:rsid w:val="7860653F"/>
    <w:rsid w:val="7883116B"/>
    <w:rsid w:val="789A51C2"/>
    <w:rsid w:val="789B6A68"/>
    <w:rsid w:val="78A92F3B"/>
    <w:rsid w:val="78AC35E7"/>
    <w:rsid w:val="78B46688"/>
    <w:rsid w:val="78BE8143"/>
    <w:rsid w:val="78C15556"/>
    <w:rsid w:val="78C37D6C"/>
    <w:rsid w:val="78C53E2C"/>
    <w:rsid w:val="790463BB"/>
    <w:rsid w:val="79556C16"/>
    <w:rsid w:val="797846B3"/>
    <w:rsid w:val="79BA19DB"/>
    <w:rsid w:val="79BC4EE7"/>
    <w:rsid w:val="79EB5317"/>
    <w:rsid w:val="7A13262E"/>
    <w:rsid w:val="7A730B94"/>
    <w:rsid w:val="7AAE5B95"/>
    <w:rsid w:val="7AD50A9A"/>
    <w:rsid w:val="7AF9101A"/>
    <w:rsid w:val="7B3311D9"/>
    <w:rsid w:val="7B3A4A2B"/>
    <w:rsid w:val="7B4F6158"/>
    <w:rsid w:val="7B63089B"/>
    <w:rsid w:val="7BAF222A"/>
    <w:rsid w:val="7BC15D10"/>
    <w:rsid w:val="7BCE51D7"/>
    <w:rsid w:val="7BD03879"/>
    <w:rsid w:val="7BD786F9"/>
    <w:rsid w:val="7BF90886"/>
    <w:rsid w:val="7BFD4988"/>
    <w:rsid w:val="7C4D1E27"/>
    <w:rsid w:val="7C7F494C"/>
    <w:rsid w:val="7C8F76D3"/>
    <w:rsid w:val="7C940210"/>
    <w:rsid w:val="7CCB71F0"/>
    <w:rsid w:val="7CED166A"/>
    <w:rsid w:val="7CF8296D"/>
    <w:rsid w:val="7D47F157"/>
    <w:rsid w:val="7D7EA933"/>
    <w:rsid w:val="7D8775BA"/>
    <w:rsid w:val="7D8B7494"/>
    <w:rsid w:val="7D937254"/>
    <w:rsid w:val="7D9C7649"/>
    <w:rsid w:val="7D9F4904"/>
    <w:rsid w:val="7DA368AE"/>
    <w:rsid w:val="7DBB1BCF"/>
    <w:rsid w:val="7DDD1916"/>
    <w:rsid w:val="7DDF0A2F"/>
    <w:rsid w:val="7DFA3FD5"/>
    <w:rsid w:val="7DFFCEDD"/>
    <w:rsid w:val="7E4FFDC6"/>
    <w:rsid w:val="7E560BB9"/>
    <w:rsid w:val="7E61605D"/>
    <w:rsid w:val="7E778D86"/>
    <w:rsid w:val="7E881F09"/>
    <w:rsid w:val="7EA66ED8"/>
    <w:rsid w:val="7EBAC386"/>
    <w:rsid w:val="7EBE905D"/>
    <w:rsid w:val="7EE9514D"/>
    <w:rsid w:val="7EEEE83F"/>
    <w:rsid w:val="7EF70770"/>
    <w:rsid w:val="7EF75CF2"/>
    <w:rsid w:val="7EFF6A6A"/>
    <w:rsid w:val="7F2F0C8C"/>
    <w:rsid w:val="7F37B89D"/>
    <w:rsid w:val="7F395B31"/>
    <w:rsid w:val="7F414376"/>
    <w:rsid w:val="7F573819"/>
    <w:rsid w:val="7F673200"/>
    <w:rsid w:val="7F6F0306"/>
    <w:rsid w:val="7F6F5DEE"/>
    <w:rsid w:val="7F7581B2"/>
    <w:rsid w:val="7F794234"/>
    <w:rsid w:val="7F79A2C6"/>
    <w:rsid w:val="7F7F575F"/>
    <w:rsid w:val="7F8BD2BB"/>
    <w:rsid w:val="7FA77277"/>
    <w:rsid w:val="7FAD3B3E"/>
    <w:rsid w:val="7FBE5171"/>
    <w:rsid w:val="7FBFFFD8"/>
    <w:rsid w:val="7FDB7C59"/>
    <w:rsid w:val="7FDFCB86"/>
    <w:rsid w:val="7FDFF889"/>
    <w:rsid w:val="7FDFFF9C"/>
    <w:rsid w:val="7FE17456"/>
    <w:rsid w:val="7FF35EE4"/>
    <w:rsid w:val="7FF54AFB"/>
    <w:rsid w:val="7FFF266D"/>
    <w:rsid w:val="7FFF564C"/>
    <w:rsid w:val="7FFF6C25"/>
    <w:rsid w:val="7FFF9B44"/>
    <w:rsid w:val="86E7A35C"/>
    <w:rsid w:val="93FFD778"/>
    <w:rsid w:val="975F589A"/>
    <w:rsid w:val="9A1F2146"/>
    <w:rsid w:val="9D7D4C71"/>
    <w:rsid w:val="9DFFEFB5"/>
    <w:rsid w:val="9F7F032F"/>
    <w:rsid w:val="AB762A95"/>
    <w:rsid w:val="ACC76BDF"/>
    <w:rsid w:val="AD62DA46"/>
    <w:rsid w:val="AFB33FC2"/>
    <w:rsid w:val="AFF1E7DE"/>
    <w:rsid w:val="B3366740"/>
    <w:rsid w:val="B4D3816E"/>
    <w:rsid w:val="B771527F"/>
    <w:rsid w:val="B7F74AC0"/>
    <w:rsid w:val="B9FF6F9D"/>
    <w:rsid w:val="BB3DD9AB"/>
    <w:rsid w:val="BBEC751A"/>
    <w:rsid w:val="BBFF3917"/>
    <w:rsid w:val="BBFF9200"/>
    <w:rsid w:val="BCFFFC63"/>
    <w:rsid w:val="BD7DEE9D"/>
    <w:rsid w:val="BDF9CA83"/>
    <w:rsid w:val="BDFF7AAE"/>
    <w:rsid w:val="BF5FB8FE"/>
    <w:rsid w:val="BFC6AC94"/>
    <w:rsid w:val="BFED6168"/>
    <w:rsid w:val="BFFFE31D"/>
    <w:rsid w:val="C569FADA"/>
    <w:rsid w:val="C6BEEE41"/>
    <w:rsid w:val="CA3D789E"/>
    <w:rsid w:val="CBDE27B7"/>
    <w:rsid w:val="CD9F3621"/>
    <w:rsid w:val="CF7FD0B4"/>
    <w:rsid w:val="CF9F2999"/>
    <w:rsid w:val="CFBFC3A1"/>
    <w:rsid w:val="CFF998F5"/>
    <w:rsid w:val="D01E1E28"/>
    <w:rsid w:val="D3FF5535"/>
    <w:rsid w:val="D42CF24B"/>
    <w:rsid w:val="D5DEE84A"/>
    <w:rsid w:val="D5FF65FE"/>
    <w:rsid w:val="D7F8C555"/>
    <w:rsid w:val="D7FB4C68"/>
    <w:rsid w:val="D7FD4A3E"/>
    <w:rsid w:val="D9B8097B"/>
    <w:rsid w:val="D9F91096"/>
    <w:rsid w:val="DBBF4040"/>
    <w:rsid w:val="DD3D9127"/>
    <w:rsid w:val="DD57E7CE"/>
    <w:rsid w:val="DD654030"/>
    <w:rsid w:val="DDBF118E"/>
    <w:rsid w:val="DDDD5BF6"/>
    <w:rsid w:val="DEB73B79"/>
    <w:rsid w:val="DF39BCDA"/>
    <w:rsid w:val="DFBD712D"/>
    <w:rsid w:val="DFD74C1C"/>
    <w:rsid w:val="DFDAE3CF"/>
    <w:rsid w:val="DFFD1ED2"/>
    <w:rsid w:val="DFFF4F13"/>
    <w:rsid w:val="E3DEE08F"/>
    <w:rsid w:val="E5EF1D8F"/>
    <w:rsid w:val="E76F1870"/>
    <w:rsid w:val="E7FF2C0D"/>
    <w:rsid w:val="E81F9EDB"/>
    <w:rsid w:val="EBF74B1F"/>
    <w:rsid w:val="EDF7714B"/>
    <w:rsid w:val="EEEE6B5C"/>
    <w:rsid w:val="EEFB6B26"/>
    <w:rsid w:val="EEFFB669"/>
    <w:rsid w:val="EF3A8780"/>
    <w:rsid w:val="EF9E4CF3"/>
    <w:rsid w:val="EFEC0406"/>
    <w:rsid w:val="EFEEC415"/>
    <w:rsid w:val="EFFAA7B7"/>
    <w:rsid w:val="EFFCB58F"/>
    <w:rsid w:val="EFFE5714"/>
    <w:rsid w:val="EFFF68FD"/>
    <w:rsid w:val="EFFFD714"/>
    <w:rsid w:val="F1ADF032"/>
    <w:rsid w:val="F1CF6FDD"/>
    <w:rsid w:val="F27E1C1F"/>
    <w:rsid w:val="F33F6A1E"/>
    <w:rsid w:val="F36F7AA6"/>
    <w:rsid w:val="F3DBD16C"/>
    <w:rsid w:val="F3FBFDD7"/>
    <w:rsid w:val="F5FB3529"/>
    <w:rsid w:val="F6639C74"/>
    <w:rsid w:val="F6E77BD9"/>
    <w:rsid w:val="F74FE36B"/>
    <w:rsid w:val="F79BFC0F"/>
    <w:rsid w:val="F7BB26DD"/>
    <w:rsid w:val="F8F3865E"/>
    <w:rsid w:val="F9BF7C10"/>
    <w:rsid w:val="FABF5C79"/>
    <w:rsid w:val="FAEB151D"/>
    <w:rsid w:val="FAFF6ECB"/>
    <w:rsid w:val="FB2F53B7"/>
    <w:rsid w:val="FB9C54AB"/>
    <w:rsid w:val="FBF688EB"/>
    <w:rsid w:val="FBFF1C96"/>
    <w:rsid w:val="FC3782F4"/>
    <w:rsid w:val="FC5309AE"/>
    <w:rsid w:val="FCF7C91A"/>
    <w:rsid w:val="FDC0F10D"/>
    <w:rsid w:val="FDD9D2F7"/>
    <w:rsid w:val="FDED2C5C"/>
    <w:rsid w:val="FDEEE6DC"/>
    <w:rsid w:val="FDF7E817"/>
    <w:rsid w:val="FDFF09EE"/>
    <w:rsid w:val="FDFF3B45"/>
    <w:rsid w:val="FDFF47C5"/>
    <w:rsid w:val="FEA75407"/>
    <w:rsid w:val="FEEBCFE8"/>
    <w:rsid w:val="FEEEBC13"/>
    <w:rsid w:val="FEF3943F"/>
    <w:rsid w:val="FEF4177E"/>
    <w:rsid w:val="FEFD73AC"/>
    <w:rsid w:val="FEFDC4DE"/>
    <w:rsid w:val="FEFF66AD"/>
    <w:rsid w:val="FF555BC8"/>
    <w:rsid w:val="FF5F9DF0"/>
    <w:rsid w:val="FF6924EA"/>
    <w:rsid w:val="FF9C04F6"/>
    <w:rsid w:val="FFAF2673"/>
    <w:rsid w:val="FFBF36C6"/>
    <w:rsid w:val="FFBF589E"/>
    <w:rsid w:val="FFBF5F5E"/>
    <w:rsid w:val="FFDAC955"/>
    <w:rsid w:val="FFDCE5DA"/>
    <w:rsid w:val="FFDDF5B5"/>
    <w:rsid w:val="FFDFEB17"/>
    <w:rsid w:val="FFE92171"/>
    <w:rsid w:val="FFEF04B0"/>
    <w:rsid w:val="FFEF1177"/>
    <w:rsid w:val="FFEF6DB4"/>
    <w:rsid w:val="FFF700F3"/>
    <w:rsid w:val="FFF78757"/>
    <w:rsid w:val="FFF98F2D"/>
    <w:rsid w:val="FFFB0183"/>
    <w:rsid w:val="FFFB90CF"/>
    <w:rsid w:val="FFFD2324"/>
    <w:rsid w:val="FFFD631D"/>
    <w:rsid w:val="FFFDB292"/>
    <w:rsid w:val="FFFDF53A"/>
    <w:rsid w:val="FFFF3AE7"/>
    <w:rsid w:val="FFFF62F2"/>
    <w:rsid w:val="FFFFAA1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semiHidden="0" w:name="heading 3"/>
    <w:lsdException w:qFormat="1" w:uiPriority="9" w:semiHidden="0" w:name="heading 4"/>
    <w:lsdException w:qFormat="1" w:unhideWhenUsed="0" w:uiPriority="1"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iPriority="99" w:name="Body Text First Indent"/>
    <w:lsdException w:qFormat="1" w:uiPriority="99" w:name="Body Text First Indent 2"/>
    <w:lsdException w:uiPriority="99" w:name="Note Heading"/>
    <w:lsdException w:qFormat="1" w:unhideWhenUsed="0" w:uiPriority="0" w:semiHidden="0" w:name="Body Text 2"/>
    <w:lsdException w:qFormat="1"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8">
    <w:name w:val="heading 1"/>
    <w:basedOn w:val="1"/>
    <w:next w:val="1"/>
    <w:link w:val="36"/>
    <w:qFormat/>
    <w:uiPriority w:val="9"/>
    <w:pPr>
      <w:keepNext/>
      <w:keepLines/>
      <w:spacing w:before="340" w:after="330" w:line="578" w:lineRule="auto"/>
      <w:outlineLvl w:val="0"/>
    </w:pPr>
    <w:rPr>
      <w:b/>
      <w:bCs/>
      <w:kern w:val="44"/>
      <w:sz w:val="44"/>
      <w:szCs w:val="44"/>
    </w:rPr>
  </w:style>
  <w:style w:type="paragraph" w:styleId="9">
    <w:name w:val="heading 2"/>
    <w:basedOn w:val="1"/>
    <w:next w:val="1"/>
    <w:link w:val="38"/>
    <w:qFormat/>
    <w:uiPriority w:val="0"/>
    <w:pPr>
      <w:keepNext/>
      <w:keepLines/>
      <w:tabs>
        <w:tab w:val="left" w:pos="840"/>
      </w:tabs>
      <w:spacing w:before="260" w:after="260" w:line="416" w:lineRule="auto"/>
      <w:ind w:left="840" w:hanging="420"/>
      <w:jc w:val="center"/>
      <w:outlineLvl w:val="1"/>
    </w:pPr>
    <w:rPr>
      <w:rFonts w:ascii="Arial" w:hAnsi="Arial" w:eastAsia="黑体" w:cs="Times New Roman"/>
      <w:b/>
      <w:sz w:val="32"/>
      <w:szCs w:val="20"/>
    </w:rPr>
  </w:style>
  <w:style w:type="paragraph" w:styleId="10">
    <w:name w:val="heading 3"/>
    <w:basedOn w:val="1"/>
    <w:next w:val="1"/>
    <w:link w:val="39"/>
    <w:unhideWhenUsed/>
    <w:qFormat/>
    <w:uiPriority w:val="9"/>
    <w:pPr>
      <w:keepNext/>
      <w:keepLines/>
      <w:spacing w:before="260" w:after="260" w:line="416" w:lineRule="auto"/>
      <w:outlineLvl w:val="2"/>
    </w:pPr>
    <w:rPr>
      <w:b/>
      <w:bCs/>
      <w:sz w:val="32"/>
      <w:szCs w:val="32"/>
    </w:rPr>
  </w:style>
  <w:style w:type="paragraph" w:styleId="11">
    <w:name w:val="heading 4"/>
    <w:basedOn w:val="1"/>
    <w:next w:val="1"/>
    <w:link w:val="40"/>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12">
    <w:name w:val="heading 5"/>
    <w:basedOn w:val="1"/>
    <w:next w:val="1"/>
    <w:qFormat/>
    <w:uiPriority w:val="1"/>
    <w:pPr>
      <w:ind w:left="420"/>
      <w:outlineLvl w:val="4"/>
    </w:pPr>
    <w:rPr>
      <w:rFonts w:ascii="宋体" w:hAnsi="宋体" w:eastAsia="宋体" w:cs="宋体"/>
      <w:sz w:val="36"/>
      <w:szCs w:val="36"/>
    </w:rPr>
  </w:style>
  <w:style w:type="paragraph" w:styleId="13">
    <w:name w:val="heading 8"/>
    <w:basedOn w:val="1"/>
    <w:next w:val="1"/>
    <w:link w:val="41"/>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5"/>
    <w:link w:val="53"/>
    <w:semiHidden/>
    <w:unhideWhenUsed/>
    <w:qFormat/>
    <w:uiPriority w:val="99"/>
    <w:pPr>
      <w:adjustRightInd/>
      <w:spacing w:after="120"/>
      <w:ind w:firstLine="420" w:firstLineChars="100"/>
      <w:jc w:val="both"/>
      <w:textAlignment w:val="auto"/>
    </w:pPr>
    <w:rPr>
      <w:rFonts w:asciiTheme="minorHAnsi" w:hAnsiTheme="minorHAnsi" w:eastAsiaTheme="minorEastAsia" w:cstheme="minorBidi"/>
      <w:kern w:val="2"/>
      <w:sz w:val="21"/>
      <w:szCs w:val="22"/>
    </w:rPr>
  </w:style>
  <w:style w:type="paragraph" w:styleId="3">
    <w:name w:val="Body Text"/>
    <w:basedOn w:val="1"/>
    <w:next w:val="4"/>
    <w:link w:val="44"/>
    <w:qFormat/>
    <w:uiPriority w:val="99"/>
    <w:pPr>
      <w:adjustRightInd w:val="0"/>
      <w:jc w:val="left"/>
      <w:textAlignment w:val="baseline"/>
    </w:pPr>
    <w:rPr>
      <w:rFonts w:ascii="楷体_GB2312" w:hAnsi="Times New Roman" w:eastAsia="楷体_GB2312" w:cs="Times New Roman"/>
      <w:kern w:val="0"/>
      <w:sz w:val="28"/>
      <w:szCs w:val="20"/>
    </w:rPr>
  </w:style>
  <w:style w:type="paragraph" w:styleId="4">
    <w:name w:val="Body Text 2"/>
    <w:basedOn w:val="1"/>
    <w:next w:val="3"/>
    <w:qFormat/>
    <w:uiPriority w:val="0"/>
    <w:pPr>
      <w:widowControl/>
      <w:overflowPunct w:val="0"/>
      <w:autoSpaceDE w:val="0"/>
      <w:autoSpaceDN w:val="0"/>
      <w:adjustRightInd w:val="0"/>
      <w:jc w:val="left"/>
      <w:textAlignment w:val="baseline"/>
    </w:pPr>
  </w:style>
  <w:style w:type="paragraph" w:styleId="5">
    <w:name w:val="Body Text First Indent 2"/>
    <w:basedOn w:val="6"/>
    <w:next w:val="1"/>
    <w:link w:val="54"/>
    <w:semiHidden/>
    <w:unhideWhenUsed/>
    <w:qFormat/>
    <w:uiPriority w:val="99"/>
    <w:pPr>
      <w:ind w:firstLine="420" w:firstLineChars="200"/>
    </w:pPr>
  </w:style>
  <w:style w:type="paragraph" w:styleId="6">
    <w:name w:val="Body Text Indent"/>
    <w:basedOn w:val="1"/>
    <w:next w:val="7"/>
    <w:link w:val="45"/>
    <w:semiHidden/>
    <w:unhideWhenUsed/>
    <w:qFormat/>
    <w:uiPriority w:val="99"/>
    <w:pPr>
      <w:spacing w:after="120"/>
      <w:ind w:left="420" w:leftChars="200"/>
    </w:pPr>
  </w:style>
  <w:style w:type="paragraph" w:styleId="7">
    <w:name w:val="envelope return"/>
    <w:basedOn w:val="1"/>
    <w:qFormat/>
    <w:uiPriority w:val="0"/>
    <w:pPr>
      <w:snapToGrid w:val="0"/>
    </w:pPr>
    <w:rPr>
      <w:rFonts w:ascii="Arial" w:hAnsi="Arial"/>
    </w:rPr>
  </w:style>
  <w:style w:type="paragraph" w:styleId="14">
    <w:name w:val="Normal Indent"/>
    <w:basedOn w:val="1"/>
    <w:link w:val="37"/>
    <w:unhideWhenUsed/>
    <w:qFormat/>
    <w:uiPriority w:val="0"/>
    <w:pPr>
      <w:ind w:firstLine="420" w:firstLineChars="200"/>
    </w:pPr>
  </w:style>
  <w:style w:type="paragraph" w:styleId="15">
    <w:name w:val="annotation text"/>
    <w:basedOn w:val="1"/>
    <w:link w:val="42"/>
    <w:qFormat/>
    <w:uiPriority w:val="0"/>
    <w:pPr>
      <w:jc w:val="left"/>
    </w:pPr>
    <w:rPr>
      <w:szCs w:val="24"/>
    </w:rPr>
  </w:style>
  <w:style w:type="paragraph" w:styleId="16">
    <w:name w:val="Body Text 3"/>
    <w:basedOn w:val="1"/>
    <w:link w:val="43"/>
    <w:semiHidden/>
    <w:unhideWhenUsed/>
    <w:qFormat/>
    <w:uiPriority w:val="99"/>
    <w:pPr>
      <w:spacing w:after="120"/>
    </w:pPr>
    <w:rPr>
      <w:sz w:val="16"/>
      <w:szCs w:val="16"/>
    </w:rPr>
  </w:style>
  <w:style w:type="paragraph" w:styleId="17">
    <w:name w:val="toc 3"/>
    <w:basedOn w:val="1"/>
    <w:next w:val="1"/>
    <w:unhideWhenUsed/>
    <w:qFormat/>
    <w:uiPriority w:val="39"/>
    <w:pPr>
      <w:widowControl/>
      <w:spacing w:after="100" w:line="276" w:lineRule="auto"/>
      <w:ind w:left="440"/>
      <w:jc w:val="left"/>
    </w:pPr>
    <w:rPr>
      <w:kern w:val="0"/>
      <w:sz w:val="22"/>
    </w:rPr>
  </w:style>
  <w:style w:type="paragraph" w:styleId="18">
    <w:name w:val="Plain Text"/>
    <w:basedOn w:val="1"/>
    <w:link w:val="46"/>
    <w:qFormat/>
    <w:uiPriority w:val="0"/>
    <w:rPr>
      <w:rFonts w:ascii="宋体" w:hAnsi="Courier New"/>
    </w:rPr>
  </w:style>
  <w:style w:type="paragraph" w:styleId="19">
    <w:name w:val="Date"/>
    <w:basedOn w:val="1"/>
    <w:next w:val="1"/>
    <w:link w:val="47"/>
    <w:semiHidden/>
    <w:unhideWhenUsed/>
    <w:qFormat/>
    <w:uiPriority w:val="99"/>
    <w:pPr>
      <w:ind w:left="100" w:leftChars="2500"/>
    </w:pPr>
  </w:style>
  <w:style w:type="paragraph" w:styleId="20">
    <w:name w:val="Balloon Text"/>
    <w:basedOn w:val="1"/>
    <w:link w:val="48"/>
    <w:semiHidden/>
    <w:unhideWhenUsed/>
    <w:qFormat/>
    <w:uiPriority w:val="99"/>
    <w:rPr>
      <w:sz w:val="18"/>
      <w:szCs w:val="18"/>
    </w:rPr>
  </w:style>
  <w:style w:type="paragraph" w:styleId="21">
    <w:name w:val="footer"/>
    <w:basedOn w:val="1"/>
    <w:link w:val="49"/>
    <w:unhideWhenUsed/>
    <w:qFormat/>
    <w:uiPriority w:val="99"/>
    <w:pPr>
      <w:tabs>
        <w:tab w:val="center" w:pos="4153"/>
        <w:tab w:val="right" w:pos="8306"/>
      </w:tabs>
      <w:snapToGrid w:val="0"/>
      <w:jc w:val="left"/>
    </w:pPr>
    <w:rPr>
      <w:sz w:val="18"/>
      <w:szCs w:val="18"/>
    </w:rPr>
  </w:style>
  <w:style w:type="paragraph" w:styleId="22">
    <w:name w:val="header"/>
    <w:basedOn w:val="1"/>
    <w:link w:val="50"/>
    <w:unhideWhenUsed/>
    <w:qFormat/>
    <w:uiPriority w:val="99"/>
    <w:pPr>
      <w:pBdr>
        <w:bottom w:val="single" w:color="auto" w:sz="6" w:space="1"/>
      </w:pBdr>
      <w:tabs>
        <w:tab w:val="center" w:pos="4153"/>
        <w:tab w:val="right" w:pos="8306"/>
      </w:tabs>
      <w:snapToGrid w:val="0"/>
      <w:jc w:val="center"/>
    </w:pPr>
    <w:rPr>
      <w:sz w:val="18"/>
      <w:szCs w:val="18"/>
    </w:rPr>
  </w:style>
  <w:style w:type="paragraph" w:styleId="23">
    <w:name w:val="toc 1"/>
    <w:basedOn w:val="1"/>
    <w:next w:val="1"/>
    <w:unhideWhenUsed/>
    <w:qFormat/>
    <w:uiPriority w:val="39"/>
    <w:pPr>
      <w:widowControl/>
      <w:spacing w:after="100" w:line="276" w:lineRule="auto"/>
      <w:jc w:val="left"/>
    </w:pPr>
    <w:rPr>
      <w:kern w:val="0"/>
      <w:sz w:val="22"/>
    </w:rPr>
  </w:style>
  <w:style w:type="paragraph" w:styleId="24">
    <w:name w:val="Subtitle"/>
    <w:basedOn w:val="1"/>
    <w:next w:val="1"/>
    <w:link w:val="51"/>
    <w:qFormat/>
    <w:uiPriority w:val="11"/>
    <w:pPr>
      <w:spacing w:before="240" w:after="60" w:line="312" w:lineRule="auto"/>
      <w:jc w:val="center"/>
      <w:outlineLvl w:val="1"/>
    </w:pPr>
    <w:rPr>
      <w:rFonts w:eastAsia="宋体" w:asciiTheme="majorHAnsi" w:hAnsiTheme="majorHAnsi" w:cstheme="majorBidi"/>
      <w:b/>
      <w:bCs/>
      <w:kern w:val="28"/>
      <w:sz w:val="32"/>
      <w:szCs w:val="32"/>
    </w:rPr>
  </w:style>
  <w:style w:type="paragraph" w:styleId="25">
    <w:name w:val="toc 2"/>
    <w:basedOn w:val="1"/>
    <w:next w:val="1"/>
    <w:unhideWhenUsed/>
    <w:qFormat/>
    <w:uiPriority w:val="39"/>
    <w:pPr>
      <w:widowControl/>
      <w:spacing w:after="100" w:line="276" w:lineRule="auto"/>
      <w:ind w:left="220"/>
      <w:jc w:val="left"/>
    </w:pPr>
    <w:rPr>
      <w:kern w:val="0"/>
      <w:sz w:val="22"/>
    </w:rPr>
  </w:style>
  <w:style w:type="paragraph" w:styleId="26">
    <w:name w:val="HTML Preformatted"/>
    <w:basedOn w:val="1"/>
    <w:link w:val="52"/>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szCs w:val="24"/>
    </w:rPr>
  </w:style>
  <w:style w:type="paragraph" w:styleId="27">
    <w:name w:val="Normal (Web)"/>
    <w:basedOn w:val="1"/>
    <w:next w:val="1"/>
    <w:qFormat/>
    <w:uiPriority w:val="99"/>
    <w:pPr>
      <w:widowControl/>
      <w:spacing w:before="100" w:beforeAutospacing="1" w:after="100" w:afterAutospacing="1"/>
      <w:jc w:val="left"/>
    </w:pPr>
    <w:rPr>
      <w:rFonts w:ascii="宋体" w:hAnsi="宋体" w:eastAsia="宋体" w:cs="Times New Roman"/>
      <w:kern w:val="0"/>
      <w:sz w:val="24"/>
      <w:szCs w:val="24"/>
    </w:rPr>
  </w:style>
  <w:style w:type="table" w:styleId="29">
    <w:name w:val="Table Grid"/>
    <w:basedOn w:val="2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1">
    <w:name w:val="Hyperlink"/>
    <w:basedOn w:val="30"/>
    <w:unhideWhenUsed/>
    <w:qFormat/>
    <w:uiPriority w:val="99"/>
    <w:rPr>
      <w:color w:val="0000FF" w:themeColor="hyperlink"/>
      <w:u w:val="single"/>
      <w14:textFill>
        <w14:solidFill>
          <w14:schemeClr w14:val="hlink"/>
        </w14:solidFill>
      </w14:textFill>
    </w:rPr>
  </w:style>
  <w:style w:type="character" w:styleId="32">
    <w:name w:val="annotation reference"/>
    <w:basedOn w:val="30"/>
    <w:unhideWhenUsed/>
    <w:qFormat/>
    <w:uiPriority w:val="0"/>
    <w:rPr>
      <w:sz w:val="21"/>
      <w:szCs w:val="21"/>
    </w:rPr>
  </w:style>
  <w:style w:type="paragraph" w:customStyle="1" w:styleId="33">
    <w:name w:val="样式 正文首行缩进 2 + Arial"/>
    <w:basedOn w:val="1"/>
    <w:next w:val="1"/>
    <w:qFormat/>
    <w:uiPriority w:val="0"/>
    <w:pPr>
      <w:spacing w:after="120" w:line="320" w:lineRule="atLeast"/>
      <w:ind w:firstLine="200" w:firstLineChars="200"/>
    </w:pPr>
    <w:rPr>
      <w:rFonts w:ascii="Arial" w:hAnsi="Arial"/>
      <w:kern w:val="0"/>
    </w:rPr>
  </w:style>
  <w:style w:type="paragraph" w:customStyle="1" w:styleId="34">
    <w:name w:val="Default"/>
    <w:next w:val="35"/>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paragraph" w:customStyle="1" w:styleId="35">
    <w:name w:val="大标题"/>
    <w:basedOn w:val="1"/>
    <w:next w:val="5"/>
    <w:qFormat/>
    <w:uiPriority w:val="0"/>
    <w:pPr>
      <w:jc w:val="center"/>
    </w:pPr>
    <w:rPr>
      <w:rFonts w:ascii="Arial" w:hAnsi="Arial"/>
      <w:b/>
    </w:rPr>
  </w:style>
  <w:style w:type="character" w:customStyle="1" w:styleId="36">
    <w:name w:val="标题 1 Char"/>
    <w:basedOn w:val="30"/>
    <w:link w:val="8"/>
    <w:qFormat/>
    <w:uiPriority w:val="9"/>
    <w:rPr>
      <w:b/>
      <w:bCs/>
      <w:kern w:val="44"/>
      <w:sz w:val="44"/>
      <w:szCs w:val="44"/>
    </w:rPr>
  </w:style>
  <w:style w:type="character" w:customStyle="1" w:styleId="37">
    <w:name w:val="正文缩进 Char"/>
    <w:link w:val="14"/>
    <w:qFormat/>
    <w:uiPriority w:val="0"/>
  </w:style>
  <w:style w:type="character" w:customStyle="1" w:styleId="38">
    <w:name w:val="标题 2 Char"/>
    <w:basedOn w:val="30"/>
    <w:link w:val="9"/>
    <w:qFormat/>
    <w:uiPriority w:val="0"/>
    <w:rPr>
      <w:rFonts w:ascii="Arial" w:hAnsi="Arial" w:eastAsia="黑体" w:cs="Times New Roman"/>
      <w:b/>
      <w:sz w:val="32"/>
      <w:szCs w:val="20"/>
    </w:rPr>
  </w:style>
  <w:style w:type="character" w:customStyle="1" w:styleId="39">
    <w:name w:val="标题 3 Char"/>
    <w:basedOn w:val="30"/>
    <w:link w:val="10"/>
    <w:qFormat/>
    <w:uiPriority w:val="9"/>
    <w:rPr>
      <w:b/>
      <w:bCs/>
      <w:sz w:val="32"/>
      <w:szCs w:val="32"/>
    </w:rPr>
  </w:style>
  <w:style w:type="character" w:customStyle="1" w:styleId="40">
    <w:name w:val="标题 4 Char"/>
    <w:basedOn w:val="30"/>
    <w:link w:val="11"/>
    <w:qFormat/>
    <w:uiPriority w:val="9"/>
    <w:rPr>
      <w:rFonts w:asciiTheme="majorHAnsi" w:hAnsiTheme="majorHAnsi" w:eastAsiaTheme="majorEastAsia" w:cstheme="majorBidi"/>
      <w:b/>
      <w:bCs/>
      <w:sz w:val="28"/>
      <w:szCs w:val="28"/>
    </w:rPr>
  </w:style>
  <w:style w:type="character" w:customStyle="1" w:styleId="41">
    <w:name w:val="标题 8 Char"/>
    <w:basedOn w:val="30"/>
    <w:link w:val="13"/>
    <w:qFormat/>
    <w:uiPriority w:val="0"/>
    <w:rPr>
      <w:rFonts w:asciiTheme="majorHAnsi" w:hAnsiTheme="majorHAnsi" w:eastAsiaTheme="majorEastAsia" w:cstheme="majorBidi"/>
      <w:kern w:val="2"/>
      <w:sz w:val="24"/>
      <w:szCs w:val="24"/>
    </w:rPr>
  </w:style>
  <w:style w:type="character" w:customStyle="1" w:styleId="42">
    <w:name w:val="批注文字 Char1"/>
    <w:link w:val="15"/>
    <w:qFormat/>
    <w:uiPriority w:val="0"/>
    <w:rPr>
      <w:szCs w:val="24"/>
    </w:rPr>
  </w:style>
  <w:style w:type="character" w:customStyle="1" w:styleId="43">
    <w:name w:val="正文文本 3 Char"/>
    <w:basedOn w:val="30"/>
    <w:link w:val="16"/>
    <w:semiHidden/>
    <w:qFormat/>
    <w:uiPriority w:val="99"/>
    <w:rPr>
      <w:sz w:val="16"/>
      <w:szCs w:val="16"/>
    </w:rPr>
  </w:style>
  <w:style w:type="character" w:customStyle="1" w:styleId="44">
    <w:name w:val="正文文本 Char"/>
    <w:basedOn w:val="30"/>
    <w:link w:val="3"/>
    <w:qFormat/>
    <w:uiPriority w:val="99"/>
    <w:rPr>
      <w:rFonts w:ascii="楷体_GB2312" w:hAnsi="Times New Roman" w:eastAsia="楷体_GB2312" w:cs="Times New Roman"/>
      <w:kern w:val="0"/>
      <w:sz w:val="28"/>
      <w:szCs w:val="20"/>
    </w:rPr>
  </w:style>
  <w:style w:type="character" w:customStyle="1" w:styleId="45">
    <w:name w:val="正文文本缩进 Char"/>
    <w:basedOn w:val="30"/>
    <w:link w:val="6"/>
    <w:semiHidden/>
    <w:qFormat/>
    <w:uiPriority w:val="99"/>
  </w:style>
  <w:style w:type="character" w:customStyle="1" w:styleId="46">
    <w:name w:val="纯文本 Char"/>
    <w:link w:val="18"/>
    <w:qFormat/>
    <w:uiPriority w:val="0"/>
    <w:rPr>
      <w:rFonts w:ascii="宋体" w:hAnsi="Courier New"/>
    </w:rPr>
  </w:style>
  <w:style w:type="character" w:customStyle="1" w:styleId="47">
    <w:name w:val="日期 Char"/>
    <w:basedOn w:val="30"/>
    <w:link w:val="19"/>
    <w:semiHidden/>
    <w:qFormat/>
    <w:uiPriority w:val="99"/>
    <w:rPr>
      <w:kern w:val="2"/>
      <w:sz w:val="21"/>
      <w:szCs w:val="22"/>
    </w:rPr>
  </w:style>
  <w:style w:type="character" w:customStyle="1" w:styleId="48">
    <w:name w:val="批注框文本 Char"/>
    <w:basedOn w:val="30"/>
    <w:link w:val="20"/>
    <w:semiHidden/>
    <w:qFormat/>
    <w:uiPriority w:val="99"/>
    <w:rPr>
      <w:rFonts w:asciiTheme="minorHAnsi" w:hAnsiTheme="minorHAnsi" w:eastAsiaTheme="minorEastAsia" w:cstheme="minorBidi"/>
      <w:kern w:val="2"/>
      <w:sz w:val="18"/>
      <w:szCs w:val="18"/>
    </w:rPr>
  </w:style>
  <w:style w:type="character" w:customStyle="1" w:styleId="49">
    <w:name w:val="页脚 Char"/>
    <w:basedOn w:val="30"/>
    <w:link w:val="21"/>
    <w:qFormat/>
    <w:uiPriority w:val="99"/>
    <w:rPr>
      <w:sz w:val="18"/>
      <w:szCs w:val="18"/>
    </w:rPr>
  </w:style>
  <w:style w:type="character" w:customStyle="1" w:styleId="50">
    <w:name w:val="页眉 Char"/>
    <w:basedOn w:val="30"/>
    <w:link w:val="22"/>
    <w:qFormat/>
    <w:uiPriority w:val="99"/>
    <w:rPr>
      <w:sz w:val="18"/>
      <w:szCs w:val="18"/>
    </w:rPr>
  </w:style>
  <w:style w:type="character" w:customStyle="1" w:styleId="51">
    <w:name w:val="副标题 Char"/>
    <w:basedOn w:val="30"/>
    <w:link w:val="24"/>
    <w:qFormat/>
    <w:uiPriority w:val="11"/>
    <w:rPr>
      <w:rFonts w:eastAsia="宋体" w:asciiTheme="majorHAnsi" w:hAnsiTheme="majorHAnsi" w:cstheme="majorBidi"/>
      <w:b/>
      <w:bCs/>
      <w:kern w:val="28"/>
      <w:sz w:val="32"/>
      <w:szCs w:val="32"/>
    </w:rPr>
  </w:style>
  <w:style w:type="character" w:customStyle="1" w:styleId="52">
    <w:name w:val="HTML 预设格式 Char"/>
    <w:basedOn w:val="30"/>
    <w:link w:val="26"/>
    <w:qFormat/>
    <w:uiPriority w:val="0"/>
    <w:rPr>
      <w:rFonts w:ascii="宋体" w:hAnsi="宋体"/>
      <w:sz w:val="24"/>
      <w:szCs w:val="24"/>
    </w:rPr>
  </w:style>
  <w:style w:type="character" w:customStyle="1" w:styleId="53">
    <w:name w:val="正文首行缩进 Char"/>
    <w:basedOn w:val="44"/>
    <w:link w:val="2"/>
    <w:semiHidden/>
    <w:qFormat/>
    <w:uiPriority w:val="99"/>
    <w:rPr>
      <w:rFonts w:ascii="楷体_GB2312" w:hAnsi="Times New Roman" w:eastAsia="楷体_GB2312" w:cs="Times New Roman"/>
      <w:kern w:val="0"/>
      <w:sz w:val="28"/>
      <w:szCs w:val="20"/>
    </w:rPr>
  </w:style>
  <w:style w:type="character" w:customStyle="1" w:styleId="54">
    <w:name w:val="正文首行缩进 2 Char"/>
    <w:basedOn w:val="45"/>
    <w:link w:val="5"/>
    <w:semiHidden/>
    <w:qFormat/>
    <w:uiPriority w:val="99"/>
    <w:rPr>
      <w:rFonts w:asciiTheme="minorHAnsi" w:hAnsiTheme="minorHAnsi" w:eastAsiaTheme="minorEastAsia" w:cstheme="minorBidi"/>
      <w:kern w:val="2"/>
      <w:sz w:val="21"/>
      <w:szCs w:val="22"/>
    </w:rPr>
  </w:style>
  <w:style w:type="table" w:customStyle="1" w:styleId="55">
    <w:name w:val="Table Normal"/>
    <w:semiHidden/>
    <w:unhideWhenUsed/>
    <w:qFormat/>
    <w:uiPriority w:val="2"/>
    <w:pPr>
      <w:widowControl w:val="0"/>
    </w:pPr>
    <w:rPr>
      <w:sz w:val="22"/>
      <w:lang w:eastAsia="en-US"/>
    </w:rPr>
    <w:tblPr>
      <w:tblCellMar>
        <w:top w:w="0" w:type="dxa"/>
        <w:left w:w="0" w:type="dxa"/>
        <w:bottom w:w="0" w:type="dxa"/>
        <w:right w:w="0" w:type="dxa"/>
      </w:tblCellMar>
    </w:tblPr>
  </w:style>
  <w:style w:type="paragraph" w:customStyle="1" w:styleId="56">
    <w:name w:val="Table Paragraph"/>
    <w:basedOn w:val="1"/>
    <w:qFormat/>
    <w:uiPriority w:val="1"/>
    <w:pPr>
      <w:jc w:val="left"/>
    </w:pPr>
    <w:rPr>
      <w:kern w:val="0"/>
      <w:sz w:val="22"/>
      <w:lang w:eastAsia="en-US"/>
    </w:rPr>
  </w:style>
  <w:style w:type="character" w:customStyle="1" w:styleId="57">
    <w:name w:val="批注文字 Char"/>
    <w:basedOn w:val="30"/>
    <w:semiHidden/>
    <w:qFormat/>
    <w:uiPriority w:val="99"/>
  </w:style>
  <w:style w:type="character" w:customStyle="1" w:styleId="58">
    <w:name w:val="纯文本 Char1"/>
    <w:basedOn w:val="30"/>
    <w:semiHidden/>
    <w:qFormat/>
    <w:uiPriority w:val="99"/>
    <w:rPr>
      <w:rFonts w:ascii="宋体" w:hAnsi="Courier New" w:eastAsia="宋体" w:cs="Courier New"/>
      <w:szCs w:val="21"/>
    </w:rPr>
  </w:style>
  <w:style w:type="paragraph" w:customStyle="1" w:styleId="59">
    <w:name w:val="正文_5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60">
    <w:name w:val="font01"/>
    <w:qFormat/>
    <w:uiPriority w:val="0"/>
    <w:rPr>
      <w:rFonts w:hint="eastAsia" w:ascii="宋体" w:hAnsi="宋体" w:eastAsia="宋体" w:cs="宋体"/>
      <w:color w:val="000000"/>
      <w:sz w:val="22"/>
      <w:szCs w:val="22"/>
      <w:u w:val="none"/>
    </w:rPr>
  </w:style>
  <w:style w:type="paragraph" w:customStyle="1" w:styleId="61">
    <w:name w:val="TOC 标题1"/>
    <w:basedOn w:val="8"/>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styleId="62">
    <w:name w:val="List Paragraph"/>
    <w:basedOn w:val="1"/>
    <w:qFormat/>
    <w:uiPriority w:val="99"/>
    <w:pPr>
      <w:ind w:firstLine="420" w:firstLineChars="200"/>
    </w:pPr>
  </w:style>
  <w:style w:type="paragraph" w:customStyle="1" w:styleId="63">
    <w:name w:val="样式 标题 2 + Times New Roman 四号 非加粗 段前: 5 磅 段后: 0 磅 行距: 固定值 20..."/>
    <w:basedOn w:val="9"/>
    <w:next w:val="1"/>
    <w:qFormat/>
    <w:uiPriority w:val="0"/>
    <w:pPr>
      <w:tabs>
        <w:tab w:val="clear" w:pos="840"/>
      </w:tabs>
      <w:spacing w:before="100" w:after="0" w:line="360" w:lineRule="auto"/>
    </w:pPr>
    <w:rPr>
      <w:rFonts w:ascii="Times New Roman" w:hAnsi="Times New Roman" w:cs="宋体"/>
      <w:b w:val="0"/>
      <w:kern w:val="0"/>
      <w:sz w:val="28"/>
      <w:lang w:eastAsia="en-US"/>
    </w:rPr>
  </w:style>
  <w:style w:type="paragraph" w:customStyle="1" w:styleId="64">
    <w:name w:val="msonormal"/>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65">
    <w:name w:val="font5"/>
    <w:basedOn w:val="1"/>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66">
    <w:name w:val="font6"/>
    <w:basedOn w:val="1"/>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67">
    <w:name w:val="font7"/>
    <w:basedOn w:val="1"/>
    <w:qFormat/>
    <w:uiPriority w:val="0"/>
    <w:pPr>
      <w:widowControl/>
      <w:spacing w:before="100" w:beforeAutospacing="1" w:after="100" w:afterAutospacing="1"/>
      <w:jc w:val="left"/>
    </w:pPr>
    <w:rPr>
      <w:rFonts w:ascii="宋体" w:hAnsi="宋体" w:eastAsia="宋体" w:cs="宋体"/>
      <w:color w:val="FF0000"/>
      <w:kern w:val="0"/>
      <w:sz w:val="24"/>
      <w:szCs w:val="24"/>
    </w:rPr>
  </w:style>
  <w:style w:type="paragraph" w:customStyle="1" w:styleId="68">
    <w:name w:val="font8"/>
    <w:basedOn w:val="1"/>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69">
    <w:name w:val="font9"/>
    <w:basedOn w:val="1"/>
    <w:qFormat/>
    <w:uiPriority w:val="0"/>
    <w:pPr>
      <w:widowControl/>
      <w:spacing w:before="100" w:beforeAutospacing="1" w:after="100" w:afterAutospacing="1"/>
      <w:jc w:val="left"/>
    </w:pPr>
    <w:rPr>
      <w:rFonts w:ascii="宋体" w:hAnsi="宋体" w:eastAsia="宋体" w:cs="宋体"/>
      <w:color w:val="000000"/>
      <w:kern w:val="0"/>
      <w:sz w:val="20"/>
      <w:szCs w:val="20"/>
    </w:rPr>
  </w:style>
  <w:style w:type="paragraph" w:customStyle="1" w:styleId="70">
    <w:name w:val="font10"/>
    <w:basedOn w:val="1"/>
    <w:qFormat/>
    <w:uiPriority w:val="0"/>
    <w:pPr>
      <w:widowControl/>
      <w:spacing w:before="100" w:beforeAutospacing="1" w:after="100" w:afterAutospacing="1"/>
      <w:jc w:val="left"/>
    </w:pPr>
    <w:rPr>
      <w:rFonts w:ascii="宋体" w:hAnsi="宋体" w:eastAsia="宋体" w:cs="宋体"/>
      <w:color w:val="FF0000"/>
      <w:kern w:val="0"/>
      <w:sz w:val="20"/>
      <w:szCs w:val="20"/>
    </w:rPr>
  </w:style>
  <w:style w:type="paragraph" w:customStyle="1" w:styleId="71">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72">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73">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kern w:val="0"/>
      <w:sz w:val="20"/>
      <w:szCs w:val="20"/>
    </w:rPr>
  </w:style>
  <w:style w:type="paragraph" w:customStyle="1" w:styleId="74">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0"/>
      <w:szCs w:val="20"/>
    </w:rPr>
  </w:style>
  <w:style w:type="paragraph" w:customStyle="1" w:styleId="75">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0"/>
      <w:szCs w:val="20"/>
    </w:rPr>
  </w:style>
  <w:style w:type="paragraph" w:customStyle="1" w:styleId="76">
    <w:name w:val="xl6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eastAsia="宋体" w:cs="宋体"/>
      <w:b/>
      <w:bCs/>
      <w:kern w:val="0"/>
      <w:sz w:val="20"/>
      <w:szCs w:val="20"/>
    </w:rPr>
  </w:style>
  <w:style w:type="paragraph" w:customStyle="1" w:styleId="77">
    <w:name w:val="xl70"/>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0"/>
      <w:szCs w:val="20"/>
    </w:rPr>
  </w:style>
  <w:style w:type="paragraph" w:customStyle="1" w:styleId="78">
    <w:name w:val="xl7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79">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80">
    <w:name w:val="xl73"/>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81">
    <w:name w:val="xl7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82">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83">
    <w:name w:val="xl7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84">
    <w:name w:val="xl77"/>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85">
    <w:name w:val="xl7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86">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87">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color w:val="FF0000"/>
      <w:kern w:val="0"/>
      <w:sz w:val="20"/>
      <w:szCs w:val="20"/>
    </w:rPr>
  </w:style>
  <w:style w:type="paragraph" w:customStyle="1" w:styleId="88">
    <w:name w:val="xl8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89">
    <w:name w:val="xl8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90">
    <w:name w:val="xl83"/>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91">
    <w:name w:val="xl84"/>
    <w:basedOn w:val="1"/>
    <w:qFormat/>
    <w:uiPriority w:val="0"/>
    <w:pPr>
      <w:widowControl/>
      <w:pBdr>
        <w:top w:val="single" w:color="auto" w:sz="4" w:space="0"/>
        <w:left w:val="single" w:color="auto" w:sz="4" w:space="0"/>
        <w:right w:val="single" w:color="auto" w:sz="4" w:space="0"/>
      </w:pBdr>
      <w:spacing w:before="100" w:beforeAutospacing="1" w:after="100" w:afterAutospacing="1"/>
    </w:pPr>
    <w:rPr>
      <w:rFonts w:ascii="宋体" w:hAnsi="宋体" w:eastAsia="宋体" w:cs="宋体"/>
      <w:color w:val="FF0000"/>
      <w:kern w:val="0"/>
      <w:sz w:val="20"/>
      <w:szCs w:val="20"/>
    </w:rPr>
  </w:style>
  <w:style w:type="paragraph" w:customStyle="1" w:styleId="92">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color w:val="000000"/>
      <w:kern w:val="0"/>
      <w:sz w:val="20"/>
      <w:szCs w:val="20"/>
    </w:rPr>
  </w:style>
  <w:style w:type="paragraph" w:customStyle="1" w:styleId="93">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0"/>
      <w:szCs w:val="20"/>
    </w:rPr>
  </w:style>
  <w:style w:type="paragraph" w:customStyle="1" w:styleId="94">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color w:val="FF0000"/>
      <w:kern w:val="0"/>
      <w:sz w:val="20"/>
      <w:szCs w:val="20"/>
    </w:rPr>
  </w:style>
  <w:style w:type="paragraph" w:customStyle="1" w:styleId="95">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kern w:val="0"/>
      <w:sz w:val="20"/>
      <w:szCs w:val="20"/>
    </w:rPr>
  </w:style>
  <w:style w:type="paragraph" w:customStyle="1" w:styleId="96">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kern w:val="0"/>
      <w:sz w:val="20"/>
      <w:szCs w:val="20"/>
    </w:rPr>
  </w:style>
  <w:style w:type="paragraph" w:customStyle="1" w:styleId="97">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98">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0"/>
      <w:szCs w:val="20"/>
    </w:rPr>
  </w:style>
  <w:style w:type="paragraph" w:customStyle="1" w:styleId="99">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kern w:val="0"/>
      <w:sz w:val="20"/>
      <w:szCs w:val="20"/>
    </w:rPr>
  </w:style>
  <w:style w:type="paragraph" w:customStyle="1" w:styleId="100">
    <w:name w:val="xl93"/>
    <w:basedOn w:val="1"/>
    <w:qFormat/>
    <w:uiPriority w:val="0"/>
    <w:pPr>
      <w:widowControl/>
      <w:spacing w:before="100" w:beforeAutospacing="1" w:after="100" w:afterAutospacing="1"/>
      <w:jc w:val="left"/>
    </w:pPr>
    <w:rPr>
      <w:rFonts w:ascii="宋体" w:hAnsi="宋体" w:eastAsia="宋体" w:cs="宋体"/>
      <w:kern w:val="0"/>
      <w:sz w:val="20"/>
      <w:szCs w:val="20"/>
    </w:rPr>
  </w:style>
  <w:style w:type="paragraph" w:customStyle="1" w:styleId="101">
    <w:name w:val="xl94"/>
    <w:basedOn w:val="1"/>
    <w:qFormat/>
    <w:uiPriority w:val="0"/>
    <w:pPr>
      <w:widowControl/>
      <w:pBdr>
        <w:top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02">
    <w:name w:val="xl9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103">
    <w:name w:val="xl96"/>
    <w:basedOn w:val="1"/>
    <w:qFormat/>
    <w:uiPriority w:val="0"/>
    <w:pPr>
      <w:widowControl/>
      <w:pBdr>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04">
    <w:name w:val="xl97"/>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105">
    <w:name w:val="xl98"/>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06">
    <w:name w:val="xl9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FF0000"/>
      <w:kern w:val="0"/>
      <w:sz w:val="20"/>
      <w:szCs w:val="20"/>
    </w:rPr>
  </w:style>
  <w:style w:type="paragraph" w:customStyle="1" w:styleId="107">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08">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FF0000"/>
      <w:kern w:val="0"/>
      <w:sz w:val="20"/>
      <w:szCs w:val="20"/>
    </w:rPr>
  </w:style>
  <w:style w:type="paragraph" w:customStyle="1" w:styleId="109">
    <w:name w:val="xl102"/>
    <w:basedOn w:val="1"/>
    <w:qFormat/>
    <w:uiPriority w:val="0"/>
    <w:pPr>
      <w:widowControl/>
      <w:spacing w:before="100" w:beforeAutospacing="1" w:after="100" w:afterAutospacing="1"/>
      <w:jc w:val="center"/>
    </w:pPr>
    <w:rPr>
      <w:rFonts w:ascii="宋体" w:hAnsi="宋体" w:eastAsia="宋体" w:cs="宋体"/>
      <w:kern w:val="0"/>
      <w:sz w:val="20"/>
      <w:szCs w:val="20"/>
    </w:rPr>
  </w:style>
  <w:style w:type="paragraph" w:customStyle="1" w:styleId="110">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11">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12">
    <w:name w:val="xl10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13">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14">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15">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16">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17">
    <w:name w:val="xl110"/>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18">
    <w:name w:val="xl111"/>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19">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kern w:val="0"/>
      <w:szCs w:val="21"/>
    </w:rPr>
  </w:style>
  <w:style w:type="paragraph" w:customStyle="1" w:styleId="120">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kern w:val="0"/>
      <w:szCs w:val="21"/>
    </w:rPr>
  </w:style>
  <w:style w:type="paragraph" w:customStyle="1" w:styleId="121">
    <w:name w:val="xl114"/>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22">
    <w:name w:val="xl11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23">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kern w:val="0"/>
      <w:sz w:val="20"/>
      <w:szCs w:val="20"/>
    </w:rPr>
  </w:style>
  <w:style w:type="paragraph" w:customStyle="1" w:styleId="124">
    <w:name w:val="font11"/>
    <w:basedOn w:val="1"/>
    <w:qFormat/>
    <w:uiPriority w:val="0"/>
    <w:pPr>
      <w:widowControl/>
      <w:spacing w:before="100" w:beforeAutospacing="1" w:after="100" w:afterAutospacing="1"/>
      <w:jc w:val="left"/>
    </w:pPr>
    <w:rPr>
      <w:rFonts w:ascii="宋体" w:hAnsi="宋体" w:eastAsia="宋体" w:cs="宋体"/>
      <w:color w:val="000000"/>
      <w:kern w:val="0"/>
      <w:sz w:val="20"/>
      <w:szCs w:val="20"/>
    </w:rPr>
  </w:style>
  <w:style w:type="paragraph" w:customStyle="1" w:styleId="125">
    <w:name w:val="font12"/>
    <w:basedOn w:val="1"/>
    <w:qFormat/>
    <w:uiPriority w:val="0"/>
    <w:pPr>
      <w:widowControl/>
      <w:spacing w:before="100" w:beforeAutospacing="1" w:after="100" w:afterAutospacing="1"/>
      <w:jc w:val="left"/>
    </w:pPr>
    <w:rPr>
      <w:rFonts w:ascii="Times New Roman" w:hAnsi="Times New Roman" w:eastAsia="宋体" w:cs="Times New Roman"/>
      <w:color w:val="000000"/>
      <w:kern w:val="0"/>
      <w:sz w:val="20"/>
      <w:szCs w:val="20"/>
    </w:rPr>
  </w:style>
  <w:style w:type="paragraph" w:customStyle="1" w:styleId="126">
    <w:name w:val="font13"/>
    <w:basedOn w:val="1"/>
    <w:qFormat/>
    <w:uiPriority w:val="0"/>
    <w:pPr>
      <w:widowControl/>
      <w:spacing w:before="100" w:beforeAutospacing="1" w:after="100" w:afterAutospacing="1"/>
      <w:jc w:val="left"/>
    </w:pPr>
    <w:rPr>
      <w:rFonts w:ascii="Times New Roman" w:hAnsi="Times New Roman" w:eastAsia="宋体" w:cs="Times New Roman"/>
      <w:color w:val="FF0000"/>
      <w:kern w:val="0"/>
      <w:sz w:val="20"/>
      <w:szCs w:val="20"/>
    </w:rPr>
  </w:style>
  <w:style w:type="paragraph" w:customStyle="1" w:styleId="127">
    <w:name w:val="xl117"/>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28">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kern w:val="0"/>
      <w:sz w:val="20"/>
      <w:szCs w:val="20"/>
    </w:rPr>
  </w:style>
  <w:style w:type="paragraph" w:customStyle="1" w:styleId="129">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kern w:val="0"/>
      <w:sz w:val="20"/>
      <w:szCs w:val="20"/>
    </w:rPr>
  </w:style>
  <w:style w:type="paragraph" w:customStyle="1" w:styleId="130">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color w:val="FF0000"/>
      <w:kern w:val="0"/>
      <w:sz w:val="20"/>
      <w:szCs w:val="20"/>
    </w:rPr>
  </w:style>
  <w:style w:type="paragraph" w:customStyle="1" w:styleId="131">
    <w:name w:val="xl121"/>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32">
    <w:name w:val="xl12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0"/>
      <w:szCs w:val="20"/>
    </w:rPr>
  </w:style>
  <w:style w:type="paragraph" w:customStyle="1" w:styleId="133">
    <w:name w:val="列出段落1"/>
    <w:basedOn w:val="1"/>
    <w:link w:val="134"/>
    <w:qFormat/>
    <w:uiPriority w:val="1"/>
    <w:pPr>
      <w:ind w:firstLine="420" w:firstLineChars="200"/>
    </w:pPr>
    <w:rPr>
      <w:rFonts w:ascii="Calibri" w:hAnsi="Calibri" w:eastAsia="宋体" w:cs="Times New Roman"/>
    </w:rPr>
  </w:style>
  <w:style w:type="character" w:customStyle="1" w:styleId="134">
    <w:name w:val="List Paragraph Char Char"/>
    <w:link w:val="133"/>
    <w:qFormat/>
    <w:uiPriority w:val="0"/>
    <w:rPr>
      <w:rFonts w:ascii="Calibri" w:hAnsi="Calibri"/>
      <w:kern w:val="2"/>
      <w:sz w:val="21"/>
      <w:szCs w:val="22"/>
    </w:rPr>
  </w:style>
  <w:style w:type="character" w:customStyle="1" w:styleId="135">
    <w:name w:val="纯文本 字符1"/>
    <w:qFormat/>
    <w:uiPriority w:val="0"/>
    <w:rPr>
      <w:rFonts w:ascii="宋体" w:hAnsi="Courier New"/>
      <w:kern w:val="2"/>
      <w:sz w:val="21"/>
    </w:rPr>
  </w:style>
  <w:style w:type="character" w:customStyle="1" w:styleId="136">
    <w:name w:val="font61"/>
    <w:basedOn w:val="30"/>
    <w:qFormat/>
    <w:uiPriority w:val="0"/>
    <w:rPr>
      <w:rFonts w:hint="eastAsia" w:ascii="宋体" w:hAnsi="宋体" w:eastAsia="宋体" w:cs="宋体"/>
      <w:color w:val="000000"/>
      <w:sz w:val="18"/>
      <w:szCs w:val="18"/>
      <w:u w:val="none"/>
    </w:rPr>
  </w:style>
  <w:style w:type="paragraph" w:customStyle="1" w:styleId="137">
    <w:name w:val="列出段落2"/>
    <w:basedOn w:val="1"/>
    <w:qFormat/>
    <w:uiPriority w:val="99"/>
    <w:pPr>
      <w:spacing w:line="360" w:lineRule="auto"/>
      <w:ind w:firstLine="420" w:firstLineChars="200"/>
    </w:pPr>
    <w:rPr>
      <w:rFonts w:ascii="宋体" w:hAnsi="宋体" w:eastAsia="仿宋" w:cs="Times New Roman"/>
      <w:sz w:val="32"/>
    </w:rPr>
  </w:style>
  <w:style w:type="paragraph" w:customStyle="1" w:styleId="138">
    <w:name w:val="正文 A"/>
    <w:qFormat/>
    <w:uiPriority w:val="0"/>
    <w:rPr>
      <w:rFonts w:ascii="Times New Roman" w:hAnsi="Times New Roman" w:eastAsia="Arial Unicode MS" w:cs="Arial Unicode MS"/>
      <w:color w:val="000000"/>
      <w:sz w:val="22"/>
      <w:szCs w:val="22"/>
      <w:lang w:val="en-US" w:eastAsia="zh-CN" w:bidi="ar-SA"/>
    </w:rPr>
  </w:style>
  <w:style w:type="paragraph" w:customStyle="1" w:styleId="139">
    <w:name w:val="正文 A A"/>
    <w:qFormat/>
    <w:uiPriority w:val="0"/>
    <w:rPr>
      <w:rFonts w:ascii="Times New Roman" w:hAnsi="Times New Roman" w:eastAsia="Times New Roman" w:cs="Times New Roman"/>
      <w:color w:val="000000"/>
      <w:sz w:val="22"/>
      <w:szCs w:val="22"/>
      <w:lang w:val="en-US" w:eastAsia="zh-CN" w:bidi="ar-SA"/>
    </w:rPr>
  </w:style>
  <w:style w:type="paragraph" w:customStyle="1" w:styleId="140">
    <w:name w:val="_Style 103"/>
    <w:basedOn w:val="1"/>
    <w:next w:val="62"/>
    <w:qFormat/>
    <w:uiPriority w:val="0"/>
    <w:pPr>
      <w:ind w:left="100" w:leftChars="100" w:firstLine="420" w:firstLineChars="200"/>
    </w:pPr>
    <w:rPr>
      <w:rFonts w:ascii="Times New Roman" w:hAnsi="Times New Roman" w:eastAsia="宋体" w:cs="Times New Roman"/>
    </w:rPr>
  </w:style>
  <w:style w:type="paragraph" w:styleId="141">
    <w:name w:val="No Spacing"/>
    <w:qFormat/>
    <w:uiPriority w:val="0"/>
    <w:pPr>
      <w:adjustRightInd w:val="0"/>
      <w:snapToGrid w:val="0"/>
    </w:pPr>
    <w:rPr>
      <w:rFonts w:ascii="Tahoma" w:hAnsi="Tahoma" w:eastAsia="微软雅黑" w:cs="Times New Roman"/>
      <w:sz w:val="22"/>
      <w:szCs w:val="22"/>
      <w:lang w:val="en-US" w:eastAsia="zh-CN" w:bidi="ar-SA"/>
    </w:rPr>
  </w:style>
  <w:style w:type="paragraph" w:customStyle="1" w:styleId="142">
    <w:name w:val="表格CXH"/>
    <w:basedOn w:val="1"/>
    <w:qFormat/>
    <w:uiPriority w:val="0"/>
  </w:style>
  <w:style w:type="paragraph" w:customStyle="1" w:styleId="143">
    <w:name w:val="目录 51"/>
    <w:next w:val="1"/>
    <w:qFormat/>
    <w:uiPriority w:val="0"/>
    <w:pPr>
      <w:wordWrap w:val="0"/>
      <w:ind w:left="1700"/>
      <w:jc w:val="both"/>
    </w:pPr>
    <w:rPr>
      <w:rFonts w:ascii="Times New Roman" w:hAnsi="Times New Roman" w:eastAsia="Calibri" w:cs="Times New Roman"/>
      <w:sz w:val="21"/>
      <w:lang w:val="en-US" w:eastAsia="zh-CN" w:bidi="ar-SA"/>
    </w:rPr>
  </w:style>
  <w:style w:type="character" w:customStyle="1" w:styleId="144">
    <w:name w:val="font131"/>
    <w:basedOn w:val="30"/>
    <w:qFormat/>
    <w:uiPriority w:val="0"/>
    <w:rPr>
      <w:rFonts w:ascii="Segoe UI" w:hAnsi="Segoe UI" w:eastAsia="Segoe UI" w:cs="Segoe UI"/>
      <w:color w:val="000000"/>
      <w:sz w:val="22"/>
      <w:szCs w:val="22"/>
      <w:u w:val="none"/>
    </w:rPr>
  </w:style>
  <w:style w:type="paragraph" w:customStyle="1" w:styleId="145">
    <w:name w:val="正文文本缩进1"/>
    <w:basedOn w:val="1"/>
    <w:next w:val="146"/>
    <w:qFormat/>
    <w:uiPriority w:val="0"/>
    <w:pPr>
      <w:spacing w:after="120"/>
      <w:ind w:left="420" w:leftChars="200"/>
    </w:pPr>
    <w:rPr>
      <w:rFonts w:ascii="Calibri" w:hAnsi="Calibri"/>
      <w:szCs w:val="22"/>
    </w:rPr>
  </w:style>
  <w:style w:type="paragraph" w:customStyle="1" w:styleId="146">
    <w:name w:val="正文缩进1"/>
    <w:basedOn w:val="1"/>
    <w:next w:val="1"/>
    <w:qFormat/>
    <w:uiPriority w:val="0"/>
    <w:pPr>
      <w:ind w:firstLine="420" w:firstLineChars="200"/>
    </w:pPr>
    <w:rPr>
      <w:rFonts w:ascii="Calibri" w:hAnsi="Calibri"/>
      <w:szCs w:val="22"/>
    </w:rPr>
  </w:style>
  <w:style w:type="character" w:customStyle="1" w:styleId="147">
    <w:name w:val="font31"/>
    <w:basedOn w:val="30"/>
    <w:qFormat/>
    <w:uiPriority w:val="0"/>
    <w:rPr>
      <w:rFonts w:hint="eastAsia" w:ascii="宋体" w:hAnsi="宋体" w:eastAsia="宋体" w:cs="宋体"/>
      <w:color w:val="000000"/>
      <w:sz w:val="22"/>
      <w:szCs w:val="22"/>
      <w:u w:val="none"/>
    </w:rPr>
  </w:style>
  <w:style w:type="character" w:customStyle="1" w:styleId="148">
    <w:name w:val="font21"/>
    <w:basedOn w:val="30"/>
    <w:qFormat/>
    <w:uiPriority w:val="0"/>
    <w:rPr>
      <w:rFonts w:hint="eastAsia" w:ascii="宋体" w:hAnsi="宋体" w:eastAsia="宋体" w:cs="宋体"/>
      <w:b/>
      <w:bCs/>
      <w:color w:val="000000"/>
      <w:sz w:val="22"/>
      <w:szCs w:val="22"/>
      <w:u w:val="none"/>
    </w:rPr>
  </w:style>
  <w:style w:type="character" w:customStyle="1" w:styleId="149">
    <w:name w:val="font51"/>
    <w:basedOn w:val="30"/>
    <w:qFormat/>
    <w:uiPriority w:val="0"/>
    <w:rPr>
      <w:rFonts w:hint="eastAsia" w:ascii="宋体" w:hAnsi="宋体" w:eastAsia="宋体" w:cs="宋体"/>
      <w:b/>
      <w:bCs/>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glossaryDocument" Target="glossary/document.xml"/><Relationship Id="rId10" Type="http://schemas.openxmlformats.org/officeDocument/2006/relationships/fontTable" Target="fontTable.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701315EDB774114B29368D51E9A69F1"/>
        <w:style w:val=""/>
        <w:category>
          <w:name w:val="常规"/>
          <w:gallery w:val="placeholder"/>
        </w:category>
        <w:types>
          <w:type w:val="bbPlcHdr"/>
        </w:types>
        <w:behaviors>
          <w:behavior w:val="content"/>
        </w:behaviors>
        <w:description w:val=""/>
        <w:guid w:val="{DFD02177-A960-4A5D-A506-A187BBC3CD22}"/>
      </w:docPartPr>
      <w:docPartBody>
        <w:p>
          <w:pPr>
            <w:pStyle w:val="4"/>
          </w:pPr>
          <w:r>
            <w:rPr>
              <w:rFonts w:asciiTheme="majorHAnsi" w:hAnsiTheme="majorHAnsi" w:eastAsiaTheme="majorEastAsia" w:cstheme="majorBidi"/>
              <w:sz w:val="32"/>
              <w:szCs w:val="32"/>
              <w:lang w:val="zh-CN"/>
            </w:rPr>
            <w:t>[键入文档标题]</w:t>
          </w:r>
        </w:p>
      </w:docPartBody>
    </w:docPart>
    <w:docPart>
      <w:docPartPr>
        <w:name w:val="283FE5D022FC4D64A25C7565F95BF63E"/>
        <w:style w:val=""/>
        <w:category>
          <w:name w:val="常规"/>
          <w:gallery w:val="placeholder"/>
        </w:category>
        <w:types>
          <w:type w:val="bbPlcHdr"/>
        </w:types>
        <w:behaviors>
          <w:behavior w:val="content"/>
        </w:behaviors>
        <w:description w:val=""/>
        <w:guid w:val="{16F1676A-82A7-4E1E-8E12-4991073C7D04}"/>
      </w:docPartPr>
      <w:docPartBody>
        <w:p>
          <w:pPr>
            <w:pStyle w:val="5"/>
          </w:pPr>
          <w:r>
            <w:rPr>
              <w:rFonts w:asciiTheme="majorHAnsi" w:hAnsiTheme="majorHAnsi" w:eastAsiaTheme="majorEastAsia" w:cstheme="majorBidi"/>
              <w:sz w:val="32"/>
              <w:szCs w:val="32"/>
              <w:lang w:val="zh-CN"/>
            </w:rPr>
            <w:t>[键入文档标题]</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
  <w:rsids>
    <w:rsidRoot w:val="007B64A2"/>
    <w:rsid w:val="000200D3"/>
    <w:rsid w:val="00023E42"/>
    <w:rsid w:val="0003386E"/>
    <w:rsid w:val="00035C0B"/>
    <w:rsid w:val="00051160"/>
    <w:rsid w:val="0005357A"/>
    <w:rsid w:val="00057BFE"/>
    <w:rsid w:val="00087DAB"/>
    <w:rsid w:val="00095F40"/>
    <w:rsid w:val="000979C0"/>
    <w:rsid w:val="000A6A26"/>
    <w:rsid w:val="000C09AD"/>
    <w:rsid w:val="001018D8"/>
    <w:rsid w:val="001211E8"/>
    <w:rsid w:val="00157843"/>
    <w:rsid w:val="00162EB3"/>
    <w:rsid w:val="00166977"/>
    <w:rsid w:val="00170EE0"/>
    <w:rsid w:val="00193F61"/>
    <w:rsid w:val="001A4BF3"/>
    <w:rsid w:val="001F3C8D"/>
    <w:rsid w:val="00221826"/>
    <w:rsid w:val="00244649"/>
    <w:rsid w:val="00281A46"/>
    <w:rsid w:val="002D61BF"/>
    <w:rsid w:val="002E7109"/>
    <w:rsid w:val="0030550E"/>
    <w:rsid w:val="00325AD9"/>
    <w:rsid w:val="0034094A"/>
    <w:rsid w:val="00344DA0"/>
    <w:rsid w:val="0036076B"/>
    <w:rsid w:val="00373E2B"/>
    <w:rsid w:val="00392543"/>
    <w:rsid w:val="003A5ABB"/>
    <w:rsid w:val="003B6BA1"/>
    <w:rsid w:val="003D5E8E"/>
    <w:rsid w:val="003E2664"/>
    <w:rsid w:val="003F6D6B"/>
    <w:rsid w:val="00470CB8"/>
    <w:rsid w:val="0047526C"/>
    <w:rsid w:val="00483B15"/>
    <w:rsid w:val="0048500B"/>
    <w:rsid w:val="004A2532"/>
    <w:rsid w:val="004A5B89"/>
    <w:rsid w:val="004D491C"/>
    <w:rsid w:val="004E7347"/>
    <w:rsid w:val="004F5990"/>
    <w:rsid w:val="00553C3D"/>
    <w:rsid w:val="00555E6B"/>
    <w:rsid w:val="005666A1"/>
    <w:rsid w:val="00671106"/>
    <w:rsid w:val="00671C11"/>
    <w:rsid w:val="006770F7"/>
    <w:rsid w:val="00683ABA"/>
    <w:rsid w:val="006D7A56"/>
    <w:rsid w:val="007120A2"/>
    <w:rsid w:val="00730547"/>
    <w:rsid w:val="00734829"/>
    <w:rsid w:val="007533F9"/>
    <w:rsid w:val="0077076E"/>
    <w:rsid w:val="00782716"/>
    <w:rsid w:val="007A2A37"/>
    <w:rsid w:val="007B13A3"/>
    <w:rsid w:val="007B64A2"/>
    <w:rsid w:val="007B740B"/>
    <w:rsid w:val="007D121E"/>
    <w:rsid w:val="00805BD0"/>
    <w:rsid w:val="00827571"/>
    <w:rsid w:val="008A7A94"/>
    <w:rsid w:val="008B1469"/>
    <w:rsid w:val="008D0204"/>
    <w:rsid w:val="008E4224"/>
    <w:rsid w:val="008F6334"/>
    <w:rsid w:val="009065EF"/>
    <w:rsid w:val="0090736A"/>
    <w:rsid w:val="00913803"/>
    <w:rsid w:val="00932116"/>
    <w:rsid w:val="00997F70"/>
    <w:rsid w:val="009A2076"/>
    <w:rsid w:val="009D5520"/>
    <w:rsid w:val="00A024F6"/>
    <w:rsid w:val="00A175ED"/>
    <w:rsid w:val="00A17A9C"/>
    <w:rsid w:val="00A31584"/>
    <w:rsid w:val="00A71459"/>
    <w:rsid w:val="00AB2FA6"/>
    <w:rsid w:val="00B13E5B"/>
    <w:rsid w:val="00B378A7"/>
    <w:rsid w:val="00B525AE"/>
    <w:rsid w:val="00B617E8"/>
    <w:rsid w:val="00B76955"/>
    <w:rsid w:val="00B77530"/>
    <w:rsid w:val="00B77690"/>
    <w:rsid w:val="00B9636E"/>
    <w:rsid w:val="00BC5723"/>
    <w:rsid w:val="00C22DAC"/>
    <w:rsid w:val="00C415C5"/>
    <w:rsid w:val="00C45434"/>
    <w:rsid w:val="00C807D6"/>
    <w:rsid w:val="00C92D0A"/>
    <w:rsid w:val="00C938A2"/>
    <w:rsid w:val="00CF1D15"/>
    <w:rsid w:val="00D167DC"/>
    <w:rsid w:val="00D33ECA"/>
    <w:rsid w:val="00D36443"/>
    <w:rsid w:val="00D76FDB"/>
    <w:rsid w:val="00D901EF"/>
    <w:rsid w:val="00DE6C89"/>
    <w:rsid w:val="00DE7309"/>
    <w:rsid w:val="00E21B9F"/>
    <w:rsid w:val="00E90A0D"/>
    <w:rsid w:val="00EA23F5"/>
    <w:rsid w:val="00EA3683"/>
    <w:rsid w:val="00EA5B26"/>
    <w:rsid w:val="00EE2AE3"/>
    <w:rsid w:val="00F24F80"/>
    <w:rsid w:val="00F72283"/>
    <w:rsid w:val="00F7518B"/>
    <w:rsid w:val="00F915FA"/>
    <w:rsid w:val="00F928D2"/>
    <w:rsid w:val="00FC22E0"/>
    <w:rsid w:val="00FE0EDD"/>
    <w:rsid w:val="00FE3AC9"/>
    <w:rsid w:val="00FF4B1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customStyle="1" w:styleId="4">
    <w:name w:val="D701315EDB774114B29368D51E9A69F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
    <w:name w:val="283FE5D022FC4D64A25C7565F95BF63E"/>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62</Pages>
  <Words>26774</Words>
  <Characters>28304</Characters>
  <Lines>230</Lines>
  <Paragraphs>64</Paragraphs>
  <TotalTime>0</TotalTime>
  <ScaleCrop>false</ScaleCrop>
  <LinksUpToDate>false</LinksUpToDate>
  <CharactersWithSpaces>29544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2020-07-22T09:54:00Z</dcterms:created>
  <dc:creator>NTKO</dc:creator>
  <cp:lastModifiedBy>Administrator</cp:lastModifiedBy>
  <cp:lastPrinted>2021-03-10T17:47:00Z</cp:lastPrinted>
  <dcterms:modified xsi:type="dcterms:W3CDTF">2023-08-17T08:57:06Z</dcterms:modified>
  <dc:title>郑州市盲聋哑学校智能聋生手语翻译显示设备采购项目                      招标文件</dc:title>
  <cp:revision>513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397A544A0B194553B8538E1CFF1E7208_13</vt:lpwstr>
  </property>
  <property fmtid="{D5CDD505-2E9C-101B-9397-08002B2CF9AE}" pid="4" name="commondata">
    <vt:lpwstr>eyJoZGlkIjoiMjMzYTk3N2NhNGI1YzMxOTM0OGRjNmQ4NGYzNTNmMGMifQ==</vt:lpwstr>
  </property>
</Properties>
</file>