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bookmarkStart w:id="298" w:name="_GoBack"/>
      <w:bookmarkEnd w:id="298"/>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郑州市第九人民医院医疗设备采购项目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right="843"/>
        <w:jc w:val="center"/>
        <w:rPr>
          <w:rFonts w:hint="default" w:ascii="Times New Roman" w:hAnsi="Times New Roman" w:eastAsia="宋体" w:cs="Times New Roman"/>
          <w:color w:val="auto"/>
          <w:kern w:val="0"/>
          <w:sz w:val="28"/>
          <w:szCs w:val="28"/>
          <w:highlight w:val="none"/>
          <w:lang w:val="en-US" w:eastAsia="zh-CN"/>
        </w:rPr>
      </w:pPr>
      <w:r>
        <w:rPr>
          <w:rFonts w:hint="eastAsia" w:ascii="Times New Roman" w:hAnsi="Times New Roman" w:eastAsia="宋体" w:cs="Times New Roman"/>
          <w:b/>
          <w:bCs/>
          <w:color w:val="auto"/>
          <w:kern w:val="0"/>
          <w:sz w:val="28"/>
          <w:szCs w:val="28"/>
          <w:highlight w:val="none"/>
          <w:lang w:val="en-US" w:eastAsia="zh-CN"/>
        </w:rPr>
        <w:t xml:space="preserve">       </w:t>
      </w:r>
      <w:r>
        <w:rPr>
          <w:rFonts w:hint="eastAsia" w:ascii="Times New Roman" w:hAnsi="Times New Roman" w:eastAsia="宋体" w:cs="Times New Roman"/>
          <w:b/>
          <w:bCs/>
          <w:color w:val="auto"/>
          <w:kern w:val="0"/>
          <w:sz w:val="28"/>
          <w:szCs w:val="28"/>
          <w:highlight w:val="none"/>
          <w:lang w:eastAsia="zh-CN"/>
        </w:rPr>
        <w:t>项目</w:t>
      </w:r>
      <w:r>
        <w:rPr>
          <w:rFonts w:hint="eastAsia" w:ascii="Times New Roman" w:hAnsi="Times New Roman" w:eastAsia="宋体" w:cs="Times New Roman"/>
          <w:b/>
          <w:bCs/>
          <w:color w:val="auto"/>
          <w:kern w:val="0"/>
          <w:sz w:val="28"/>
          <w:szCs w:val="28"/>
          <w:highlight w:val="none"/>
        </w:rPr>
        <w:t>编号：</w:t>
      </w:r>
      <w:r>
        <w:rPr>
          <w:rFonts w:hint="eastAsia" w:ascii="Times New Roman" w:hAnsi="Times New Roman" w:eastAsia="宋体" w:cs="Times New Roman"/>
          <w:b/>
          <w:bCs/>
          <w:color w:val="auto"/>
          <w:kern w:val="0"/>
          <w:sz w:val="28"/>
          <w:szCs w:val="28"/>
          <w:highlight w:val="none"/>
          <w:lang w:val="en-US" w:eastAsia="zh-CN"/>
        </w:rPr>
        <w:t>郑财招标采购-2023-278</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7"/>
        <w:ind w:firstLine="562"/>
        <w:rPr>
          <w:b/>
          <w:bCs/>
          <w:color w:val="000000" w:themeColor="text1"/>
          <w:sz w:val="28"/>
          <w:szCs w:val="28"/>
          <w14:textFill>
            <w14:solidFill>
              <w14:schemeClr w14:val="tx1"/>
            </w14:solidFill>
          </w14:textFill>
        </w:rPr>
      </w:pPr>
    </w:p>
    <w:p>
      <w:pPr>
        <w:pStyle w:val="37"/>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郑州市第九人民医院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九</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keepNext w:val="0"/>
        <w:keepLines w:val="0"/>
        <w:pageBreakBefore w:val="0"/>
        <w:widowControl w:val="0"/>
        <w:tabs>
          <w:tab w:val="right" w:leader="dot" w:pos="9720"/>
        </w:tabs>
        <w:kinsoku w:val="0"/>
        <w:wordWrap/>
        <w:overflowPunct w:val="0"/>
        <w:topLinePunct w:val="0"/>
        <w:autoSpaceDE w:val="0"/>
        <w:autoSpaceDN w:val="0"/>
        <w:bidi w:val="0"/>
        <w:adjustRightInd w:val="0"/>
        <w:snapToGrid/>
        <w:spacing w:line="240" w:lineRule="auto"/>
        <w:ind w:left="3583" w:right="3719"/>
        <w:jc w:val="center"/>
        <w:textAlignment w:val="auto"/>
        <w:rPr>
          <w:rFonts w:ascii="Times New Roman" w:hAnsi="宋体" w:eastAsia="宋体" w:cs="Times New Roman"/>
          <w:color w:val="000000" w:themeColor="text1"/>
          <w:w w:val="98"/>
          <w:kern w:val="0"/>
          <w:sz w:val="52"/>
          <w:szCs w:val="52"/>
          <w14:textFill>
            <w14:solidFill>
              <w14:schemeClr w14:val="tx1"/>
            </w14:solidFill>
          </w14:textFill>
        </w:rPr>
      </w:pPr>
      <w:r>
        <w:rPr>
          <w:rFonts w:hint="eastAsia" w:ascii="Times New Roman" w:hAnsi="宋体" w:eastAsia="宋体" w:cs="Times New Roman"/>
          <w:color w:val="000000" w:themeColor="text1"/>
          <w:kern w:val="0"/>
          <w:sz w:val="52"/>
          <w:szCs w:val="52"/>
          <w14:textFill>
            <w14:solidFill>
              <w14:schemeClr w14:val="tx1"/>
            </w14:solidFill>
          </w14:textFill>
        </w:rPr>
        <w:t>目</w:t>
      </w:r>
      <w:r>
        <w:rPr>
          <w:rFonts w:ascii="Times New Roman" w:hAnsi="宋体" w:eastAsia="宋体" w:cs="Times New Roman"/>
          <w:color w:val="000000" w:themeColor="text1"/>
          <w:spacing w:val="159"/>
          <w:kern w:val="0"/>
          <w:sz w:val="52"/>
          <w:szCs w:val="52"/>
          <w14:textFill>
            <w14:solidFill>
              <w14:schemeClr w14:val="tx1"/>
            </w14:solidFill>
          </w14:textFill>
        </w:rPr>
        <w:t xml:space="preserve"> </w:t>
      </w:r>
      <w:r>
        <w:rPr>
          <w:rFonts w:hint="eastAsia" w:ascii="Times New Roman" w:hAnsi="宋体" w:eastAsia="宋体" w:cs="Times New Roman"/>
          <w:color w:val="000000" w:themeColor="text1"/>
          <w:kern w:val="0"/>
          <w:sz w:val="52"/>
          <w:szCs w:val="52"/>
          <w14:textFill>
            <w14:solidFill>
              <w14:schemeClr w14:val="tx1"/>
            </w14:solidFill>
          </w14:textFill>
        </w:rPr>
        <w:t>录</w:t>
      </w:r>
      <w:r>
        <w:rPr>
          <w:rFonts w:ascii="Times New Roman" w:hAnsi="宋体" w:eastAsia="宋体" w:cs="Times New Roman"/>
          <w:color w:val="000000" w:themeColor="text1"/>
          <w:w w:val="98"/>
          <w:kern w:val="0"/>
          <w:sz w:val="52"/>
          <w:szCs w:val="5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 w:val="21"/>
              <w:szCs w:val="21"/>
            </w:rPr>
            <w:fldChar w:fldCharType="begin"/>
          </w:r>
          <w:r>
            <w:rPr>
              <w:sz w:val="21"/>
              <w:szCs w:val="21"/>
            </w:rPr>
            <w:instrText xml:space="preserve">TOC \o "1-1" \h \u </w:instrText>
          </w:r>
          <w:r>
            <w:rPr>
              <w:sz w:val="21"/>
              <w:szCs w:val="21"/>
            </w:rPr>
            <w:fldChar w:fldCharType="separate"/>
          </w:r>
          <w:r>
            <w:rPr>
              <w:szCs w:val="21"/>
            </w:rPr>
            <w:fldChar w:fldCharType="begin"/>
          </w:r>
          <w:r>
            <w:rPr>
              <w:szCs w:val="21"/>
            </w:rPr>
            <w:instrText xml:space="preserve"> HYPERLINK \l _Toc31057 </w:instrText>
          </w:r>
          <w:r>
            <w:rPr>
              <w:szCs w:val="21"/>
            </w:rPr>
            <w:fldChar w:fldCharType="separate"/>
          </w:r>
          <w:r>
            <w:rPr>
              <w:rFonts w:hint="eastAsia" w:ascii="宋体" w:hAnsi="Times New Roman" w:eastAsia="宋体" w:cs="宋体"/>
              <w:bCs/>
              <w:spacing w:val="-9"/>
              <w:kern w:val="0"/>
              <w:szCs w:val="32"/>
            </w:rPr>
            <w:t xml:space="preserve">第一章 </w:t>
          </w:r>
          <w:r>
            <w:rPr>
              <w:rFonts w:hint="eastAsia" w:ascii="宋体" w:hAnsi="Times New Roman" w:eastAsia="宋体" w:cs="宋体"/>
              <w:bCs/>
              <w:kern w:val="0"/>
              <w:szCs w:val="32"/>
            </w:rPr>
            <w:t>招标公告</w:t>
          </w:r>
          <w:r>
            <w:tab/>
          </w:r>
          <w:r>
            <w:fldChar w:fldCharType="begin"/>
          </w:r>
          <w:r>
            <w:instrText xml:space="preserve"> PAGEREF _Toc31057 \h </w:instrText>
          </w:r>
          <w:r>
            <w:fldChar w:fldCharType="separate"/>
          </w:r>
          <w:r>
            <w:t>- 2 -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_Toc28656 </w:instrText>
          </w:r>
          <w:r>
            <w:rPr>
              <w:szCs w:val="21"/>
            </w:rPr>
            <w:fldChar w:fldCharType="separate"/>
          </w:r>
          <w:r>
            <w:rPr>
              <w:rFonts w:hint="eastAsia" w:ascii="宋体" w:hAnsi="Times New Roman" w:eastAsia="宋体" w:cs="宋体"/>
              <w:bCs/>
              <w:spacing w:val="2"/>
              <w:kern w:val="0"/>
              <w:szCs w:val="32"/>
            </w:rPr>
            <w:t>第二章</w:t>
          </w:r>
          <w:r>
            <w:rPr>
              <w:rFonts w:ascii="宋体" w:hAnsi="Times New Roman" w:eastAsia="宋体" w:cs="宋体"/>
              <w:bCs/>
              <w:spacing w:val="-11"/>
              <w:kern w:val="0"/>
              <w:szCs w:val="32"/>
            </w:rPr>
            <w:t xml:space="preserve"> </w:t>
          </w:r>
          <w:r>
            <w:rPr>
              <w:rFonts w:hint="eastAsia" w:ascii="宋体" w:hAnsi="Times New Roman" w:eastAsia="宋体" w:cs="宋体"/>
              <w:bCs/>
              <w:kern w:val="0"/>
              <w:szCs w:val="32"/>
            </w:rPr>
            <w:t>供应商须知供应商须知前附表</w:t>
          </w:r>
          <w:r>
            <w:tab/>
          </w:r>
          <w:r>
            <w:fldChar w:fldCharType="begin"/>
          </w:r>
          <w:r>
            <w:instrText xml:space="preserve"> PAGEREF _Toc28656 \h </w:instrText>
          </w:r>
          <w:r>
            <w:fldChar w:fldCharType="separate"/>
          </w:r>
          <w:r>
            <w:t>- 6 -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_Toc29087 </w:instrText>
          </w:r>
          <w:r>
            <w:rPr>
              <w:szCs w:val="21"/>
            </w:rPr>
            <w:fldChar w:fldCharType="separate"/>
          </w:r>
          <w:r>
            <w:rPr>
              <w:rFonts w:hint="eastAsia" w:ascii="宋体" w:hAnsi="Times New Roman" w:eastAsia="宋体" w:cs="宋体"/>
              <w:bCs/>
              <w:spacing w:val="2"/>
              <w:kern w:val="0"/>
              <w:szCs w:val="32"/>
            </w:rPr>
            <w:t>第三章</w:t>
          </w:r>
          <w:r>
            <w:rPr>
              <w:rFonts w:ascii="宋体" w:hAnsi="Times New Roman" w:eastAsia="宋体" w:cs="宋体"/>
              <w:bCs/>
              <w:spacing w:val="-8"/>
              <w:kern w:val="0"/>
              <w:szCs w:val="32"/>
            </w:rPr>
            <w:t xml:space="preserve"> </w:t>
          </w:r>
          <w:r>
            <w:rPr>
              <w:rFonts w:hint="eastAsia" w:ascii="宋体" w:hAnsi="Times New Roman" w:eastAsia="宋体" w:cs="宋体"/>
              <w:bCs/>
              <w:kern w:val="0"/>
              <w:szCs w:val="32"/>
            </w:rPr>
            <w:t>评标方法和标准</w:t>
          </w:r>
          <w:r>
            <w:tab/>
          </w:r>
          <w:r>
            <w:fldChar w:fldCharType="begin"/>
          </w:r>
          <w:r>
            <w:instrText xml:space="preserve"> PAGEREF _Toc29087 \h </w:instrText>
          </w:r>
          <w:r>
            <w:fldChar w:fldCharType="separate"/>
          </w:r>
          <w:r>
            <w:t>- 24 -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_Toc657 </w:instrText>
          </w:r>
          <w:r>
            <w:rPr>
              <w:szCs w:val="21"/>
            </w:rPr>
            <w:fldChar w:fldCharType="separate"/>
          </w:r>
          <w:r>
            <w:rPr>
              <w:rFonts w:hint="eastAsia" w:ascii="宋体" w:hAnsi="宋体" w:eastAsia="宋体" w:cs="宋体"/>
              <w:bCs/>
              <w:spacing w:val="2"/>
              <w:kern w:val="0"/>
              <w:szCs w:val="32"/>
            </w:rPr>
            <w:t>第四章</w:t>
          </w:r>
          <w:r>
            <w:rPr>
              <w:rFonts w:hint="eastAsia" w:ascii="宋体" w:hAnsi="宋体" w:cs="宋体"/>
              <w:bCs/>
              <w:spacing w:val="2"/>
              <w:kern w:val="0"/>
              <w:szCs w:val="32"/>
              <w:lang w:val="en-US" w:eastAsia="zh-CN"/>
            </w:rPr>
            <w:t xml:space="preserve"> </w:t>
          </w:r>
          <w:r>
            <w:rPr>
              <w:rFonts w:hint="eastAsia" w:ascii="宋体" w:hAnsi="宋体" w:eastAsia="宋体" w:cs="宋体"/>
              <w:bCs/>
              <w:kern w:val="0"/>
              <w:szCs w:val="32"/>
            </w:rPr>
            <w:t>合同条款</w:t>
          </w:r>
          <w:r>
            <w:tab/>
          </w:r>
          <w:r>
            <w:fldChar w:fldCharType="begin"/>
          </w:r>
          <w:r>
            <w:instrText xml:space="preserve"> PAGEREF _Toc657 \h </w:instrText>
          </w:r>
          <w:r>
            <w:fldChar w:fldCharType="separate"/>
          </w:r>
          <w:r>
            <w:t>- 29 -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_Toc16593 </w:instrText>
          </w:r>
          <w:r>
            <w:rPr>
              <w:szCs w:val="21"/>
            </w:rPr>
            <w:fldChar w:fldCharType="separate"/>
          </w:r>
          <w:r>
            <w:rPr>
              <w:rFonts w:hint="eastAsia" w:ascii="Times New Roman" w:hAnsi="Times New Roman" w:eastAsia="宋体" w:cs="Times New Roman"/>
              <w:bCs/>
              <w:spacing w:val="2"/>
              <w:kern w:val="0"/>
              <w:szCs w:val="32"/>
              <w:lang w:eastAsia="zh-CN"/>
            </w:rPr>
            <w:t>第五章</w:t>
          </w:r>
          <w:r>
            <w:rPr>
              <w:rFonts w:hint="eastAsia" w:cs="Times New Roman"/>
              <w:bCs/>
              <w:spacing w:val="2"/>
              <w:kern w:val="0"/>
              <w:szCs w:val="32"/>
              <w:lang w:val="en-US" w:eastAsia="zh-CN"/>
            </w:rPr>
            <w:t xml:space="preserve"> </w:t>
          </w:r>
          <w:r>
            <w:rPr>
              <w:rFonts w:hint="eastAsia" w:ascii="Times New Roman" w:hAnsi="Times New Roman" w:eastAsia="宋体" w:cs="Times New Roman"/>
              <w:bCs/>
              <w:spacing w:val="2"/>
              <w:kern w:val="0"/>
              <w:szCs w:val="32"/>
            </w:rPr>
            <w:t>技术标准和要求</w:t>
          </w:r>
          <w:r>
            <w:tab/>
          </w:r>
          <w:r>
            <w:fldChar w:fldCharType="begin"/>
          </w:r>
          <w:r>
            <w:instrText xml:space="preserve"> PAGEREF _Toc16593 \h </w:instrText>
          </w:r>
          <w:r>
            <w:fldChar w:fldCharType="separate"/>
          </w:r>
          <w:r>
            <w:t>- 33 -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_Toc30869 </w:instrText>
          </w:r>
          <w:r>
            <w:rPr>
              <w:szCs w:val="21"/>
            </w:rPr>
            <w:fldChar w:fldCharType="separate"/>
          </w:r>
          <w:r>
            <w:rPr>
              <w:rFonts w:hint="eastAsia" w:ascii="Times New Roman" w:hAnsi="Times New Roman" w:eastAsia="宋体" w:cs="Times New Roman"/>
              <w:bCs/>
              <w:spacing w:val="2"/>
              <w:kern w:val="0"/>
              <w:szCs w:val="32"/>
            </w:rPr>
            <w:t>第六章</w:t>
          </w:r>
          <w:r>
            <w:rPr>
              <w:rFonts w:ascii="Times New Roman" w:hAnsi="Times New Roman" w:eastAsia="宋体" w:cs="Times New Roman"/>
              <w:bCs/>
              <w:spacing w:val="-9"/>
              <w:kern w:val="0"/>
              <w:szCs w:val="32"/>
            </w:rPr>
            <w:t xml:space="preserve"> </w:t>
          </w:r>
          <w:r>
            <w:rPr>
              <w:rFonts w:hint="eastAsia" w:ascii="Times New Roman" w:hAnsi="Times New Roman" w:eastAsia="宋体" w:cs="Times New Roman"/>
              <w:bCs/>
              <w:kern w:val="0"/>
              <w:szCs w:val="32"/>
            </w:rPr>
            <w:t>投标文件格式</w:t>
          </w:r>
          <w:r>
            <w:tab/>
          </w:r>
          <w:r>
            <w:fldChar w:fldCharType="begin"/>
          </w:r>
          <w:r>
            <w:instrText xml:space="preserve"> PAGEREF _Toc30869 \h </w:instrText>
          </w:r>
          <w:r>
            <w:fldChar w:fldCharType="separate"/>
          </w:r>
          <w:r>
            <w:t>- 45 -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_Toc7535 </w:instrText>
          </w:r>
          <w:r>
            <w:rPr>
              <w:szCs w:val="21"/>
            </w:rPr>
            <w:fldChar w:fldCharType="separate"/>
          </w:r>
          <w:r>
            <w:rPr>
              <w:rFonts w:hint="eastAsia" w:ascii="宋体" w:hAnsi="Times New Roman" w:eastAsia="宋体" w:cs="宋体"/>
              <w:kern w:val="0"/>
              <w:szCs w:val="28"/>
            </w:rPr>
            <w:t>一、法定代表人身份证明</w:t>
          </w:r>
          <w:r>
            <w:tab/>
          </w:r>
          <w:r>
            <w:fldChar w:fldCharType="begin"/>
          </w:r>
          <w:r>
            <w:instrText xml:space="preserve"> PAGEREF _Toc7535 \h </w:instrText>
          </w:r>
          <w:r>
            <w:fldChar w:fldCharType="separate"/>
          </w:r>
          <w:r>
            <w:t>- 46 -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_Toc13444 </w:instrText>
          </w:r>
          <w:r>
            <w:rPr>
              <w:szCs w:val="21"/>
            </w:rPr>
            <w:fldChar w:fldCharType="separate"/>
          </w:r>
          <w:r>
            <w:rPr>
              <w:rFonts w:hint="eastAsia" w:ascii="宋体" w:hAnsi="Times New Roman" w:eastAsia="宋体" w:cs="宋体"/>
              <w:kern w:val="0"/>
              <w:szCs w:val="28"/>
            </w:rPr>
            <w:t>二、授权委托书</w:t>
          </w:r>
          <w:r>
            <w:tab/>
          </w:r>
          <w:r>
            <w:fldChar w:fldCharType="begin"/>
          </w:r>
          <w:r>
            <w:instrText xml:space="preserve"> PAGEREF _Toc13444 \h </w:instrText>
          </w:r>
          <w:r>
            <w:fldChar w:fldCharType="separate"/>
          </w:r>
          <w:r>
            <w:t>- 47 -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_Toc16859 </w:instrText>
          </w:r>
          <w:r>
            <w:rPr>
              <w:szCs w:val="21"/>
            </w:rPr>
            <w:fldChar w:fldCharType="separate"/>
          </w:r>
          <w:r>
            <w:rPr>
              <w:rFonts w:hint="eastAsia" w:ascii="宋体" w:hAnsi="Times New Roman" w:eastAsia="宋体" w:cs="宋体"/>
              <w:kern w:val="0"/>
              <w:szCs w:val="28"/>
            </w:rPr>
            <w:t>三、投标函及投标函附录</w:t>
          </w:r>
          <w:r>
            <w:tab/>
          </w:r>
          <w:r>
            <w:fldChar w:fldCharType="begin"/>
          </w:r>
          <w:r>
            <w:instrText xml:space="preserve"> PAGEREF _Toc16859 \h </w:instrText>
          </w:r>
          <w:r>
            <w:fldChar w:fldCharType="separate"/>
          </w:r>
          <w:r>
            <w:t>- 48 -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_Toc19950 </w:instrText>
          </w:r>
          <w:r>
            <w:rPr>
              <w:szCs w:val="21"/>
            </w:rPr>
            <w:fldChar w:fldCharType="separate"/>
          </w:r>
          <w:r>
            <w:rPr>
              <w:rFonts w:hint="eastAsia" w:ascii="宋体" w:hAnsi="Times New Roman" w:eastAsia="宋体" w:cs="宋体"/>
              <w:kern w:val="0"/>
              <w:szCs w:val="28"/>
            </w:rPr>
            <w:t>四、投标报价明细表</w:t>
          </w:r>
          <w:r>
            <w:tab/>
          </w:r>
          <w:r>
            <w:fldChar w:fldCharType="begin"/>
          </w:r>
          <w:r>
            <w:instrText xml:space="preserve"> PAGEREF _Toc19950 \h </w:instrText>
          </w:r>
          <w:r>
            <w:fldChar w:fldCharType="separate"/>
          </w:r>
          <w:r>
            <w:t>- 51 -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_Toc19551 </w:instrText>
          </w:r>
          <w:r>
            <w:rPr>
              <w:szCs w:val="21"/>
            </w:rPr>
            <w:fldChar w:fldCharType="separate"/>
          </w:r>
          <w:r>
            <w:rPr>
              <w:rFonts w:hint="eastAsia" w:ascii="宋体" w:hAnsi="Times New Roman" w:eastAsia="宋体" w:cs="宋体"/>
              <w:kern w:val="0"/>
              <w:szCs w:val="28"/>
            </w:rPr>
            <w:t>五、商务条款偏差表</w:t>
          </w:r>
          <w:r>
            <w:tab/>
          </w:r>
          <w:r>
            <w:fldChar w:fldCharType="begin"/>
          </w:r>
          <w:r>
            <w:instrText xml:space="preserve"> PAGEREF _Toc19551 \h </w:instrText>
          </w:r>
          <w:r>
            <w:fldChar w:fldCharType="separate"/>
          </w:r>
          <w:r>
            <w:t>- 52 -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_Toc3435 </w:instrText>
          </w:r>
          <w:r>
            <w:rPr>
              <w:szCs w:val="21"/>
            </w:rPr>
            <w:fldChar w:fldCharType="separate"/>
          </w:r>
          <w:r>
            <w:rPr>
              <w:rFonts w:hint="eastAsia" w:ascii="宋体" w:hAnsi="Times New Roman" w:eastAsia="宋体" w:cs="宋体"/>
              <w:kern w:val="0"/>
              <w:szCs w:val="28"/>
            </w:rPr>
            <w:t>六、技术条款偏差表</w:t>
          </w:r>
          <w:r>
            <w:tab/>
          </w:r>
          <w:r>
            <w:fldChar w:fldCharType="begin"/>
          </w:r>
          <w:r>
            <w:instrText xml:space="preserve"> PAGEREF _Toc3435 \h </w:instrText>
          </w:r>
          <w:r>
            <w:fldChar w:fldCharType="separate"/>
          </w:r>
          <w:r>
            <w:t>- 53 -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_Toc10076 </w:instrText>
          </w:r>
          <w:r>
            <w:rPr>
              <w:szCs w:val="21"/>
            </w:rPr>
            <w:fldChar w:fldCharType="separate"/>
          </w:r>
          <w:r>
            <w:rPr>
              <w:rFonts w:hint="eastAsia" w:ascii="宋体" w:hAnsi="Times New Roman" w:eastAsia="宋体" w:cs="宋体"/>
              <w:kern w:val="0"/>
              <w:szCs w:val="28"/>
            </w:rPr>
            <w:t>七、资格证明文件</w:t>
          </w:r>
          <w:r>
            <w:tab/>
          </w:r>
          <w:r>
            <w:fldChar w:fldCharType="begin"/>
          </w:r>
          <w:r>
            <w:instrText xml:space="preserve"> PAGEREF _Toc10076 \h </w:instrText>
          </w:r>
          <w:r>
            <w:fldChar w:fldCharType="separate"/>
          </w:r>
          <w:r>
            <w:t>- 54 -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_Toc31148 </w:instrText>
          </w:r>
          <w:r>
            <w:rPr>
              <w:szCs w:val="21"/>
            </w:rPr>
            <w:fldChar w:fldCharType="separate"/>
          </w:r>
          <w:r>
            <w:rPr>
              <w:rFonts w:hint="eastAsia" w:ascii="宋体" w:hAnsi="Times New Roman" w:eastAsia="宋体" w:cs="宋体"/>
              <w:kern w:val="0"/>
              <w:szCs w:val="28"/>
            </w:rPr>
            <w:t>八、供应商综合能力证明文件</w:t>
          </w:r>
          <w:r>
            <w:tab/>
          </w:r>
          <w:r>
            <w:fldChar w:fldCharType="begin"/>
          </w:r>
          <w:r>
            <w:instrText xml:space="preserve"> PAGEREF _Toc31148 \h </w:instrText>
          </w:r>
          <w:r>
            <w:fldChar w:fldCharType="separate"/>
          </w:r>
          <w:r>
            <w:t>- 56 -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_Toc29302 </w:instrText>
          </w:r>
          <w:r>
            <w:rPr>
              <w:szCs w:val="21"/>
            </w:rPr>
            <w:fldChar w:fldCharType="separate"/>
          </w:r>
          <w:r>
            <w:rPr>
              <w:rFonts w:hint="eastAsia" w:ascii="Times New Roman" w:hAnsi="Times New Roman" w:eastAsia="宋体" w:cs="Times New Roman"/>
              <w:kern w:val="0"/>
              <w:szCs w:val="28"/>
            </w:rPr>
            <w:t>九、供应商反商业贿赂承诺书</w:t>
          </w:r>
          <w:r>
            <w:tab/>
          </w:r>
          <w:r>
            <w:fldChar w:fldCharType="begin"/>
          </w:r>
          <w:r>
            <w:instrText xml:space="preserve"> PAGEREF _Toc29302 \h </w:instrText>
          </w:r>
          <w:r>
            <w:fldChar w:fldCharType="separate"/>
          </w:r>
          <w:r>
            <w:t>- 57 -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_Toc16060 </w:instrText>
          </w:r>
          <w:r>
            <w:rPr>
              <w:szCs w:val="21"/>
            </w:rPr>
            <w:fldChar w:fldCharType="separate"/>
          </w:r>
          <w:r>
            <w:rPr>
              <w:rFonts w:hint="eastAsia" w:ascii="宋体" w:hAnsi="Times New Roman" w:eastAsia="宋体" w:cs="宋体"/>
              <w:kern w:val="0"/>
              <w:szCs w:val="28"/>
            </w:rPr>
            <w:t>十、中小企业声明函</w:t>
          </w:r>
          <w:r>
            <w:tab/>
          </w:r>
          <w:r>
            <w:fldChar w:fldCharType="begin"/>
          </w:r>
          <w:r>
            <w:instrText xml:space="preserve"> PAGEREF _Toc16060 \h </w:instrText>
          </w:r>
          <w:r>
            <w:fldChar w:fldCharType="separate"/>
          </w:r>
          <w:r>
            <w:t>- 58 -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_Toc2904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一</w:t>
          </w:r>
          <w:r>
            <w:rPr>
              <w:rFonts w:hint="eastAsia" w:ascii="宋体" w:hAnsi="Times New Roman" w:eastAsia="宋体" w:cs="宋体"/>
              <w:kern w:val="0"/>
              <w:szCs w:val="28"/>
            </w:rPr>
            <w:t>、监狱企业证明材料（如有）</w:t>
          </w:r>
          <w:r>
            <w:tab/>
          </w:r>
          <w:r>
            <w:fldChar w:fldCharType="begin"/>
          </w:r>
          <w:r>
            <w:instrText xml:space="preserve"> PAGEREF _Toc2904 \h </w:instrText>
          </w:r>
          <w:r>
            <w:fldChar w:fldCharType="separate"/>
          </w:r>
          <w:r>
            <w:t>- 59 -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_Toc8816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二</w:t>
          </w:r>
          <w:r>
            <w:rPr>
              <w:rFonts w:hint="eastAsia" w:ascii="宋体" w:hAnsi="Times New Roman" w:eastAsia="宋体" w:cs="宋体"/>
              <w:kern w:val="0"/>
              <w:szCs w:val="28"/>
            </w:rPr>
            <w:t>、残疾人福利性单位声明函（如有）</w:t>
          </w:r>
          <w:r>
            <w:tab/>
          </w:r>
          <w:r>
            <w:fldChar w:fldCharType="begin"/>
          </w:r>
          <w:r>
            <w:instrText xml:space="preserve"> PAGEREF _Toc8816 \h </w:instrText>
          </w:r>
          <w:r>
            <w:fldChar w:fldCharType="separate"/>
          </w:r>
          <w:r>
            <w:t>- 60 -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_Toc32291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三</w:t>
          </w:r>
          <w:r>
            <w:rPr>
              <w:rFonts w:hint="eastAsia" w:ascii="宋体" w:hAnsi="Times New Roman" w:eastAsia="宋体" w:cs="宋体"/>
              <w:kern w:val="0"/>
              <w:szCs w:val="28"/>
            </w:rPr>
            <w:t>、节能产品、环境标志产品明细表</w:t>
          </w:r>
          <w:r>
            <w:tab/>
          </w:r>
          <w:r>
            <w:fldChar w:fldCharType="begin"/>
          </w:r>
          <w:r>
            <w:instrText xml:space="preserve"> PAGEREF _Toc32291 \h </w:instrText>
          </w:r>
          <w:r>
            <w:fldChar w:fldCharType="separate"/>
          </w:r>
          <w:r>
            <w:t>- 61 -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_Toc25355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四</w:t>
          </w:r>
          <w:r>
            <w:rPr>
              <w:rFonts w:hint="eastAsia" w:ascii="宋体" w:hAnsi="Times New Roman" w:eastAsia="宋体" w:cs="宋体"/>
              <w:kern w:val="0"/>
              <w:szCs w:val="28"/>
            </w:rPr>
            <w:t>、技术支持资料</w:t>
          </w:r>
          <w:r>
            <w:tab/>
          </w:r>
          <w:r>
            <w:fldChar w:fldCharType="begin"/>
          </w:r>
          <w:r>
            <w:instrText xml:space="preserve"> PAGEREF _Toc25355 \h </w:instrText>
          </w:r>
          <w:r>
            <w:fldChar w:fldCharType="separate"/>
          </w:r>
          <w:r>
            <w:t>- 62 -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_Toc3870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五</w:t>
          </w:r>
          <w:r>
            <w:rPr>
              <w:rFonts w:hint="eastAsia" w:ascii="宋体" w:hAnsi="Times New Roman" w:eastAsia="宋体" w:cs="宋体"/>
              <w:kern w:val="0"/>
              <w:szCs w:val="28"/>
            </w:rPr>
            <w:t>、供应商认为需要加以说明的其他内容</w:t>
          </w:r>
          <w:r>
            <w:tab/>
          </w:r>
          <w:r>
            <w:fldChar w:fldCharType="begin"/>
          </w:r>
          <w:r>
            <w:instrText xml:space="preserve"> PAGEREF _Toc3870 \h </w:instrText>
          </w:r>
          <w:r>
            <w:fldChar w:fldCharType="separate"/>
          </w:r>
          <w:r>
            <w:t>- 63 -</w:t>
          </w:r>
          <w:r>
            <w:fldChar w:fldCharType="end"/>
          </w:r>
          <w:r>
            <w:rPr>
              <w:szCs w:val="21"/>
            </w:rPr>
            <w:fldChar w:fldCharType="end"/>
          </w:r>
        </w:p>
        <w:p>
          <w:pPr>
            <w:keepNext w:val="0"/>
            <w:keepLines w:val="0"/>
            <w:pageBreakBefore w:val="0"/>
            <w:widowControl w:val="0"/>
            <w:kinsoku/>
            <w:wordWrap/>
            <w:overflowPunct/>
            <w:topLinePunct w:val="0"/>
            <w:bidi w:val="0"/>
            <w:snapToGrid/>
            <w:spacing w:line="360" w:lineRule="auto"/>
            <w:textAlignment w:val="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2"/>
      </w:pPr>
    </w:p>
    <w:p/>
    <w:p>
      <w:pPr>
        <w:pStyle w:val="2"/>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5982"/>
      <w:bookmarkStart w:id="2" w:name="_Toc16554"/>
      <w:bookmarkStart w:id="3" w:name="_Toc31057"/>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14926"/>
      <w:bookmarkStart w:id="5" w:name="_Toc5816"/>
      <w:bookmarkStart w:id="6" w:name="_Toc5517"/>
      <w:bookmarkStart w:id="7" w:name="_Toc21804"/>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bookmarkEnd w:id="6"/>
      <w:bookmarkEnd w:id="7"/>
    </w:p>
    <w:p>
      <w:pPr>
        <w:wordWrap w:val="0"/>
        <w:spacing w:line="360" w:lineRule="auto"/>
        <w:ind w:firstLine="444" w:firstLineChars="200"/>
        <w:jc w:val="left"/>
        <w:rPr>
          <w:rFonts w:hint="eastAsia" w:ascii="宋体" w:hAnsi="宋体" w:eastAsia="宋体" w:cs="宋体"/>
          <w:color w:val="auto"/>
          <w:spacing w:val="6"/>
          <w:kern w:val="0"/>
          <w:szCs w:val="21"/>
          <w:lang w:eastAsia="zh-CN"/>
        </w:rPr>
      </w:pPr>
      <w:bookmarkStart w:id="8"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的潜在投标人应在登录“郑州市公共资源交易中心网（http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://zzggzy.zhengzhou.gov.cn/）”，凭企业身份认证锁下载招标文件。</w:t>
      </w:r>
      <w:r>
        <w:rPr>
          <w:rFonts w:hint="eastAsia" w:ascii="宋体" w:hAnsi="宋体" w:eastAsia="宋体" w:cs="宋体"/>
          <w:i w:val="0"/>
          <w:iCs w:val="0"/>
          <w:caps w:val="0"/>
          <w:color w:val="auto"/>
          <w:spacing w:val="6"/>
          <w:kern w:val="0"/>
          <w:sz w:val="21"/>
          <w:szCs w:val="21"/>
          <w:shd w:val="clear" w:fill="auto"/>
        </w:rPr>
        <w:t>获取招标文件，并于</w:t>
      </w:r>
      <w:r>
        <w:rPr>
          <w:rFonts w:hint="eastAsia" w:ascii="宋体" w:hAnsi="宋体" w:eastAsia="宋体" w:cs="宋体"/>
          <w:i w:val="0"/>
          <w:iCs w:val="0"/>
          <w:caps w:val="0"/>
          <w:color w:val="auto"/>
          <w:spacing w:val="6"/>
          <w:kern w:val="0"/>
          <w:sz w:val="21"/>
          <w:szCs w:val="21"/>
          <w:highlight w:val="none"/>
          <w:shd w:val="clear" w:fill="auto"/>
        </w:rPr>
        <w:t>2023年</w:t>
      </w:r>
      <w:r>
        <w:rPr>
          <w:rFonts w:hint="eastAsia" w:ascii="宋体" w:hAnsi="宋体" w:eastAsia="宋体" w:cs="宋体"/>
          <w:i w:val="0"/>
          <w:iCs w:val="0"/>
          <w:caps w:val="0"/>
          <w:color w:val="auto"/>
          <w:spacing w:val="6"/>
          <w:kern w:val="0"/>
          <w:sz w:val="21"/>
          <w:szCs w:val="21"/>
          <w:highlight w:val="none"/>
          <w:shd w:val="clear" w:fill="auto"/>
          <w:lang w:val="en-US" w:eastAsia="zh-CN"/>
        </w:rPr>
        <w:t>11</w:t>
      </w:r>
      <w:r>
        <w:rPr>
          <w:rFonts w:hint="eastAsia" w:ascii="宋体" w:hAnsi="宋体" w:eastAsia="宋体" w:cs="宋体"/>
          <w:i w:val="0"/>
          <w:iCs w:val="0"/>
          <w:caps w:val="0"/>
          <w:color w:val="auto"/>
          <w:spacing w:val="6"/>
          <w:kern w:val="0"/>
          <w:sz w:val="21"/>
          <w:szCs w:val="21"/>
          <w:highlight w:val="none"/>
          <w:shd w:val="clear" w:fill="auto"/>
        </w:rPr>
        <w:t>月</w:t>
      </w:r>
      <w:r>
        <w:rPr>
          <w:rFonts w:hint="eastAsia" w:ascii="宋体" w:hAnsi="宋体" w:eastAsia="宋体" w:cs="宋体"/>
          <w:i w:val="0"/>
          <w:iCs w:val="0"/>
          <w:caps w:val="0"/>
          <w:color w:val="auto"/>
          <w:spacing w:val="6"/>
          <w:kern w:val="0"/>
          <w:sz w:val="21"/>
          <w:szCs w:val="21"/>
          <w:highlight w:val="none"/>
          <w:shd w:val="clear" w:fill="auto"/>
          <w:lang w:val="en-US" w:eastAsia="zh-CN"/>
        </w:rPr>
        <w:t>29</w:t>
      </w:r>
      <w:r>
        <w:rPr>
          <w:rFonts w:hint="eastAsia" w:ascii="宋体" w:hAnsi="宋体" w:eastAsia="宋体" w:cs="宋体"/>
          <w:i w:val="0"/>
          <w:iCs w:val="0"/>
          <w:caps w:val="0"/>
          <w:color w:val="auto"/>
          <w:spacing w:val="6"/>
          <w:kern w:val="0"/>
          <w:sz w:val="21"/>
          <w:szCs w:val="21"/>
          <w:highlight w:val="none"/>
          <w:shd w:val="clear" w:fill="auto"/>
        </w:rPr>
        <w:t>日10时00分</w:t>
      </w:r>
      <w:r>
        <w:rPr>
          <w:rFonts w:hint="eastAsia" w:ascii="宋体" w:hAnsi="宋体" w:eastAsia="宋体" w:cs="宋体"/>
          <w:i w:val="0"/>
          <w:iCs w:val="0"/>
          <w:caps w:val="0"/>
          <w:color w:val="auto"/>
          <w:spacing w:val="6"/>
          <w:kern w:val="0"/>
          <w:sz w:val="21"/>
          <w:szCs w:val="21"/>
          <w:shd w:val="clear" w:fill="auto"/>
        </w:rPr>
        <w:t>（北京时间）前递交投标文件</w:t>
      </w:r>
      <w:r>
        <w:rPr>
          <w:rFonts w:hint="eastAsia" w:ascii="宋体" w:hAnsi="宋体" w:eastAsia="宋体" w:cs="宋体"/>
          <w:color w:val="auto"/>
          <w:spacing w:val="6"/>
          <w:kern w:val="0"/>
          <w:szCs w:val="21"/>
          <w:lang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9" w:name="_Toc11334"/>
      <w:bookmarkStart w:id="10" w:name="_Toc5257"/>
      <w:bookmarkStart w:id="11" w:name="_Toc636"/>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8"/>
      <w:bookmarkEnd w:id="9"/>
      <w:bookmarkEnd w:id="10"/>
      <w:bookmarkEnd w:id="11"/>
    </w:p>
    <w:p>
      <w:pPr>
        <w:spacing w:line="360" w:lineRule="auto"/>
        <w:ind w:firstLine="444" w:firstLineChars="200"/>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1、</w:t>
      </w:r>
      <w:r>
        <w:rPr>
          <w:rFonts w:hint="eastAsia" w:ascii="宋体" w:hAnsi="宋体" w:eastAsia="宋体" w:cs="宋体"/>
          <w:color w:val="auto"/>
          <w:spacing w:val="6"/>
          <w:kern w:val="0"/>
          <w:szCs w:val="21"/>
          <w:highlight w:val="none"/>
        </w:rPr>
        <w:t>项目编号：</w:t>
      </w:r>
      <w:r>
        <w:rPr>
          <w:rFonts w:hint="eastAsia" w:ascii="宋体" w:hAnsi="宋体" w:eastAsia="宋体" w:cs="宋体"/>
          <w:color w:val="auto"/>
          <w:spacing w:val="6"/>
          <w:kern w:val="0"/>
          <w:szCs w:val="21"/>
          <w:highlight w:val="none"/>
          <w:lang w:val="en-US" w:eastAsia="zh-CN"/>
        </w:rPr>
        <w:t>郑财招标采购-2023-278</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694"/>
        <w:gridCol w:w="3358"/>
        <w:gridCol w:w="2028"/>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便携式彩色多普勒超声系统</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眼表综合分析仪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6</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F包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7</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G包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FF0000"/>
          <w:spacing w:val="6"/>
          <w:kern w:val="0"/>
          <w:szCs w:val="21"/>
          <w:lang w:eastAsia="zh-CN"/>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郑州市第九人民医院医疗设备采购项目，其中，耳鼻喉图文工作站1套、便携式彩色多普勒超声系统1套、眼表综合分析仪</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套、心肺转流离心系统（ECMO）</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套、静息代谢测试仪1套、麻醉机1台、电动移</w:t>
      </w:r>
      <w:r>
        <w:rPr>
          <w:rFonts w:hint="eastAsia" w:ascii="宋体" w:hAnsi="宋体" w:eastAsia="宋体" w:cs="宋体"/>
          <w:b w:val="0"/>
          <w:bCs w:val="0"/>
          <w:color w:val="auto"/>
          <w:spacing w:val="6"/>
          <w:kern w:val="0"/>
          <w:sz w:val="21"/>
          <w:szCs w:val="21"/>
          <w:lang w:eastAsia="zh-CN"/>
        </w:rPr>
        <w:t>位机</w:t>
      </w:r>
      <w:r>
        <w:rPr>
          <w:rFonts w:hint="eastAsia" w:ascii="宋体" w:hAnsi="宋体" w:eastAsia="宋体" w:cs="宋体"/>
          <w:b w:val="0"/>
          <w:bCs w:val="0"/>
          <w:color w:val="auto"/>
          <w:spacing w:val="6"/>
          <w:kern w:val="0"/>
          <w:sz w:val="21"/>
          <w:szCs w:val="21"/>
          <w:lang w:val="en-US" w:eastAsia="zh-CN"/>
        </w:rPr>
        <w:t>1</w:t>
      </w:r>
      <w:r>
        <w:rPr>
          <w:rFonts w:hint="eastAsia" w:ascii="宋体" w:hAnsi="宋体" w:eastAsia="宋体" w:cs="宋体"/>
          <w:b w:val="0"/>
          <w:bCs w:val="0"/>
          <w:color w:val="auto"/>
          <w:spacing w:val="6"/>
          <w:kern w:val="0"/>
          <w:sz w:val="21"/>
          <w:szCs w:val="21"/>
          <w:lang w:eastAsia="zh-CN"/>
        </w:rPr>
        <w:t>台，</w:t>
      </w:r>
      <w:r>
        <w:rPr>
          <w:rFonts w:hint="eastAsia" w:ascii="宋体" w:hAnsi="宋体" w:eastAsia="宋体" w:cs="宋体"/>
          <w:color w:val="auto"/>
          <w:spacing w:val="6"/>
          <w:kern w:val="0"/>
          <w:szCs w:val="21"/>
          <w:lang w:val="en-US" w:eastAsia="zh-CN"/>
        </w:rPr>
        <w:t>详见第五章技术标准及要求</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本项目共划分七个包段</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auto"/>
          <w:spacing w:val="6"/>
          <w:kern w:val="0"/>
          <w:szCs w:val="21"/>
        </w:rPr>
        <w:t>5.3交货期</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：90日历天。</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b w:val="0"/>
          <w:bCs w:val="0"/>
          <w:color w:val="auto"/>
          <w:spacing w:val="6"/>
          <w:kern w:val="0"/>
          <w:szCs w:val="21"/>
        </w:rPr>
        <w:t>5.4质保期：</w:t>
      </w:r>
      <w:r>
        <w:rPr>
          <w:rFonts w:hint="eastAsia" w:ascii="宋体" w:hAnsi="宋体" w:eastAsia="宋体" w:cs="宋体"/>
          <w:b w:val="0"/>
          <w:bCs w:val="0"/>
          <w:color w:val="auto"/>
          <w:spacing w:val="6"/>
          <w:kern w:val="0"/>
          <w:szCs w:val="21"/>
          <w:lang w:val="en-US" w:eastAsia="zh-CN"/>
        </w:rPr>
        <w:t>3年。</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5.5质量要求：合格。</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是</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否</w:t>
      </w:r>
      <w:r>
        <w:rPr>
          <w:rFonts w:hint="eastAsia"/>
          <w:b w:val="0"/>
          <w:bCs w:val="0"/>
          <w:sz w:val="21"/>
          <w:szCs w:val="22"/>
          <w:lang w:val="en-US"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4841"/>
      <w:bookmarkStart w:id="13" w:name="_Toc2324"/>
      <w:bookmarkStart w:id="14" w:name="_Toc7930"/>
      <w:bookmarkStart w:id="15" w:name="_Toc10869"/>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12"/>
      <w:bookmarkEnd w:id="13"/>
      <w:bookmarkEnd w:id="14"/>
      <w:bookmarkEnd w:id="15"/>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bookmarkStart w:id="16" w:name="_Toc26384"/>
      <w:bookmarkStart w:id="17" w:name="_Toc10746"/>
      <w:bookmarkStart w:id="18" w:name="_Toc19145"/>
      <w:bookmarkStart w:id="19" w:name="_Toc6020"/>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ind w:firstLine="444" w:firstLineChars="200"/>
        <w:jc w:val="left"/>
        <w:rPr>
          <w:rFonts w:ascii="楷体" w:hAnsi="楷体" w:eastAsia="楷体"/>
          <w:sz w:val="32"/>
          <w:szCs w:val="32"/>
          <w:u w:val="single"/>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6"/>
      <w:bookmarkEnd w:id="17"/>
      <w:bookmarkEnd w:id="18"/>
      <w:bookmarkEnd w:id="19"/>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09</w:t>
      </w:r>
      <w:r>
        <w:rPr>
          <w:rFonts w:hint="eastAsia" w:ascii="宋体" w:hAnsi="宋体" w:eastAsia="宋体" w:cs="宋体"/>
          <w:color w:val="auto"/>
          <w:spacing w:val="6"/>
          <w:kern w:val="0"/>
          <w:szCs w:val="21"/>
          <w:highlight w:val="none"/>
        </w:rPr>
        <w:t>日至202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15</w:t>
      </w:r>
      <w:r>
        <w:rPr>
          <w:rFonts w:hint="eastAsia" w:ascii="宋体" w:hAnsi="宋体" w:eastAsia="宋体" w:cs="宋体"/>
          <w:color w:val="auto"/>
          <w:spacing w:val="6"/>
          <w:kern w:val="0"/>
          <w:szCs w:val="21"/>
          <w:highlight w:val="none"/>
        </w:rPr>
        <w:t>日</w:t>
      </w:r>
      <w:r>
        <w:rPr>
          <w:rFonts w:hint="eastAsia" w:ascii="宋体" w:hAnsi="宋体" w:eastAsia="宋体" w:cs="宋体"/>
          <w:color w:val="auto"/>
          <w:spacing w:val="6"/>
          <w:kern w:val="0"/>
          <w:szCs w:val="21"/>
        </w:rPr>
        <w:t>，每天上午00:00至12:00，下午12:00至23:59（北京时间，法定节假日除外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3.2、地点：登录“郑州市公共资源交易中心网站（https://zzggzy.zhengzhou.gov.cn/）”。</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3.3、方式：各潜在投标人可通过本项目公告自行获取查阅采购（招标）文件。如有意向，可凭CA密钥登录“郑州市公共资源交易中心网”进行报名、投标（响应）等相关线上操作。</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0" w:name="_Toc11731"/>
      <w:bookmarkStart w:id="21" w:name="_Toc23361"/>
      <w:bookmarkStart w:id="22" w:name="_Toc18550"/>
      <w:bookmarkStart w:id="23" w:name="_Toc16205"/>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20"/>
      <w:bookmarkEnd w:id="21"/>
      <w:bookmarkEnd w:id="22"/>
      <w:bookmarkEnd w:id="23"/>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4.2、地点：郑州市公共资源交易中心电子交易平台（https://zzggzy.zhengzhou.gov.cn/）</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4" w:name="_Toc18828"/>
      <w:bookmarkStart w:id="25" w:name="_Toc21670"/>
      <w:bookmarkStart w:id="26" w:name="_Toc20290"/>
      <w:bookmarkStart w:id="27" w:name="_Toc30633"/>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24"/>
      <w:bookmarkEnd w:id="25"/>
      <w:bookmarkEnd w:id="26"/>
      <w:bookmarkEnd w:id="27"/>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本项目为远程开标，投标人无需到交易中心现场参加开标会议。不见面开标操作说明详见郑州市公共资源交易中心网站-办事指南-政府采购-郑州市公共资源交易中心不见面开标大厅操作手册（供应商）。</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8" w:name="_Toc24460"/>
      <w:bookmarkStart w:id="29" w:name="_Toc23027"/>
      <w:bookmarkStart w:id="30" w:name="_Toc17567"/>
      <w:bookmarkStart w:id="31" w:name="_Toc23646"/>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28"/>
      <w:bookmarkEnd w:id="29"/>
      <w:bookmarkEnd w:id="30"/>
      <w:bookmarkEnd w:id="31"/>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w:t>
      </w:r>
      <w:r>
        <w:rPr>
          <w:rFonts w:hint="eastAsia" w:ascii="宋体" w:hAnsi="宋体" w:eastAsia="宋体" w:cs="宋体"/>
          <w:color w:val="auto"/>
          <w:spacing w:val="6"/>
          <w:kern w:val="0"/>
          <w:szCs w:val="21"/>
          <w:lang w:eastAsia="zh-CN"/>
        </w:rPr>
        <w:t>、</w:t>
      </w:r>
      <w:r>
        <w:rPr>
          <w:rFonts w:hint="eastAsia" w:ascii="宋体" w:hAnsi="宋体" w:eastAsia="宋体" w:cs="宋体"/>
          <w:color w:val="auto"/>
          <w:spacing w:val="6"/>
          <w:kern w:val="0"/>
          <w:szCs w:val="21"/>
        </w:rPr>
        <w:t>《郑州市公共资源交易中心网》上发布。招标公告期限为五个工作日。</w:t>
      </w:r>
    </w:p>
    <w:p>
      <w:pPr>
        <w:widowControl/>
        <w:numPr>
          <w:ilvl w:val="0"/>
          <w:numId w:val="2"/>
        </w:numPr>
        <w:shd w:val="clear" w:color="auto" w:fill="FFFFFF"/>
        <w:autoSpaceDE w:val="0"/>
        <w:autoSpaceDN w:val="0"/>
        <w:adjustRightInd w:val="0"/>
        <w:spacing w:before="96" w:after="96" w:line="360" w:lineRule="auto"/>
        <w:ind w:left="446" w:hanging="446" w:hangingChars="200"/>
        <w:jc w:val="left"/>
        <w:outlineLvl w:val="0"/>
        <w:rPr>
          <w:rFonts w:hint="eastAsia" w:ascii="宋体" w:hAnsi="宋体" w:eastAsia="宋体" w:cs="宋体"/>
          <w:color w:val="auto"/>
          <w:spacing w:val="6"/>
          <w:kern w:val="0"/>
          <w:szCs w:val="21"/>
          <w:lang w:val="en-US" w:eastAsia="zh-CN"/>
        </w:rPr>
      </w:pPr>
      <w:bookmarkStart w:id="32" w:name="_Toc25683"/>
      <w:bookmarkStart w:id="33" w:name="_Toc18206"/>
      <w:bookmarkStart w:id="34" w:name="_Toc16624"/>
      <w:bookmarkStart w:id="35" w:name="_Toc19938"/>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32"/>
      <w:bookmarkEnd w:id="33"/>
      <w:bookmarkEnd w:id="34"/>
      <w:bookmarkEnd w:id="35"/>
      <w:bookmarkStart w:id="36" w:name="_Toc29606"/>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7.1、根据“郑州市公共资源交易中心关于推行不见面开标服务的通知（https://zzggzy.zheng</w:t>
      </w:r>
    </w:p>
    <w:p>
      <w:pPr>
        <w:spacing w:line="360" w:lineRule="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zhou.gov.cn/tzgg/20200219/7716d6a8-4a44-4583-9ff3-123667607ef5.html）”第（一）条投标人无需到交易中心现场参加开标会议，本项目招标文件中所要求证件、证明等，投标文件中应附相应资料清晰的扫描件，由于模糊不清导致评委无法辨别的，后果由投标人自行承担。</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7.2、所有投标人应提前30分钟，登录“郑州市公共资源交易中心门户网站远程开标大厅（https://zzggzy.zhengzhou.gov.cn/BidOpening）”进行远程开标准备工作。</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7.3、所有投标人登录“郑州市公共资源交易中心门户网站远程开标大厅”后，须先进行签到，其后应一直保持在线状态，保证能准时参加开标大会、投标文件的解密、现场答疑澄清等活动。</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7.4、不见面开标操作说明详见郑州市公共资源交易中心网站办事指南栏目下政府采购专区中的《郑州市公共资源交易中心不见面开标大厅操作手册（供应商）V1.0》（http://zzggzy.zhengzhou.gov.cn/bszn/009003/subpage.html）。</w:t>
      </w:r>
    </w:p>
    <w:p>
      <w:pPr>
        <w:spacing w:line="360" w:lineRule="auto"/>
        <w:ind w:firstLine="444" w:firstLineChars="200"/>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7.5、G包电动移位机支持进口；其他包不支持进口。</w:t>
      </w:r>
    </w:p>
    <w:p>
      <w:pPr>
        <w:spacing w:line="360" w:lineRule="auto"/>
        <w:ind w:firstLine="444" w:firstLineChars="200"/>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 xml:space="preserve">7.6、代理费用收取方式及标准：参照《河南省招标代理服务收费指导意见》豫招协【2023】002号收费标准计算，由成交人领取成交通知书前支付。 </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37" w:name="_Toc24920"/>
      <w:bookmarkStart w:id="38" w:name="_Toc12607"/>
      <w:bookmarkStart w:id="39" w:name="_Toc29710"/>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36"/>
      <w:bookmarkEnd w:id="37"/>
      <w:bookmarkEnd w:id="38"/>
      <w:bookmarkEnd w:id="39"/>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w:t>
      </w: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w:t>
      </w:r>
      <w:r>
        <w:rPr>
          <w:rFonts w:hint="eastAsia" w:ascii="宋体" w:hAnsi="宋体" w:eastAsia="宋体" w:cs="宋体"/>
          <w:color w:val="000000" w:themeColor="text1"/>
          <w:spacing w:val="6"/>
          <w:kern w:val="0"/>
          <w:szCs w:val="21"/>
          <w:lang w:val="en-US" w:eastAsia="zh-CN"/>
          <w14:textFill>
            <w14:solidFill>
              <w14:schemeClr w14:val="tx1"/>
            </w14:solidFill>
          </w14:textFill>
        </w:rPr>
        <w:t>郑州市沙口路25号</w:t>
      </w:r>
    </w:p>
    <w:p>
      <w:pPr>
        <w:autoSpaceDE w:val="0"/>
        <w:autoSpaceDN w:val="0"/>
        <w:adjustRightInd w:val="0"/>
        <w:spacing w:line="360" w:lineRule="auto"/>
        <w:ind w:firstLine="444" w:firstLineChars="200"/>
        <w:jc w:val="left"/>
        <w:rPr>
          <w:rFonts w:hint="default" w:ascii="宋体" w:hAnsi="宋体" w:eastAsia="宋体" w:cs="宋体"/>
          <w:color w:val="000000" w:themeColor="text1"/>
          <w:spacing w:val="6"/>
          <w:kern w:val="0"/>
          <w:szCs w:val="21"/>
          <w:lang w:val="en-US"/>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w:t>
      </w:r>
      <w:r>
        <w:rPr>
          <w:rFonts w:hint="eastAsia" w:ascii="宋体" w:hAnsi="宋体" w:eastAsia="宋体" w:cs="宋体"/>
          <w:color w:val="000000" w:themeColor="text1"/>
          <w:spacing w:val="6"/>
          <w:kern w:val="0"/>
          <w:szCs w:val="21"/>
          <w:lang w:val="en-US" w:eastAsia="zh-CN"/>
          <w14:textFill>
            <w14:solidFill>
              <w14:schemeClr w14:val="tx1"/>
            </w14:solidFill>
          </w14:textFill>
        </w:rPr>
        <w:t>陆潇</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w:t>
      </w:r>
      <w:r>
        <w:rPr>
          <w:rFonts w:hint="eastAsia" w:ascii="宋体" w:hAnsi="宋体" w:eastAsia="宋体" w:cs="宋体"/>
          <w:color w:val="000000" w:themeColor="text1"/>
          <w:spacing w:val="6"/>
          <w:kern w:val="0"/>
          <w:szCs w:val="21"/>
          <w:lang w:val="en-US" w:eastAsia="zh-CN"/>
          <w14:textFill>
            <w14:solidFill>
              <w14:schemeClr w14:val="tx1"/>
            </w14:solidFill>
          </w14:textFill>
        </w:rPr>
        <w:t>0371-58678657</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地址：郑州市管城区黄河南路与商都路交汇处西南角财信大厦14-15层</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电话：0371-65949196</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60" w:lineRule="auto"/>
        <w:ind w:firstLine="444" w:firstLineChars="200"/>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r>
        <w:rPr>
          <w:rFonts w:hint="eastAsia" w:ascii="宋体" w:hAnsi="宋体" w:eastAsia="宋体" w:cs="宋体"/>
          <w:color w:val="000000" w:themeColor="text1"/>
          <w:spacing w:val="6"/>
          <w:kern w:val="0"/>
          <w:szCs w:val="21"/>
          <w14:textFill>
            <w14:solidFill>
              <w14:schemeClr w14:val="tx1"/>
            </w14:solidFill>
          </w14:textFill>
        </w:rPr>
        <w:t>电话：</w:t>
      </w:r>
      <w:r>
        <w:rPr>
          <w:rFonts w:hint="eastAsia" w:ascii="宋体" w:hAnsi="宋体" w:eastAsia="宋体" w:cs="宋体"/>
          <w:color w:val="000000" w:themeColor="text1"/>
          <w:kern w:val="0"/>
          <w:szCs w:val="21"/>
          <w14:textFill>
            <w14:solidFill>
              <w14:schemeClr w14:val="tx1"/>
            </w14:solidFill>
          </w14:textFill>
        </w:rPr>
        <w:t>0371-65949196</w:t>
      </w: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40" w:name="_Toc16773"/>
      <w:bookmarkStart w:id="41" w:name="_Toc28656"/>
      <w:bookmarkStart w:id="42" w:name="_Toc6169"/>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40"/>
      <w:bookmarkEnd w:id="41"/>
      <w:bookmarkEnd w:id="42"/>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8"/>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r>
              <w:rPr>
                <w:rFonts w:hint="eastAsia" w:ascii="宋体" w:hAnsi="宋体" w:eastAsia="宋体" w:cs="宋体"/>
                <w:color w:val="000000" w:themeColor="text1"/>
                <w:kern w:val="0"/>
                <w:szCs w:val="21"/>
                <w:lang w:eastAsia="zh-CN"/>
                <w14:textFill>
                  <w14:solidFill>
                    <w14:schemeClr w14:val="tx1"/>
                  </w14:solidFill>
                </w14:textFill>
              </w:rPr>
              <w:t>郑州市第九人民医院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w:t>
            </w:r>
            <w:r>
              <w:rPr>
                <w:rFonts w:hint="eastAsia" w:ascii="宋体" w:hAnsi="宋体" w:eastAsia="宋体" w:cs="宋体"/>
                <w:color w:val="000000" w:themeColor="text1"/>
                <w:kern w:val="0"/>
                <w:szCs w:val="21"/>
                <w:lang w:val="en-US" w:eastAsia="zh-CN"/>
                <w14:textFill>
                  <w14:solidFill>
                    <w14:schemeClr w14:val="tx1"/>
                  </w14:solidFill>
                </w14:textFill>
              </w:rPr>
              <w:t>郑州市沙口路25号</w:t>
            </w:r>
          </w:p>
          <w:p>
            <w:pPr>
              <w:autoSpaceDE w:val="0"/>
              <w:autoSpaceDN w:val="0"/>
              <w:adjustRightInd w:val="0"/>
              <w:spacing w:line="390" w:lineRule="exact"/>
              <w:jc w:val="left"/>
              <w:rPr>
                <w:rFonts w:hint="default"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w:t>
            </w:r>
            <w:r>
              <w:rPr>
                <w:rFonts w:hint="eastAsia" w:ascii="宋体" w:hAnsi="宋体" w:eastAsia="宋体" w:cs="宋体"/>
                <w:color w:val="000000" w:themeColor="text1"/>
                <w:kern w:val="0"/>
                <w:szCs w:val="21"/>
                <w:lang w:val="en-US" w:eastAsia="zh-CN"/>
                <w14:textFill>
                  <w14:solidFill>
                    <w14:schemeClr w14:val="tx1"/>
                  </w14:solidFill>
                </w14:textFill>
              </w:rPr>
              <w:t>陆潇</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kern w:val="0"/>
                <w:szCs w:val="21"/>
                <w:lang w:val="en-US" w:eastAsia="zh-CN"/>
                <w14:textFill>
                  <w14:solidFill>
                    <w14:schemeClr w14:val="tx1"/>
                  </w14:solidFill>
                </w14:textFill>
              </w:rPr>
              <w:t>0371-58678657</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w:t>
            </w:r>
            <w:r>
              <w:rPr>
                <w:rFonts w:hint="eastAsia" w:ascii="宋体" w:hAnsi="宋体" w:eastAsia="宋体" w:cs="宋体"/>
                <w:color w:val="000000" w:themeColor="text1"/>
                <w:spacing w:val="6"/>
                <w:kern w:val="0"/>
                <w:szCs w:val="21"/>
                <w14:textFill>
                  <w14:solidFill>
                    <w14:schemeClr w14:val="tx1"/>
                  </w14:solidFill>
                </w14:textFill>
              </w:rPr>
              <w:t>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spacing w:val="6"/>
                <w:kern w:val="0"/>
                <w:szCs w:val="21"/>
                <w14:textFill>
                  <w14:solidFill>
                    <w14:schemeClr w14:val="tx1"/>
                  </w14:solidFill>
                </w14:textFill>
              </w:rPr>
              <w:t>0371-65949196</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址：郑州市管城区黄河南路与商都路交汇处西南角财信大厦14-15层</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cs="宋体"/>
                <w:color w:val="000000" w:themeColor="text1"/>
                <w:spacing w:val="6"/>
                <w:kern w:val="0"/>
                <w:szCs w:val="21"/>
                <w:lang w:val="en-US" w:eastAsia="zh-CN"/>
                <w14:textFill>
                  <w14:solidFill>
                    <w14:schemeClr w14:val="tx1"/>
                  </w14:solidFill>
                </w14:textFill>
              </w:rPr>
              <w:t>zhaobiao04@163.com</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highlight w:val="none"/>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auto"/>
                <w:kern w:val="0"/>
                <w:szCs w:val="21"/>
                <w:lang w:val="en-US" w:eastAsia="zh-CN"/>
              </w:rPr>
            </w:pPr>
            <w:r>
              <w:rPr>
                <w:rFonts w:hint="eastAsia" w:ascii="宋体" w:hAnsi="宋体" w:eastAsia="宋体" w:cs="宋体"/>
                <w:color w:val="auto"/>
                <w:spacing w:val="6"/>
                <w:kern w:val="0"/>
                <w:szCs w:val="21"/>
                <w:highlight w:val="none"/>
                <w:lang w:val="en-US" w:eastAsia="zh-CN"/>
              </w:rPr>
              <w:t>郑财招标采购-2023-278</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eastAsia="zh-CN"/>
              </w:rPr>
              <w:t>郑州市第九人民医院</w:t>
            </w:r>
            <w:r>
              <w:rPr>
                <w:rFonts w:hint="eastAsia" w:ascii="宋体" w:hAnsi="宋体" w:eastAsia="宋体" w:cs="宋体"/>
                <w:color w:val="auto"/>
                <w:kern w:val="0"/>
                <w:szCs w:val="21"/>
                <w:highlight w:val="none"/>
                <w:lang w:val="en-US"/>
              </w:rPr>
              <w:t>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90日历天</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r>
              <w:rPr>
                <w:rFonts w:hint="eastAsia" w:ascii="宋体" w:hAnsi="宋体" w:eastAsia="宋体" w:cs="宋体"/>
                <w:color w:val="000000" w:themeColor="text1"/>
                <w:spacing w:val="6"/>
                <w:kern w:val="0"/>
                <w:szCs w:val="21"/>
                <w14:textFill>
                  <w14:solidFill>
                    <w14:schemeClr w14:val="tx1"/>
                  </w14:solidFill>
                </w14:textFill>
              </w:rPr>
              <w:t>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质保期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3年</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本项目分为七个标段</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auto"/>
                <w:kern w:val="0"/>
                <w:szCs w:val="21"/>
              </w:rPr>
            </w:pPr>
            <w:r>
              <w:rPr>
                <w:rFonts w:hint="eastAsia" w:ascii="宋体" w:hAnsi="宋体" w:eastAsia="宋体" w:cs="宋体"/>
                <w:color w:val="auto"/>
                <w:kern w:val="0"/>
                <w:szCs w:val="21"/>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1、执行《政府采购促进中小企业发展管理办法》（财库〔2020〕46号）；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2、执行《关于进一步加大政府采购支持中小企业力度的通知》（财库〔2022〕19号）；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3、执行《河南省财政厅关于进一步做好政府采购支持中小企业发展有关事项的通知》（豫财购〔2022〕5号）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4、执行《财政部 司法部关于政府采购支持监狱企业发展有关问题的通知》（财库〔2014〕68号）；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5、执行《财政部 民政部 中国残疾人联合会关于促进残疾人就业政府采购政策的通知》（财库〔2017〕141号）。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6、执行《关于调整优化节能产品、环境标志产品政府采购执行机制的通知》（财库〔2019〕9号）。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7、执行《关于印发节能产品政府采购品目清单的通知》（财库〔2019〕19号）；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8、执行《关于印发环境标志产品政府采购品目清单的通知》（财库〔2019〕18号）。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根据要求，投标产品中如有属于“节能清单”中标记“</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”产品的，必须提供经过“机构名录”中的认证机构出具的“节能产品认证证书”。</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val="en-US" w:eastAsia="zh-CN"/>
                <w14:textFill>
                  <w14:solidFill>
                    <w14:schemeClr w14:val="tx1"/>
                  </w14:solidFill>
                </w14:textFill>
              </w:rPr>
              <w:t>9、</w:t>
            </w:r>
            <w:r>
              <w:rPr>
                <w:rFonts w:hint="eastAsia" w:ascii="宋体" w:hAnsi="宋体" w:eastAsia="宋体" w:cs="宋体"/>
                <w:color w:val="auto"/>
                <w:spacing w:val="2"/>
                <w:kern w:val="0"/>
                <w:szCs w:val="21"/>
              </w:rPr>
              <w:t>根据《关于信息安全产品实施政府采购的通知》财库[2010]48号和国家质量监督检验检疫总局、国家认证认可监督管理委员会《关于调整信息安全产品强制性认证实施要求的公告》2009年第33号的规定，投标人所投产品</w:t>
            </w:r>
            <w:r>
              <w:rPr>
                <w:rFonts w:hint="eastAsia" w:ascii="宋体" w:hAnsi="宋体" w:eastAsia="宋体" w:cs="宋体"/>
                <w:color w:val="auto"/>
                <w:spacing w:val="2"/>
                <w:kern w:val="0"/>
                <w:szCs w:val="21"/>
                <w:lang w:val="en-US" w:eastAsia="zh-CN"/>
              </w:rPr>
              <w:t>若有</w:t>
            </w:r>
            <w:r>
              <w:rPr>
                <w:rFonts w:hint="eastAsia" w:ascii="宋体" w:hAnsi="宋体" w:eastAsia="宋体" w:cs="宋体"/>
                <w:color w:val="auto"/>
                <w:spacing w:val="2"/>
                <w:kern w:val="0"/>
                <w:szCs w:val="21"/>
              </w:rPr>
              <w:t>经国家认证的信息安全产品，</w:t>
            </w:r>
            <w:r>
              <w:rPr>
                <w:rFonts w:hint="eastAsia" w:ascii="宋体" w:hAnsi="宋体" w:eastAsia="宋体" w:cs="宋体"/>
                <w:color w:val="auto"/>
                <w:spacing w:val="2"/>
                <w:kern w:val="0"/>
                <w:szCs w:val="21"/>
                <w:lang w:val="en-US" w:eastAsia="zh-CN"/>
              </w:rPr>
              <w:t>需</w:t>
            </w:r>
            <w:r>
              <w:rPr>
                <w:rFonts w:hint="eastAsia" w:ascii="宋体" w:hAnsi="宋体" w:eastAsia="宋体" w:cs="宋体"/>
                <w:color w:val="auto"/>
                <w:spacing w:val="2"/>
                <w:kern w:val="0"/>
                <w:szCs w:val="21"/>
              </w:rPr>
              <w:t>提供由中国信息安全认证中心按国家标准认证颁发的有效认证证书。</w:t>
            </w:r>
          </w:p>
          <w:p>
            <w:pPr>
              <w:spacing w:line="360" w:lineRule="auto"/>
              <w:jc w:val="left"/>
              <w:rPr>
                <w:rFonts w:hint="eastAsia" w:ascii="宋体" w:hAnsi="宋体" w:eastAsia="宋体" w:cs="宋体"/>
                <w:color w:val="FF0000"/>
                <w:spacing w:val="2"/>
                <w:kern w:val="0"/>
                <w:szCs w:val="21"/>
              </w:rPr>
            </w:pPr>
            <w:r>
              <w:rPr>
                <w:rFonts w:hint="eastAsia" w:ascii="宋体" w:hAnsi="宋体" w:eastAsia="宋体" w:cs="宋体"/>
                <w:color w:val="000000" w:themeColor="text1"/>
                <w:spacing w:val="2"/>
                <w:kern w:val="0"/>
                <w:szCs w:val="21"/>
                <w:lang w:val="en-US" w:eastAsia="zh-CN"/>
                <w14:textFill>
                  <w14:solidFill>
                    <w14:schemeClr w14:val="tx1"/>
                  </w14:solidFill>
                </w14:textFill>
              </w:rPr>
              <w:t>10、</w:t>
            </w:r>
            <w:r>
              <w:rPr>
                <w:rFonts w:hint="eastAsia" w:ascii="宋体" w:hAnsi="宋体" w:eastAsia="宋体" w:cs="宋体"/>
                <w:color w:val="000000" w:themeColor="text1"/>
                <w:spacing w:val="2"/>
                <w:kern w:val="0"/>
                <w:szCs w:val="21"/>
                <w14:textFill>
                  <w14:solidFill>
                    <w14:schemeClr w14:val="tx1"/>
                  </w14:solidFill>
                </w14:textFill>
              </w:rPr>
              <w:t>投标产品已列入《市场监管总局关于优化强制性产品认证目录的公告》【2020年第18号】的产品必须提供通过国家3C认证的有关证明材料。</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质保期不满足采购文件要求的；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便携式彩色多普勒超声系统</w:t>
            </w:r>
            <w:r>
              <w:rPr>
                <w:rFonts w:hint="eastAsia" w:ascii="宋体" w:hAnsi="宋体" w:eastAsia="宋体" w:cs="宋体"/>
                <w:color w:val="000000" w:themeColor="text1"/>
                <w:kern w:val="0"/>
                <w:szCs w:val="21"/>
                <w:lang w:eastAsia="zh-CN"/>
                <w14:textFill>
                  <w14:solidFill>
                    <w14:schemeClr w14:val="tx1"/>
                  </w14:solidFill>
                </w14:textFill>
              </w:rPr>
              <w:t>：</w:t>
            </w:r>
            <w:r>
              <w:rPr>
                <w:rFonts w:hint="default" w:ascii="宋体" w:hAnsi="宋体" w:eastAsia="宋体" w:cs="宋体"/>
                <w:color w:val="000000" w:themeColor="text1"/>
                <w:kern w:val="0"/>
                <w:szCs w:val="21"/>
                <w:lang w:val="en-US" w:eastAsia="zh-CN"/>
                <w14:textFill>
                  <w14:solidFill>
                    <w14:schemeClr w14:val="tx1"/>
                  </w14:solidFill>
                </w14:textFill>
              </w:rPr>
              <w:t>980000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眼</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表综合分析仪：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450000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1500000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200000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供应商投标报价超出预算价及招标控制价的按无效标处理</w:t>
            </w:r>
            <w:r>
              <w:rPr>
                <w:rFonts w:hint="eastAsia" w:ascii="宋体" w:hAnsi="宋体" w:eastAsia="宋体" w:cs="宋体"/>
                <w:color w:val="000000" w:themeColor="text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90日历天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color w:val="auto"/>
              </w:rPr>
            </w:pPr>
            <w:r>
              <w:rPr>
                <w:rFonts w:hint="eastAsia"/>
                <w:color w:val="auto"/>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color w:val="auto"/>
              </w:rPr>
            </w:pPr>
            <w:r>
              <w:rPr>
                <w:rFonts w:hint="eastAsia"/>
                <w:color w:val="auto"/>
                <w:lang w:eastAsia="zh-CN"/>
              </w:rPr>
              <w:t>一、</w:t>
            </w:r>
            <w:r>
              <w:rPr>
                <w:rFonts w:hint="eastAsia"/>
                <w:color w:val="auto"/>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三、</w:t>
            </w:r>
            <w:r>
              <w:rPr>
                <w:rFonts w:hint="eastAsia"/>
                <w:lang w:val="en-US" w:eastAsia="zh-CN"/>
              </w:rPr>
              <w:t>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r>
              <w:rPr>
                <w:rFonts w:hint="eastAsia"/>
              </w:rPr>
              <w:t>。</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eastAsia="zh-CN"/>
              </w:rPr>
            </w:pPr>
            <w:r>
              <w:rPr>
                <w:rFonts w:hint="eastAsia"/>
                <w:lang w:val="en-US" w:eastAsia="zh-CN"/>
              </w:rPr>
              <w:t>四、投标产品须符合中华人民共和国国务院令第739号《医疗器械监督管理条例》相关规定，应具有有效期内的医疗器械注册证或医疗器械产品备案凭证。</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val="en-US"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rPr>
              <w:t>】 【以上各项要求中，如有供</w:t>
            </w:r>
            <w:r>
              <w:rPr>
                <w:rFonts w:hint="eastAsia"/>
                <w:lang w:val="en-US" w:eastAsia="zh-CN"/>
              </w:rPr>
              <w:t>应商成立时限不足要求时限的，由供应商根据自身成立时间提供证明资料】。</w:t>
            </w:r>
          </w:p>
          <w:p>
            <w:pPr>
              <w:numPr>
                <w:ilvl w:val="-1"/>
                <w:numId w:val="0"/>
              </w:numPr>
              <w:kinsoku/>
              <w:wordWrap w:val="0"/>
              <w:overflowPunct/>
              <w:autoSpaceDE w:val="0"/>
              <w:autoSpaceDN w:val="0"/>
              <w:adjustRightInd w:val="0"/>
              <w:spacing w:line="360" w:lineRule="auto"/>
              <w:ind w:left="0" w:leftChars="0" w:firstLine="0" w:firstLineChars="0"/>
              <w:jc w:val="left"/>
              <w:rPr>
                <w:rFonts w:hint="default"/>
                <w:lang w:val="en-US" w:eastAsia="zh-CN"/>
              </w:rPr>
            </w:pPr>
            <w:r>
              <w:rPr>
                <w:rFonts w:hint="eastAsia"/>
                <w:lang w:val="en-US" w:eastAsia="zh-CN"/>
              </w:rPr>
              <w:t>六、根据《关于在政府采购活动中查询及使用信用记录有关问题的通知》(财库[2016]125号) 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政府采购严重违法失信行为记录名单）注：采购代理机构在开标当天将对所有参与本项目投标的供应商的信用情况（失信被执行人、重大税收违法失信主体、政府采购严重违法失信行为记录名单）进行查询、打印留存。若在开标当天查询到供应商有相关负面信息的，则该供应商为无效供应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②加密的电子投标文件1份（*.ZZTF 格式）。加密的电子投标文件是指通过郑州市公共资源交易中心网站（</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w:t>
            </w:r>
            <w:r>
              <w:rPr>
                <w:rFonts w:hint="eastAsia" w:ascii="宋体" w:hAnsi="宋体" w:eastAsia="宋体" w:cs="宋体"/>
                <w:color w:val="000000" w:themeColor="text1"/>
                <w:spacing w:val="6"/>
                <w:kern w:val="0"/>
                <w:szCs w:val="21"/>
                <w14:textFill>
                  <w14:solidFill>
                    <w14:schemeClr w14:val="tx1"/>
                  </w14:solidFill>
                </w14:textFill>
              </w:rPr>
              <w:t xml:space="preserve">）提供的投标文件制作工具软件，制作生成的加密版投标文件（*.ZZTF格式）；未在投标截止时间前上传的，采购人不予受理。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color w:val="auto"/>
                <w:kern w:val="0"/>
                <w:szCs w:val="21"/>
                <w:highlight w:val="none"/>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b/>
                <w:bCs/>
                <w:color w:val="auto"/>
                <w:kern w:val="0"/>
                <w:szCs w:val="21"/>
                <w:highlight w:val="none"/>
              </w:rPr>
              <w:t>202</w:t>
            </w:r>
            <w:r>
              <w:rPr>
                <w:rFonts w:hint="eastAsia"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rPr>
              <w:t>年</w:t>
            </w:r>
            <w:r>
              <w:rPr>
                <w:rFonts w:hint="eastAsia" w:ascii="宋体" w:hAnsi="宋体" w:eastAsia="宋体" w:cs="宋体"/>
                <w:b/>
                <w:bCs/>
                <w:color w:val="auto"/>
                <w:kern w:val="0"/>
                <w:szCs w:val="21"/>
                <w:highlight w:val="none"/>
                <w:lang w:val="en-US" w:eastAsia="zh-CN"/>
              </w:rPr>
              <w:t>11</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29</w:t>
            </w:r>
            <w:r>
              <w:rPr>
                <w:rFonts w:hint="eastAsia" w:ascii="宋体" w:hAnsi="宋体" w:eastAsia="宋体" w:cs="宋体"/>
                <w:b/>
                <w:bCs/>
                <w:color w:val="auto"/>
                <w:kern w:val="0"/>
                <w:szCs w:val="21"/>
                <w:highlight w:val="none"/>
              </w:rPr>
              <w:t>日10:00（北京时间）</w:t>
            </w:r>
            <w:r>
              <w:rPr>
                <w:rFonts w:hint="eastAsia" w:ascii="宋体" w:hAnsi="宋体" w:eastAsia="宋体" w:cs="宋体"/>
                <w:b/>
                <w:bCs/>
                <w:color w:val="auto"/>
                <w:w w:val="99"/>
                <w:kern w:val="0"/>
                <w:szCs w:val="21"/>
                <w:highlight w:val="none"/>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w:t>
            </w:r>
            <w:r>
              <w:rPr>
                <w:rFonts w:hint="eastAsia" w:ascii="宋体" w:hAnsi="宋体" w:eastAsia="宋体" w:cs="宋体"/>
                <w:color w:val="auto"/>
                <w:kern w:val="0"/>
                <w:szCs w:val="21"/>
                <w:lang w:val="en-US" w:eastAsia="zh-CN"/>
              </w:rPr>
              <w:t>s</w:t>
            </w:r>
            <w:r>
              <w:rPr>
                <w:rFonts w:hint="eastAsia" w:ascii="宋体" w:hAnsi="宋体" w:eastAsia="宋体" w:cs="宋体"/>
                <w:color w:val="auto"/>
                <w:kern w:val="0"/>
                <w:szCs w:val="21"/>
              </w:rPr>
              <w:t>://zzggzy.zhengzhou.gov.cn/BidOpening）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开标地点：郑州市公共资源交易中心门户网站远程开标大厅（http</w:t>
            </w:r>
            <w:r>
              <w:rPr>
                <w:rFonts w:hint="eastAsia" w:ascii="宋体" w:hAnsi="宋体" w:eastAsia="宋体" w:cs="宋体"/>
                <w:color w:val="000000" w:themeColor="text1"/>
                <w:kern w:val="0"/>
                <w:szCs w:val="21"/>
                <w:lang w:val="en-US" w:eastAsia="zh-CN"/>
                <w14:textFill>
                  <w14:solidFill>
                    <w14:schemeClr w14:val="tx1"/>
                  </w14:solidFill>
                </w14:textFill>
              </w:rPr>
              <w:t>s</w:t>
            </w:r>
            <w:r>
              <w:rPr>
                <w:rFonts w:hint="eastAsia" w:ascii="宋体" w:hAnsi="宋体" w:eastAsia="宋体" w:cs="宋体"/>
                <w:color w:val="000000" w:themeColor="text1"/>
                <w:kern w:val="0"/>
                <w:szCs w:val="21"/>
                <w14:textFill>
                  <w14:solidFill>
                    <w14:schemeClr w14:val="tx1"/>
                  </w14:solidFill>
                </w14:textFill>
              </w:rPr>
              <w:t xml:space="preserve">://zzggzy.zhengzhou.gov.cn/BidOpening）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spacing w:val="-4"/>
                <w:kern w:val="0"/>
                <w:szCs w:val="21"/>
              </w:rPr>
              <w:t>采购人将根据招标采购设备的特点依法组建</w:t>
            </w:r>
            <w:r>
              <w:rPr>
                <w:rFonts w:hint="eastAsia" w:ascii="宋体" w:hAnsi="宋体" w:eastAsia="宋体" w:cs="宋体"/>
                <w:color w:val="auto"/>
                <w:spacing w:val="-4"/>
                <w:kern w:val="0"/>
                <w:szCs w:val="21"/>
                <w:lang w:val="en-US" w:eastAsia="zh-CN"/>
              </w:rPr>
              <w:t>5</w:t>
            </w:r>
            <w:r>
              <w:rPr>
                <w:rFonts w:hint="eastAsia" w:ascii="宋体" w:hAnsi="宋体" w:eastAsia="宋体" w:cs="宋体"/>
                <w:color w:val="auto"/>
                <w:spacing w:val="-4"/>
                <w:kern w:val="0"/>
                <w:szCs w:val="21"/>
              </w:rPr>
              <w:t>人评标委员会，</w:t>
            </w:r>
            <w:r>
              <w:rPr>
                <w:rFonts w:hint="eastAsia" w:ascii="宋体" w:hAnsi="宋体" w:eastAsia="宋体" w:cs="宋体"/>
                <w:color w:val="auto"/>
                <w:kern w:val="0"/>
                <w:szCs w:val="21"/>
              </w:rPr>
              <w:t>其中</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val="en-US" w:eastAsia="zh-CN"/>
              </w:rPr>
              <w:t>4人，采购人代表1人，</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eastAsia="zh-CN"/>
              </w:rPr>
              <w:t>由河南省政府采购评审专家库中随机抽取</w:t>
            </w:r>
            <w:r>
              <w:rPr>
                <w:rFonts w:hint="eastAsia" w:ascii="宋体" w:hAnsi="宋体" w:eastAsia="宋体" w:cs="宋体"/>
                <w:color w:val="auto"/>
                <w:kern w:val="0"/>
                <w:szCs w:val="21"/>
                <w:lang w:val="en-US" w:eastAsia="zh-CN"/>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《河南省政府采购网》、《郑州市公共资源交易中心网》</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地址：郑州市管城区黄河南路与商都路交汇处西南角财信大厦14-15层</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联系人：张照明、王恺</w:t>
            </w:r>
            <w:r>
              <w:rPr>
                <w:rFonts w:hint="eastAsia" w:ascii="宋体" w:hAnsi="宋体" w:eastAsia="宋体" w:cs="宋体"/>
                <w:color w:val="000000" w:themeColor="text1"/>
                <w:kern w:val="0"/>
                <w:szCs w:val="21"/>
                <w14:textFill>
                  <w14:solidFill>
                    <w14:schemeClr w14:val="tx1"/>
                  </w14:solidFill>
                </w14:textFill>
              </w:rPr>
              <w:tab/>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电话：0371-65949196</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电子邮箱：zhaobiao04@163.com</w:t>
            </w:r>
          </w:p>
        </w:tc>
      </w:tr>
      <w:tr>
        <w:tblPrEx>
          <w:tblCellMar>
            <w:top w:w="0" w:type="dxa"/>
            <w:left w:w="0" w:type="dxa"/>
            <w:bottom w:w="0" w:type="dxa"/>
            <w:right w:w="0" w:type="dxa"/>
          </w:tblCellMar>
        </w:tblPrEx>
        <w:trPr>
          <w:trHeight w:val="740" w:hRule="atLeast"/>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招标代理服务费由中标人承担。参考河南省招标投标协会（豫招协[2023]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szCs w:val="21"/>
                <w:highlight w:val="none"/>
              </w:rPr>
              <w:t>002号）文规定的计费方式，收取招标代理服务费。</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360" w:lineRule="auto"/>
              <w:jc w:val="center"/>
              <w:rPr>
                <w:rFonts w:hint="eastAsia" w:ascii="宋体" w:hAnsi="宋体"/>
                <w:color w:val="auto"/>
                <w:szCs w:val="21"/>
                <w:highlight w:val="none"/>
              </w:rPr>
            </w:pPr>
            <w:r>
              <w:rPr>
                <w:rFonts w:hint="eastAsia" w:ascii="宋体" w:hAnsi="宋体"/>
                <w:color w:val="auto"/>
                <w:szCs w:val="21"/>
                <w:highlight w:val="none"/>
              </w:rPr>
              <w:t>付款方式</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color w:val="auto"/>
                <w:szCs w:val="21"/>
                <w:highlight w:val="none"/>
              </w:rPr>
            </w:pPr>
            <w:r>
              <w:rPr>
                <w:rFonts w:hint="eastAsia" w:ascii="宋体" w:hAnsi="宋体"/>
                <w:color w:val="auto"/>
                <w:szCs w:val="21"/>
                <w:highlight w:val="none"/>
              </w:rPr>
              <w:t>付款方式为合同签订后，设备到货验收合格后付设备总货款的95%，设备安装调试验收合格、正常使用满一年后甲方向乙方无息支付总货款5%。</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43" w:name="_Toc8474"/>
      <w:bookmarkStart w:id="44" w:name="_Toc240"/>
      <w:bookmarkStart w:id="45" w:name="_Toc23294"/>
      <w:bookmarkStart w:id="46" w:name="_Toc9716"/>
      <w:bookmarkStart w:id="47" w:name="_Toc28774"/>
      <w:bookmarkStart w:id="48" w:name="_Toc5960094"/>
      <w:bookmarkStart w:id="49" w:name="_Toc17887121"/>
      <w:r>
        <w:rPr>
          <w:rFonts w:hint="eastAsia" w:ascii="Times New Roman" w:hAnsi="宋体" w:eastAsia="宋体" w:cs="Times New Roman"/>
          <w:color w:val="000000" w:themeColor="text1"/>
          <w:kern w:val="0"/>
          <w:szCs w:val="21"/>
          <w14:textFill>
            <w14:solidFill>
              <w14:schemeClr w14:val="tx1"/>
            </w14:solidFill>
          </w14:textFill>
        </w:rPr>
        <w:t>附件 1：</w:t>
      </w:r>
      <w:bookmarkEnd w:id="43"/>
      <w:bookmarkEnd w:id="44"/>
      <w:bookmarkEnd w:id="45"/>
      <w:bookmarkEnd w:id="46"/>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50" w:name="_Toc24035"/>
      <w:bookmarkStart w:id="51" w:name="_Toc23551"/>
      <w:bookmarkStart w:id="52" w:name="_Toc2686"/>
      <w:bookmarkStart w:id="53" w:name="_Toc30008"/>
      <w:r>
        <w:rPr>
          <w:rFonts w:hint="eastAsia" w:ascii="Times New Roman" w:hAnsi="宋体" w:eastAsia="宋体" w:cs="Times New Roman"/>
          <w:color w:val="000000" w:themeColor="text1"/>
          <w:kern w:val="0"/>
          <w:szCs w:val="21"/>
          <w14:textFill>
            <w14:solidFill>
              <w14:schemeClr w14:val="tx1"/>
            </w14:solidFill>
          </w14:textFill>
        </w:rPr>
        <w:t>附件2</w:t>
      </w:r>
      <w:bookmarkEnd w:id="50"/>
      <w:bookmarkEnd w:id="51"/>
      <w:bookmarkEnd w:id="52"/>
      <w:bookmarkEnd w:id="53"/>
    </w:p>
    <w:p>
      <w:pPr>
        <w:pStyle w:val="15"/>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auto"/>
          <w:spacing w:val="8"/>
          <w:kern w:val="0"/>
          <w:szCs w:val="21"/>
        </w:rPr>
      </w:pPr>
      <w:r>
        <w:rPr>
          <w:rFonts w:hint="eastAsia" w:ascii="宋体" w:hAnsi="宋体" w:cs="宋体"/>
          <w:color w:val="auto"/>
          <w:spacing w:val="8"/>
          <w:kern w:val="0"/>
          <w:szCs w:val="21"/>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7"/>
        <w:rPr>
          <w:color w:val="000000" w:themeColor="text1"/>
          <w14:textFill>
            <w14:solidFill>
              <w14:schemeClr w14:val="tx1"/>
            </w14:solidFill>
          </w14:textFill>
        </w:rPr>
      </w:pPr>
    </w:p>
    <w:p>
      <w:pPr>
        <w:pStyle w:val="37"/>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47"/>
      <w:bookmarkEnd w:id="48"/>
      <w:bookmarkEnd w:id="49"/>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质保期：见供应商须知前附表。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4" w:name="_Toc21907"/>
      <w:bookmarkStart w:id="55" w:name="_Toc17887122"/>
      <w:bookmarkStart w:id="56" w:name="_Toc5960095"/>
      <w:r>
        <w:rPr>
          <w:rFonts w:hint="eastAsia" w:ascii="宋体" w:hAnsi="宋体" w:eastAsia="宋体" w:cs="宋体"/>
          <w:b/>
          <w:bCs/>
          <w:color w:val="000000" w:themeColor="text1"/>
          <w:kern w:val="0"/>
          <w:szCs w:val="21"/>
          <w14:textFill>
            <w14:solidFill>
              <w14:schemeClr w14:val="tx1"/>
            </w14:solidFill>
          </w14:textFill>
        </w:rPr>
        <w:t>二、采购文件</w:t>
      </w:r>
      <w:bookmarkEnd w:id="54"/>
      <w:bookmarkEnd w:id="55"/>
      <w:bookmarkEnd w:id="56"/>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7" w:name="_Toc28143"/>
      <w:bookmarkStart w:id="58" w:name="_Toc5960096"/>
      <w:bookmarkStart w:id="59" w:name="_Toc17887123"/>
      <w:r>
        <w:rPr>
          <w:rFonts w:hint="eastAsia" w:ascii="宋体" w:hAnsi="宋体" w:eastAsia="宋体" w:cs="宋体"/>
          <w:b/>
          <w:bCs/>
          <w:color w:val="000000" w:themeColor="text1"/>
          <w:kern w:val="0"/>
          <w:szCs w:val="21"/>
          <w14:textFill>
            <w14:solidFill>
              <w14:schemeClr w14:val="tx1"/>
            </w14:solidFill>
          </w14:textFill>
        </w:rPr>
        <w:t>三、投标文件的编制</w:t>
      </w:r>
      <w:bookmarkEnd w:id="57"/>
      <w:bookmarkEnd w:id="58"/>
      <w:bookmarkEnd w:id="59"/>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60"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60"/>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61" w:name="_Toc5960099"/>
      <w:bookmarkStart w:id="62" w:name="_Toc26529"/>
      <w:bookmarkStart w:id="63" w:name="_Toc17887124"/>
      <w:r>
        <w:rPr>
          <w:rFonts w:hint="eastAsia" w:ascii="宋体" w:hAnsi="宋体" w:eastAsia="宋体" w:cs="宋体"/>
          <w:b/>
          <w:bCs/>
          <w:color w:val="000000" w:themeColor="text1"/>
          <w:kern w:val="0"/>
          <w:szCs w:val="21"/>
          <w14:textFill>
            <w14:solidFill>
              <w14:schemeClr w14:val="tx1"/>
            </w14:solidFill>
          </w14:textFill>
        </w:rPr>
        <w:t>四、投标文件的递交</w:t>
      </w:r>
      <w:bookmarkEnd w:id="61"/>
      <w:bookmarkEnd w:id="62"/>
      <w:bookmarkEnd w:id="63"/>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64" w:name="_Toc5960100"/>
      <w:bookmarkStart w:id="65" w:name="_Toc5946372"/>
      <w:bookmarkStart w:id="66" w:name="_Toc8940"/>
      <w:bookmarkStart w:id="67" w:name="_Toc17887125"/>
      <w:bookmarkStart w:id="68" w:name="_Toc5955989"/>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64"/>
      <w:bookmarkEnd w:id="65"/>
      <w:bookmarkEnd w:id="66"/>
      <w:bookmarkEnd w:id="67"/>
      <w:bookmarkEnd w:id="68"/>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69" w:name="_Toc5960101"/>
      <w:bookmarkStart w:id="70" w:name="_Toc17887126"/>
      <w:bookmarkStart w:id="71" w:name="_Toc5946373"/>
      <w:bookmarkStart w:id="72" w:name="_Toc26069"/>
      <w:bookmarkStart w:id="73" w:name="_Toc5955990"/>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69"/>
      <w:bookmarkEnd w:id="70"/>
      <w:bookmarkEnd w:id="71"/>
      <w:bookmarkEnd w:id="72"/>
      <w:bookmarkEnd w:id="73"/>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74" w:name="_Toc13553"/>
      <w:bookmarkStart w:id="75" w:name="_Toc5960102"/>
      <w:bookmarkStart w:id="76" w:name="_Toc17887127"/>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74"/>
      <w:bookmarkEnd w:id="75"/>
      <w:bookmarkEnd w:id="76"/>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77" w:name="_Toc5946375"/>
      <w:bookmarkStart w:id="78" w:name="_Toc5955992"/>
      <w:bookmarkStart w:id="79" w:name="_Toc17887128"/>
      <w:bookmarkStart w:id="80" w:name="_Toc23939"/>
      <w:bookmarkStart w:id="81" w:name="_Toc5960103"/>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77"/>
      <w:bookmarkEnd w:id="78"/>
      <w:bookmarkEnd w:id="79"/>
      <w:bookmarkEnd w:id="80"/>
      <w:bookmarkEnd w:id="81"/>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2" w:name="_Toc18891"/>
      <w:bookmarkStart w:id="83" w:name="_Toc5955993"/>
      <w:bookmarkStart w:id="84" w:name="_Toc5960104"/>
      <w:bookmarkStart w:id="85" w:name="_Toc5946376"/>
      <w:bookmarkStart w:id="86" w:name="_Toc17887129"/>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82"/>
      <w:bookmarkEnd w:id="83"/>
      <w:bookmarkEnd w:id="84"/>
      <w:bookmarkEnd w:id="85"/>
      <w:bookmarkEnd w:id="86"/>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auto"/>
          <w:kern w:val="0"/>
          <w:szCs w:val="21"/>
        </w:rPr>
      </w:pPr>
      <w:r>
        <w:rPr>
          <w:rFonts w:hint="eastAsia" w:ascii="Times New Roman" w:hAnsi="宋体" w:eastAsia="宋体" w:cs="Times New Roman"/>
          <w:color w:val="auto"/>
          <w:spacing w:val="3"/>
          <w:kern w:val="0"/>
          <w:szCs w:val="21"/>
        </w:rPr>
        <w:t>（1）采购人将根据招标采购设备的特点依法组建</w:t>
      </w:r>
      <w:r>
        <w:rPr>
          <w:rFonts w:hint="eastAsia" w:ascii="Times New Roman" w:hAnsi="宋体" w:eastAsia="宋体" w:cs="Times New Roman"/>
          <w:color w:val="auto"/>
          <w:spacing w:val="3"/>
          <w:kern w:val="0"/>
          <w:szCs w:val="21"/>
          <w:lang w:val="en-US" w:eastAsia="zh-CN"/>
        </w:rPr>
        <w:t>5</w:t>
      </w:r>
      <w:r>
        <w:rPr>
          <w:rFonts w:hint="eastAsia" w:ascii="Times New Roman" w:hAnsi="宋体" w:eastAsia="宋体" w:cs="Times New Roman"/>
          <w:color w:val="auto"/>
          <w:spacing w:val="3"/>
          <w:kern w:val="0"/>
          <w:szCs w:val="21"/>
        </w:rPr>
        <w:t>人的评标委员会，</w:t>
      </w:r>
      <w:r>
        <w:rPr>
          <w:rFonts w:hint="eastAsia" w:ascii="Times New Roman" w:hAnsi="宋体" w:eastAsia="宋体" w:cs="Times New Roman"/>
          <w:color w:val="auto"/>
          <w:spacing w:val="-10"/>
          <w:kern w:val="0"/>
          <w:szCs w:val="21"/>
        </w:rPr>
        <w:t>其成员由政府</w:t>
      </w:r>
      <w:r>
        <w:rPr>
          <w:rFonts w:hint="eastAsia" w:ascii="Times New Roman" w:hAnsi="宋体" w:eastAsia="宋体" w:cs="Times New Roman"/>
          <w:color w:val="auto"/>
          <w:spacing w:val="-10"/>
          <w:kern w:val="0"/>
          <w:szCs w:val="21"/>
          <w:lang w:eastAsia="zh-CN"/>
        </w:rPr>
        <w:t>组件的</w:t>
      </w:r>
      <w:r>
        <w:rPr>
          <w:rFonts w:hint="eastAsia" w:ascii="Times New Roman" w:hAnsi="宋体" w:eastAsia="宋体" w:cs="Times New Roman"/>
          <w:color w:val="auto"/>
          <w:spacing w:val="-10"/>
          <w:kern w:val="0"/>
          <w:szCs w:val="21"/>
        </w:rPr>
        <w:t>专家库中随机抽取的评审专家和采购人代表</w:t>
      </w:r>
      <w:r>
        <w:rPr>
          <w:rFonts w:hint="eastAsia" w:ascii="Times New Roman" w:hAnsi="宋体" w:eastAsia="宋体" w:cs="Times New Roman"/>
          <w:color w:val="auto"/>
          <w:spacing w:val="-5"/>
          <w:kern w:val="0"/>
          <w:szCs w:val="21"/>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87" w:name="_Toc5960105"/>
      <w:bookmarkStart w:id="88" w:name="_Toc17887130"/>
      <w:bookmarkStart w:id="89" w:name="_Toc7148"/>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87"/>
      <w:bookmarkEnd w:id="88"/>
      <w:bookmarkEnd w:id="89"/>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w:t>
      </w:r>
      <w:r>
        <w:rPr>
          <w:rFonts w:hint="eastAsia" w:ascii="宋体" w:hAnsi="宋体"/>
          <w:szCs w:val="21"/>
          <w:highlight w:val="none"/>
        </w:rPr>
        <w:t>在省级以上财政部门指定的政府采购信息发布媒体上公告</w:t>
      </w:r>
      <w:r>
        <w:rPr>
          <w:rFonts w:hint="eastAsia" w:ascii="宋体" w:hAnsi="宋体"/>
          <w:szCs w:val="21"/>
          <w:highlight w:val="none"/>
          <w:lang w:val="en-US" w:eastAsia="zh-CN"/>
        </w:rPr>
        <w:t>中标</w:t>
      </w:r>
      <w:r>
        <w:rPr>
          <w:rFonts w:hint="eastAsia" w:ascii="宋体" w:hAnsi="宋体"/>
          <w:szCs w:val="21"/>
          <w:highlight w:val="none"/>
        </w:rPr>
        <w:t>结果</w:t>
      </w:r>
      <w:r>
        <w:rPr>
          <w:rFonts w:hint="eastAsia" w:ascii="Times New Roman" w:hAnsi="宋体" w:eastAsia="宋体" w:cs="Times New Roman"/>
          <w:color w:val="000000" w:themeColor="text1"/>
          <w:spacing w:val="3"/>
          <w:kern w:val="0"/>
          <w:szCs w:val="21"/>
          <w14:textFill>
            <w14:solidFill>
              <w14:schemeClr w14:val="tx1"/>
            </w14:solidFill>
          </w14:textFill>
        </w:rPr>
        <w:t>。供应商对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90" w:name="_Toc17887131"/>
      <w:bookmarkStart w:id="91" w:name="_Toc17873"/>
      <w:bookmarkStart w:id="92" w:name="_Toc5946378"/>
      <w:bookmarkStart w:id="93" w:name="_Toc5955995"/>
      <w:bookmarkStart w:id="94" w:name="_Toc5960106"/>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90"/>
      <w:bookmarkEnd w:id="91"/>
      <w:bookmarkEnd w:id="92"/>
      <w:bookmarkEnd w:id="93"/>
      <w:bookmarkEnd w:id="9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5" w:name="_Toc17887132"/>
      <w:bookmarkStart w:id="96" w:name="_Toc5946379"/>
      <w:bookmarkStart w:id="97" w:name="_Toc30646"/>
      <w:bookmarkStart w:id="98" w:name="_Toc5955996"/>
      <w:bookmarkStart w:id="99" w:name="_Toc5960107"/>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95"/>
      <w:bookmarkEnd w:id="96"/>
      <w:bookmarkEnd w:id="97"/>
      <w:bookmarkEnd w:id="98"/>
      <w:bookmarkEnd w:id="9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100" w:name="_Toc5946381"/>
      <w:bookmarkStart w:id="101" w:name="_Toc5960109"/>
      <w:bookmarkStart w:id="102" w:name="_Toc17887134"/>
      <w:bookmarkStart w:id="103" w:name="_Toc5955998"/>
      <w:bookmarkStart w:id="104" w:name="_Toc14140"/>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100"/>
      <w:bookmarkEnd w:id="101"/>
      <w:bookmarkEnd w:id="102"/>
      <w:bookmarkEnd w:id="103"/>
      <w:bookmarkEnd w:id="10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05" w:name="_Toc5955999"/>
      <w:bookmarkStart w:id="106" w:name="_Toc32626"/>
      <w:bookmarkStart w:id="107" w:name="_Toc5960110"/>
      <w:bookmarkStart w:id="108" w:name="_Toc5946382"/>
      <w:bookmarkStart w:id="109" w:name="_Toc17887135"/>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105"/>
      <w:bookmarkEnd w:id="106"/>
      <w:bookmarkEnd w:id="107"/>
      <w:bookmarkEnd w:id="108"/>
      <w:bookmarkEnd w:id="10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0" w:name="_Toc17887136"/>
      <w:bookmarkStart w:id="111" w:name="_Toc5960111"/>
      <w:bookmarkStart w:id="112" w:name="_Toc5946383"/>
      <w:bookmarkStart w:id="113" w:name="_Toc5956000"/>
      <w:bookmarkStart w:id="114" w:name="_Toc605"/>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110"/>
      <w:bookmarkEnd w:id="111"/>
      <w:bookmarkEnd w:id="112"/>
      <w:bookmarkEnd w:id="113"/>
      <w:bookmarkEnd w:id="11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115" w:name="_Toc5960114"/>
      <w:bookmarkStart w:id="116" w:name="_Toc17887138"/>
      <w:bookmarkStart w:id="117" w:name="_Toc939"/>
      <w:r>
        <w:rPr>
          <w:rFonts w:hint="eastAsia" w:ascii="宋体" w:hAnsi="宋体" w:eastAsia="宋体" w:cs="宋体"/>
          <w:b/>
          <w:bCs/>
          <w:color w:val="000000" w:themeColor="text1"/>
          <w:kern w:val="0"/>
          <w:szCs w:val="21"/>
          <w14:textFill>
            <w14:solidFill>
              <w14:schemeClr w14:val="tx1"/>
            </w14:solidFill>
          </w14:textFill>
        </w:rPr>
        <w:t>七、质疑和投诉</w:t>
      </w:r>
      <w:bookmarkEnd w:id="115"/>
      <w:bookmarkEnd w:id="116"/>
      <w:bookmarkEnd w:id="11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8" w:name="_Toc17887139"/>
      <w:bookmarkStart w:id="119" w:name="_Toc5960115"/>
      <w:bookmarkStart w:id="120" w:name="_Toc5956004"/>
      <w:bookmarkStart w:id="121" w:name="_Toc12341"/>
      <w:bookmarkStart w:id="122" w:name="_Toc5946387"/>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118"/>
      <w:bookmarkEnd w:id="119"/>
      <w:bookmarkEnd w:id="120"/>
      <w:bookmarkEnd w:id="121"/>
      <w:bookmarkEnd w:id="122"/>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eastAsia"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hint="eastAsia" w:ascii="Times New Roman" w:hAnsi="宋体" w:eastAsia="宋体" w:cs="Times New Roman"/>
          <w:color w:val="000000" w:themeColor="text1"/>
          <w:spacing w:val="-4"/>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3" w:name="_Toc5946388"/>
      <w:bookmarkStart w:id="124" w:name="_Toc17887140"/>
      <w:bookmarkStart w:id="125" w:name="_Toc5960116"/>
      <w:bookmarkStart w:id="126" w:name="_Toc15401"/>
      <w:bookmarkStart w:id="127" w:name="_Toc5956005"/>
      <w:r>
        <w:rPr>
          <w:rFonts w:hint="eastAsia" w:ascii="Times New Roman" w:hAnsi="宋体" w:eastAsia="宋体" w:cs="Times New Roman"/>
          <w:color w:val="000000" w:themeColor="text1"/>
          <w:kern w:val="0"/>
          <w:szCs w:val="21"/>
          <w14:textFill>
            <w14:solidFill>
              <w14:schemeClr w14:val="tx1"/>
            </w14:solidFill>
          </w14:textFill>
        </w:rPr>
        <w:t>（一）捏造事实</w:t>
      </w:r>
      <w:bookmarkEnd w:id="123"/>
      <w:bookmarkEnd w:id="124"/>
      <w:bookmarkEnd w:id="125"/>
      <w:bookmarkEnd w:id="126"/>
      <w:bookmarkEnd w:id="127"/>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8" w:name="_Toc5960117"/>
      <w:bookmarkStart w:id="129" w:name="_Toc20548"/>
      <w:bookmarkStart w:id="130" w:name="_Toc17887141"/>
      <w:bookmarkStart w:id="131" w:name="_Toc5956006"/>
      <w:bookmarkStart w:id="132" w:name="_Toc5946389"/>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28"/>
      <w:bookmarkEnd w:id="129"/>
      <w:bookmarkEnd w:id="130"/>
      <w:bookmarkEnd w:id="131"/>
      <w:bookmarkEnd w:id="132"/>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33" w:name="_Toc26114"/>
      <w:bookmarkStart w:id="134" w:name="_Toc5960118"/>
      <w:bookmarkStart w:id="135" w:name="_Toc5946390"/>
      <w:bookmarkStart w:id="136" w:name="_Toc17887142"/>
      <w:bookmarkStart w:id="137" w:name="_Toc5956007"/>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33"/>
      <w:bookmarkEnd w:id="134"/>
      <w:bookmarkEnd w:id="135"/>
      <w:bookmarkEnd w:id="136"/>
      <w:bookmarkEnd w:id="137"/>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138" w:name="_Toc4140"/>
      <w:bookmarkStart w:id="139" w:name="_Toc29087"/>
      <w:bookmarkStart w:id="140" w:name="_Toc3592"/>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138"/>
      <w:bookmarkEnd w:id="139"/>
      <w:bookmarkEnd w:id="140"/>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41" w:name="_Toc17887158"/>
      <w:bookmarkStart w:id="142" w:name="_Toc26463"/>
      <w:bookmarkStart w:id="143" w:name="_Toc8356"/>
      <w:bookmarkStart w:id="144" w:name="_Toc3123"/>
      <w:bookmarkStart w:id="145" w:name="_Toc22660"/>
      <w:bookmarkStart w:id="146" w:name="_Toc5960134"/>
      <w:bookmarkStart w:id="147" w:name="_Toc25444"/>
      <w:r>
        <w:rPr>
          <w:rFonts w:hint="eastAsia" w:ascii="宋体" w:hAnsi="宋体" w:eastAsia="宋体" w:cs="宋体"/>
          <w:b/>
          <w:bCs/>
          <w:color w:val="000000" w:themeColor="text1"/>
          <w:kern w:val="0"/>
          <w:szCs w:val="21"/>
          <w14:textFill>
            <w14:solidFill>
              <w14:schemeClr w14:val="tx1"/>
            </w14:solidFill>
          </w14:textFill>
        </w:rPr>
        <w:t>一、评标依据</w:t>
      </w:r>
      <w:bookmarkEnd w:id="141"/>
      <w:bookmarkEnd w:id="142"/>
      <w:bookmarkEnd w:id="143"/>
      <w:bookmarkEnd w:id="144"/>
      <w:bookmarkEnd w:id="145"/>
      <w:bookmarkEnd w:id="146"/>
      <w:bookmarkEnd w:id="14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148" w:name="_Toc17887159"/>
      <w:bookmarkStart w:id="149" w:name="_Toc13171"/>
      <w:bookmarkStart w:id="150" w:name="_Toc4257"/>
      <w:bookmarkStart w:id="151" w:name="_Toc16639"/>
      <w:bookmarkStart w:id="152" w:name="_Toc5960135"/>
      <w:bookmarkStart w:id="153" w:name="_Toc8504"/>
      <w:bookmarkStart w:id="154" w:name="_Toc5137"/>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148"/>
      <w:bookmarkEnd w:id="149"/>
      <w:bookmarkEnd w:id="150"/>
      <w:bookmarkEnd w:id="151"/>
      <w:bookmarkEnd w:id="152"/>
      <w:bookmarkEnd w:id="153"/>
      <w:bookmarkEnd w:id="154"/>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auto"/>
          <w:spacing w:val="-4"/>
          <w:kern w:val="0"/>
          <w:szCs w:val="21"/>
        </w:rPr>
      </w:pPr>
      <w:r>
        <w:rPr>
          <w:rFonts w:ascii="Times New Roman" w:hAnsi="宋体" w:eastAsia="宋体" w:cs="Times New Roman"/>
          <w:color w:val="auto"/>
          <w:kern w:val="0"/>
          <w:szCs w:val="21"/>
        </w:rPr>
        <w:t>2.1</w:t>
      </w:r>
      <w:r>
        <w:rPr>
          <w:rFonts w:ascii="Times New Roman" w:hAnsi="宋体" w:eastAsia="宋体" w:cs="Times New Roman"/>
          <w:color w:val="auto"/>
          <w:spacing w:val="-61"/>
          <w:kern w:val="0"/>
          <w:szCs w:val="21"/>
        </w:rPr>
        <w:t xml:space="preserve"> </w:t>
      </w:r>
      <w:r>
        <w:rPr>
          <w:rFonts w:hint="eastAsia" w:ascii="Times New Roman" w:hAnsi="宋体" w:eastAsia="宋体" w:cs="Times New Roman"/>
          <w:color w:val="auto"/>
          <w:spacing w:val="-4"/>
          <w:kern w:val="0"/>
          <w:szCs w:val="21"/>
        </w:rPr>
        <w:t>采购人将根据招标采购设备的特点依法组建</w:t>
      </w:r>
      <w:r>
        <w:rPr>
          <w:rFonts w:hint="eastAsia" w:ascii="Times New Roman" w:hAnsi="宋体" w:eastAsia="宋体" w:cs="Times New Roman"/>
          <w:color w:val="auto"/>
          <w:spacing w:val="-4"/>
          <w:kern w:val="0"/>
          <w:szCs w:val="21"/>
          <w:lang w:val="en-US" w:eastAsia="zh-CN"/>
        </w:rPr>
        <w:t>5</w:t>
      </w:r>
      <w:r>
        <w:rPr>
          <w:rFonts w:hint="eastAsia" w:ascii="Times New Roman" w:hAnsi="宋体" w:eastAsia="宋体" w:cs="Times New Roman"/>
          <w:color w:val="auto"/>
          <w:spacing w:val="-4"/>
          <w:kern w:val="0"/>
          <w:szCs w:val="21"/>
        </w:rPr>
        <w:t>人评标委员会，除国务院财政部门规定的情形外，其成员由从政府采购专家库中随机抽取的评审专家和采购人代表组</w:t>
      </w:r>
      <w:r>
        <w:rPr>
          <w:rFonts w:ascii="Times New Roman" w:hAnsi="宋体" w:eastAsia="宋体" w:cs="Times New Roman"/>
          <w:color w:val="auto"/>
          <w:spacing w:val="-97"/>
          <w:kern w:val="0"/>
          <w:szCs w:val="21"/>
        </w:rPr>
        <w:t xml:space="preserve"> </w:t>
      </w:r>
      <w:r>
        <w:rPr>
          <w:rFonts w:hint="eastAsia" w:ascii="Times New Roman" w:hAnsi="宋体" w:eastAsia="宋体" w:cs="Times New Roman"/>
          <w:color w:val="auto"/>
          <w:kern w:val="0"/>
          <w:szCs w:val="21"/>
        </w:rPr>
        <w:t>成，其中评审专家</w:t>
      </w:r>
      <w:r>
        <w:rPr>
          <w:rFonts w:hint="eastAsia" w:ascii="Times New Roman" w:hAnsi="宋体" w:eastAsia="宋体" w:cs="Times New Roman"/>
          <w:color w:val="auto"/>
          <w:kern w:val="0"/>
          <w:szCs w:val="21"/>
          <w:lang w:val="en-US" w:eastAsia="zh-CN"/>
        </w:rPr>
        <w:t>4人，采购人代表1人</w:t>
      </w:r>
      <w:r>
        <w:rPr>
          <w:rFonts w:hint="eastAsia" w:ascii="Times New Roman" w:hAnsi="宋体" w:eastAsia="宋体" w:cs="Times New Roman"/>
          <w:color w:val="auto"/>
          <w:kern w:val="0"/>
          <w:szCs w:val="21"/>
        </w:rPr>
        <w:t>。</w:t>
      </w:r>
      <w:r>
        <w:rPr>
          <w:rFonts w:ascii="Times New Roman" w:hAnsi="宋体" w:eastAsia="宋体" w:cs="Times New Roman"/>
          <w:color w:val="auto"/>
          <w:kern w:val="0"/>
          <w:szCs w:val="21"/>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55" w:name="_Toc1592"/>
      <w:bookmarkStart w:id="156" w:name="_Toc17887160"/>
      <w:bookmarkStart w:id="157" w:name="_Toc5960136"/>
      <w:bookmarkStart w:id="158" w:name="_Toc16459"/>
      <w:bookmarkStart w:id="159" w:name="_Toc28040"/>
      <w:bookmarkStart w:id="160" w:name="_Toc9047"/>
      <w:bookmarkStart w:id="161" w:name="_Toc22676"/>
      <w:r>
        <w:rPr>
          <w:rFonts w:hint="eastAsia" w:ascii="宋体" w:hAnsi="宋体" w:eastAsia="宋体" w:cs="宋体"/>
          <w:b/>
          <w:bCs/>
          <w:color w:val="000000" w:themeColor="text1"/>
          <w:kern w:val="0"/>
          <w:szCs w:val="21"/>
          <w14:textFill>
            <w14:solidFill>
              <w14:schemeClr w14:val="tx1"/>
            </w14:solidFill>
          </w14:textFill>
        </w:rPr>
        <w:t>三、评标方法及标准</w:t>
      </w:r>
      <w:bookmarkEnd w:id="155"/>
      <w:bookmarkEnd w:id="156"/>
      <w:bookmarkEnd w:id="157"/>
      <w:bookmarkEnd w:id="158"/>
      <w:bookmarkEnd w:id="159"/>
      <w:bookmarkEnd w:id="160"/>
      <w:bookmarkEnd w:id="1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质保期：满足采购文件要求；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62" w:name="_Toc6116"/>
      <w:bookmarkStart w:id="163" w:name="_Toc25957"/>
      <w:bookmarkStart w:id="164" w:name="_Toc30175"/>
      <w:bookmarkStart w:id="165" w:name="_Toc8502"/>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162"/>
      <w:bookmarkEnd w:id="163"/>
      <w:bookmarkEnd w:id="164"/>
      <w:bookmarkEnd w:id="16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166" w:name="_Toc3209"/>
      <w:bookmarkStart w:id="167" w:name="_Toc10932"/>
      <w:bookmarkStart w:id="168" w:name="_Toc1596"/>
      <w:bookmarkStart w:id="169" w:name="_Toc17887161"/>
      <w:bookmarkStart w:id="170" w:name="_Toc5960137"/>
      <w:bookmarkStart w:id="171" w:name="_Toc24712"/>
      <w:bookmarkStart w:id="172" w:name="_Toc25309"/>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166"/>
      <w:bookmarkEnd w:id="167"/>
      <w:bookmarkEnd w:id="168"/>
      <w:bookmarkEnd w:id="169"/>
      <w:bookmarkEnd w:id="170"/>
      <w:bookmarkEnd w:id="171"/>
      <w:bookmarkEnd w:id="172"/>
    </w:p>
    <w:p>
      <w:pPr>
        <w:jc w:val="center"/>
        <w:outlineLvl w:val="0"/>
        <w:rPr>
          <w:rFonts w:ascii="宋体" w:hAnsi="宋体"/>
          <w:color w:val="000000" w:themeColor="text1"/>
          <w:sz w:val="24"/>
          <w:szCs w:val="24"/>
          <w14:textFill>
            <w14:solidFill>
              <w14:schemeClr w14:val="tx1"/>
            </w14:solidFill>
          </w14:textFill>
        </w:rPr>
      </w:pPr>
      <w:bookmarkStart w:id="173" w:name="_Toc26368"/>
      <w:bookmarkStart w:id="174" w:name="_Toc21552"/>
      <w:bookmarkStart w:id="175" w:name="_Toc2191"/>
      <w:bookmarkStart w:id="176" w:name="_Toc1402"/>
      <w:bookmarkStart w:id="177" w:name="_Toc5956027"/>
      <w:bookmarkStart w:id="178" w:name="_Toc17887162"/>
      <w:bookmarkStart w:id="179" w:name="_Toc5960138"/>
      <w:bookmarkStart w:id="180" w:name="_Toc3191"/>
      <w:bookmarkStart w:id="181" w:name="_Toc5946410"/>
      <w:r>
        <w:rPr>
          <w:rFonts w:hint="eastAsia" w:ascii="宋体" w:hAnsi="宋体"/>
          <w:color w:val="000000" w:themeColor="text1"/>
          <w:sz w:val="24"/>
          <w:szCs w:val="24"/>
          <w14:textFill>
            <w14:solidFill>
              <w14:schemeClr w14:val="tx1"/>
            </w14:solidFill>
          </w14:textFill>
        </w:rPr>
        <w:t>评分办法</w:t>
      </w:r>
      <w:bookmarkEnd w:id="173"/>
      <w:bookmarkEnd w:id="174"/>
      <w:bookmarkEnd w:id="175"/>
      <w:bookmarkEnd w:id="176"/>
    </w:p>
    <w:tbl>
      <w:tblPr>
        <w:tblStyle w:val="18"/>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832"/>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投标报价</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631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w:t>
            </w:r>
          </w:p>
          <w:p>
            <w:pPr>
              <w:widowControl/>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分</w:t>
            </w:r>
          </w:p>
          <w:p>
            <w:pPr>
              <w:widowControl/>
              <w:ind w:firstLine="420" w:firstLineChars="200"/>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根据《关于进一步加大政府采购支持中小企业力度的通知》 (财库[2022]19 号)的规定，对符合规定的小型和微型企业产品的价格给予 </w:t>
            </w:r>
            <w:r>
              <w:rPr>
                <w:rFonts w:hint="eastAsia" w:ascii="宋体" w:hAnsi="宋体" w:eastAsia="宋体" w:cs="宋体"/>
                <w:color w:val="000000" w:themeColor="text1"/>
                <w:kern w:val="0"/>
                <w:szCs w:val="21"/>
                <w:lang w:val="en-US" w:eastAsia="zh-CN"/>
                <w14:textFill>
                  <w14:solidFill>
                    <w14:schemeClr w14:val="tx1"/>
                  </w14:solidFill>
                </w14:textFill>
              </w:rPr>
              <w:t>10</w:t>
            </w:r>
            <w:r>
              <w:rPr>
                <w:rFonts w:hint="eastAsia" w:ascii="宋体" w:hAnsi="宋体" w:eastAsia="宋体" w:cs="宋体"/>
                <w:color w:val="000000" w:themeColor="text1"/>
                <w:kern w:val="0"/>
                <w:szCs w:val="21"/>
                <w14:textFill>
                  <w14:solidFill>
                    <w14:schemeClr w14:val="tx1"/>
                  </w14:solidFill>
                </w14:textFill>
              </w:rPr>
              <w:t>%的扣除，用扣除后的价格参与评审。小微企业必须提供《中小企业声明函》</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否则评审时不予认可。(监狱、残疾人福利性企业</w:t>
            </w:r>
          </w:p>
          <w:p>
            <w:pPr>
              <w:widowControl/>
              <w:jc w:val="both"/>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视同小微企业，价格扣除优惠只享受次，不得重复享受。)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技术参数</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p>
            <w:pPr>
              <w:widowControl/>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0"/>
                <w:szCs w:val="21"/>
                <w:lang w:val="en-US" w:eastAsia="zh-CN"/>
                <w14:textFill>
                  <w14:solidFill>
                    <w14:schemeClr w14:val="tx1"/>
                  </w14:solidFill>
                </w14:textFill>
              </w:rPr>
              <w:t>非</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0"/>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restart"/>
            <w:tcBorders>
              <w:top w:val="single" w:color="auto" w:sz="4" w:space="0"/>
              <w:left w:val="single" w:color="auto" w:sz="4" w:space="0"/>
              <w:right w:val="single" w:color="auto" w:sz="4" w:space="0"/>
            </w:tcBorders>
            <w:vAlign w:val="center"/>
          </w:tcPr>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商务部分</w:t>
            </w:r>
          </w:p>
          <w:p>
            <w:pPr>
              <w:pStyle w:val="7"/>
              <w:ind w:left="0" w:leftChars="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18</w:t>
            </w:r>
            <w:r>
              <w:rPr>
                <w:rFonts w:hint="eastAsia" w:ascii="宋体" w:hAnsi="宋体" w:eastAsia="宋体" w:cs="宋体"/>
                <w:color w:val="000000" w:themeColor="text1"/>
                <w:sz w:val="21"/>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continue"/>
            <w:tcBorders>
              <w:left w:val="single" w:color="auto" w:sz="4" w:space="0"/>
              <w:bottom w:val="single" w:color="auto" w:sz="4" w:space="0"/>
              <w:right w:val="single" w:color="auto" w:sz="4" w:space="0"/>
            </w:tcBorders>
            <w:vAlign w:val="center"/>
          </w:tcPr>
          <w:p>
            <w:pPr>
              <w:pStyle w:val="7"/>
              <w:ind w:left="0" w:leftChars="0"/>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185" w:type="dxa"/>
            <w:vMerge w:val="continue"/>
            <w:vAlign w:val="center"/>
          </w:tcPr>
          <w:p>
            <w:pPr>
              <w:widowControl/>
              <w:jc w:val="left"/>
              <w:rPr>
                <w:rFonts w:hint="eastAsia" w:ascii="宋体" w:hAnsi="宋体" w:eastAsia="宋体" w:cs="宋体"/>
                <w:color w:val="000000" w:themeColor="text1"/>
                <w:sz w:val="21"/>
                <w:szCs w:val="21"/>
                <w14:textFill>
                  <w14:solidFill>
                    <w14:schemeClr w14:val="tx1"/>
                  </w14:solidFill>
                </w14:textFill>
              </w:rPr>
            </w:pPr>
          </w:p>
        </w:tc>
        <w:tc>
          <w:tcPr>
            <w:tcW w:w="183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售后服务方案</w:t>
            </w: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评分和计算结果均保留小数点后2位（采用四舍五入法）。</w:t>
      </w:r>
      <w:bookmarkEnd w:id="177"/>
      <w:bookmarkEnd w:id="178"/>
      <w:bookmarkEnd w:id="179"/>
      <w:bookmarkEnd w:id="180"/>
      <w:bookmarkEnd w:id="181"/>
      <w:r>
        <w:rPr>
          <w:rFonts w:hint="eastAsia" w:ascii="宋体" w:hAnsi="宋体" w:cs="宋体"/>
          <w:color w:val="000000" w:themeColor="text1"/>
          <w:sz w:val="21"/>
          <w:szCs w:val="21"/>
          <w14:textFill>
            <w14:solidFill>
              <w14:schemeClr w14:val="tx1"/>
            </w14:solidFill>
          </w14:textFill>
        </w:rPr>
        <w:t xml:space="preserve"> </w:t>
      </w: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rPr>
          <w:rFonts w:hint="eastAsia" w:ascii="宋体" w:hAnsi="宋体" w:eastAsia="宋体" w:cs="宋体"/>
          <w:b/>
          <w:bCs/>
          <w:color w:val="000000" w:themeColor="text1"/>
          <w:spacing w:val="2"/>
          <w:kern w:val="0"/>
          <w:sz w:val="32"/>
          <w:szCs w:val="32"/>
          <w14:textFill>
            <w14:solidFill>
              <w14:schemeClr w14:val="tx1"/>
            </w14:solidFill>
          </w14:textFill>
        </w:rPr>
      </w:pPr>
      <w:bookmarkStart w:id="182" w:name="_Toc5284"/>
      <w:bookmarkStart w:id="183" w:name="_Toc6545"/>
      <w:bookmarkStart w:id="184" w:name="_Toc657"/>
      <w:r>
        <w:rPr>
          <w:rFonts w:hint="eastAsia" w:ascii="宋体" w:hAnsi="宋体" w:eastAsia="宋体" w:cs="宋体"/>
          <w:b/>
          <w:bCs/>
          <w:color w:val="000000" w:themeColor="text1"/>
          <w:spacing w:val="2"/>
          <w:kern w:val="0"/>
          <w:sz w:val="32"/>
          <w:szCs w:val="32"/>
          <w14:textFill>
            <w14:solidFill>
              <w14:schemeClr w14:val="tx1"/>
            </w14:solidFill>
          </w14:textFill>
        </w:rPr>
        <w:br w:type="page"/>
      </w: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2"/>
          <w:kern w:val="0"/>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182"/>
      <w:bookmarkEnd w:id="183"/>
      <w:bookmarkEnd w:id="184"/>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hint="eastAsia" w:ascii="宋体" w:hAnsi="宋体" w:eastAsia="宋体" w:cs="宋体"/>
          <w:b/>
          <w:bCs/>
          <w:kern w:val="0"/>
          <w:sz w:val="56"/>
          <w:szCs w:val="56"/>
          <w:lang w:eastAsia="zh-CN"/>
        </w:rPr>
      </w:pPr>
      <w:r>
        <w:rPr>
          <w:rFonts w:hint="eastAsia" w:ascii="宋体" w:hAnsi="宋体" w:eastAsia="宋体" w:cs="宋体"/>
          <w:b/>
          <w:bCs/>
          <w:kern w:val="0"/>
          <w:sz w:val="56"/>
          <w:szCs w:val="56"/>
          <w:lang w:eastAsia="zh-CN"/>
        </w:rPr>
        <w:t>郑州市第九人民医院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pStyle w:val="16"/>
        <w:ind w:left="0" w:leftChars="0" w:firstLine="0" w:firstLineChars="0"/>
        <w:rPr>
          <w:rFonts w:ascii="宋体" w:hAnsi="宋体" w:eastAsia="宋体" w:cs="Times New Roman"/>
          <w:b/>
          <w:bCs/>
          <w:spacing w:val="60"/>
          <w:kern w:val="0"/>
          <w:sz w:val="72"/>
          <w:szCs w:val="72"/>
        </w:rPr>
      </w:pPr>
    </w:p>
    <w:p>
      <w:pPr>
        <w:rPr>
          <w:rFonts w:hint="eastAsia"/>
        </w:rPr>
      </w:pPr>
      <w:r>
        <w:rPr>
          <w:rFonts w:hint="eastAsia"/>
        </w:rPr>
        <w:br w:type="page"/>
      </w:r>
    </w:p>
    <w:p>
      <w:pPr>
        <w:widowControl/>
        <w:spacing w:before="100" w:beforeAutospacing="1" w:after="100" w:afterAutospacing="1"/>
        <w:ind w:left="360"/>
        <w:jc w:val="center"/>
        <w:rPr>
          <w:rFonts w:ascii="宋体" w:hAnsi="宋体"/>
          <w:b/>
          <w:kern w:val="0"/>
          <w:sz w:val="44"/>
          <w:szCs w:val="44"/>
        </w:rPr>
      </w:pPr>
      <w:r>
        <w:rPr>
          <w:rStyle w:val="21"/>
          <w:rFonts w:hint="eastAsia"/>
          <w:b w:val="0"/>
          <w:sz w:val="44"/>
          <w:szCs w:val="44"/>
        </w:rPr>
        <w:t>郑州市第九人民医院</w:t>
      </w:r>
      <w:r>
        <w:fldChar w:fldCharType="begin"/>
      </w:r>
      <w:r>
        <w:instrText xml:space="preserve"> HYPERLINK "java:;" \t "_self=" </w:instrText>
      </w:r>
      <w:r>
        <w:fldChar w:fldCharType="separate"/>
      </w:r>
      <w:r>
        <w:rPr>
          <w:rStyle w:val="21"/>
          <w:rFonts w:hint="eastAsia"/>
          <w:b w:val="0"/>
          <w:color w:val="333333"/>
          <w:sz w:val="44"/>
          <w:szCs w:val="44"/>
        </w:rPr>
        <w:t>医疗</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设备</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购销合同</w:t>
      </w:r>
      <w:r>
        <w:rPr>
          <w:rStyle w:val="21"/>
          <w:rFonts w:hint="eastAsia"/>
          <w:b w:val="0"/>
          <w:color w:val="333333"/>
          <w:sz w:val="44"/>
          <w:szCs w:val="44"/>
        </w:rPr>
        <w:fldChar w:fldCharType="end"/>
      </w:r>
    </w:p>
    <w:p>
      <w:pPr>
        <w:widowControl/>
        <w:spacing w:before="100" w:beforeAutospacing="1" w:after="100" w:afterAutospacing="1"/>
        <w:ind w:left="6264" w:hanging="6264" w:hangingChars="2600"/>
        <w:rPr>
          <w:b/>
          <w:sz w:val="24"/>
        </w:rPr>
      </w:pPr>
      <w:r>
        <w:rPr>
          <w:rFonts w:hint="eastAsia"/>
          <w:b/>
          <w:sz w:val="24"/>
        </w:rPr>
        <w:t>采购方：（甲方）郑州市第九人民医院   供货方：（乙方）</w:t>
      </w:r>
      <w:r>
        <w:rPr>
          <w:rFonts w:hint="eastAsia"/>
          <w:sz w:val="24"/>
        </w:rPr>
        <w:t xml:space="preserve"> </w:t>
      </w:r>
    </w:p>
    <w:p>
      <w:pPr>
        <w:spacing w:line="360" w:lineRule="auto"/>
        <w:ind w:left="4961" w:hanging="4960" w:hangingChars="2067"/>
        <w:rPr>
          <w:rFonts w:ascii="宋体" w:hAnsi="宋体"/>
          <w:sz w:val="24"/>
        </w:rPr>
      </w:pPr>
      <w:r>
        <w:rPr>
          <w:sz w:val="24"/>
        </w:rPr>
        <w:t>地址：</w:t>
      </w:r>
      <w:r>
        <w:rPr>
          <w:rFonts w:hint="eastAsia"/>
          <w:sz w:val="24"/>
        </w:rPr>
        <w:t>郑州市沙口路25号                  地址：</w:t>
      </w:r>
    </w:p>
    <w:p>
      <w:pPr>
        <w:spacing w:line="360" w:lineRule="auto"/>
        <w:rPr>
          <w:rFonts w:ascii="宋体" w:hAnsi="宋体"/>
          <w:sz w:val="24"/>
        </w:rPr>
      </w:pPr>
      <w:r>
        <w:rPr>
          <w:rFonts w:hint="eastAsia" w:ascii="宋体" w:hAnsi="宋体"/>
          <w:sz w:val="24"/>
        </w:rPr>
        <w:t>联系电话：                      联系电话：</w:t>
      </w:r>
    </w:p>
    <w:p>
      <w:pPr>
        <w:spacing w:line="360" w:lineRule="auto"/>
        <w:ind w:firstLine="420" w:firstLineChars="200"/>
        <w:rPr>
          <w:rFonts w:ascii="宋体" w:hAnsi="宋体"/>
          <w:sz w:val="24"/>
        </w:rPr>
      </w:pPr>
      <w:r>
        <w:rPr>
          <w:rFonts w:hint="eastAsia"/>
        </w:rPr>
        <w:t>根据《民法典》以及相关</w:t>
      </w:r>
      <w:r>
        <w:fldChar w:fldCharType="begin"/>
      </w:r>
      <w:r>
        <w:instrText xml:space="preserve"> HYPERLINK "java:;" \t "_self=" </w:instrText>
      </w:r>
      <w:r>
        <w:fldChar w:fldCharType="separate"/>
      </w:r>
      <w:r>
        <w:rPr>
          <w:rStyle w:val="21"/>
          <w:rFonts w:hint="eastAsia"/>
          <w:color w:val="333333"/>
          <w:u w:val="single"/>
        </w:rPr>
        <w:t>法律</w:t>
      </w:r>
      <w:r>
        <w:rPr>
          <w:rStyle w:val="21"/>
          <w:rFonts w:hint="eastAsia"/>
          <w:color w:val="333333"/>
          <w:u w:val="single"/>
        </w:rPr>
        <w:fldChar w:fldCharType="end"/>
      </w:r>
      <w:r>
        <w:rPr>
          <w:rFonts w:hint="eastAsia"/>
        </w:rPr>
        <w:t>法规的规定，经甲、乙双方协商，就甲方采购乙方医疗设备事宜，双方自愿签订如下</w:t>
      </w:r>
      <w:r>
        <w:rPr>
          <w:rStyle w:val="21"/>
          <w:rFonts w:hint="eastAsia"/>
          <w:color w:val="333333"/>
          <w:u w:val="single"/>
        </w:rPr>
        <w:t>合同</w:t>
      </w:r>
      <w:r>
        <w:rPr>
          <w:rFonts w:hint="eastAsia"/>
        </w:rPr>
        <w:t>。</w:t>
      </w:r>
    </w:p>
    <w:p>
      <w:pPr>
        <w:spacing w:line="360" w:lineRule="auto"/>
        <w:ind w:firstLine="422" w:firstLineChars="200"/>
      </w:pPr>
      <w:r>
        <w:rPr>
          <w:rFonts w:hint="eastAsia"/>
          <w:b/>
        </w:rPr>
        <w:t>第一条</w:t>
      </w:r>
      <w:r>
        <w:t xml:space="preserve"> </w:t>
      </w:r>
      <w:r>
        <w:rPr>
          <w:rFonts w:hint="eastAsia"/>
        </w:rPr>
        <w:t>设备的名称、规格、单价、数量及产地等详见明细表，明细表是本合同的一部分。乙方应随货免费提供设备的技术文件，包括相应的图纸、操作手册、维护手册、质量保证文件、合格证、配置清单、服务指南等。</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3"/>
        <w:gridCol w:w="2835"/>
        <w:gridCol w:w="840"/>
        <w:gridCol w:w="1155"/>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产品名称</w:t>
            </w:r>
          </w:p>
        </w:tc>
        <w:tc>
          <w:tcPr>
            <w:tcW w:w="2835" w:type="dxa"/>
          </w:tcPr>
          <w:p>
            <w:pPr>
              <w:spacing w:line="360" w:lineRule="auto"/>
              <w:jc w:val="center"/>
            </w:pPr>
            <w:r>
              <w:rPr>
                <w:rFonts w:hint="eastAsia"/>
              </w:rPr>
              <w:t>品牌型号</w:t>
            </w:r>
          </w:p>
        </w:tc>
        <w:tc>
          <w:tcPr>
            <w:tcW w:w="840" w:type="dxa"/>
          </w:tcPr>
          <w:p>
            <w:pPr>
              <w:spacing w:line="360" w:lineRule="auto"/>
              <w:jc w:val="center"/>
            </w:pPr>
            <w:r>
              <w:rPr>
                <w:rFonts w:hint="eastAsia"/>
              </w:rPr>
              <w:t>产地</w:t>
            </w:r>
          </w:p>
        </w:tc>
        <w:tc>
          <w:tcPr>
            <w:tcW w:w="1155" w:type="dxa"/>
          </w:tcPr>
          <w:p>
            <w:pPr>
              <w:spacing w:line="360" w:lineRule="auto"/>
              <w:jc w:val="center"/>
            </w:pPr>
            <w:r>
              <w:rPr>
                <w:rFonts w:hint="eastAsia"/>
              </w:rPr>
              <w:t>数量（台）</w:t>
            </w:r>
          </w:p>
        </w:tc>
        <w:tc>
          <w:tcPr>
            <w:tcW w:w="1385" w:type="dxa"/>
          </w:tcPr>
          <w:p>
            <w:pPr>
              <w:spacing w:line="360" w:lineRule="auto"/>
              <w:jc w:val="center"/>
            </w:pPr>
            <w:r>
              <w:rPr>
                <w:rFonts w:hint="eastAsia"/>
              </w:rPr>
              <w:t>单价（万元）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p>
        </w:tc>
        <w:tc>
          <w:tcPr>
            <w:tcW w:w="2835" w:type="dxa"/>
          </w:tcPr>
          <w:p>
            <w:pPr>
              <w:spacing w:line="360" w:lineRule="auto"/>
            </w:pPr>
          </w:p>
        </w:tc>
        <w:tc>
          <w:tcPr>
            <w:tcW w:w="840" w:type="dxa"/>
          </w:tcPr>
          <w:p>
            <w:pPr>
              <w:spacing w:line="360" w:lineRule="auto"/>
              <w:jc w:val="center"/>
              <w:rPr>
                <w:b/>
                <w:bCs/>
              </w:rPr>
            </w:pPr>
          </w:p>
        </w:tc>
        <w:tc>
          <w:tcPr>
            <w:tcW w:w="1155" w:type="dxa"/>
          </w:tcPr>
          <w:p>
            <w:pPr>
              <w:spacing w:line="360" w:lineRule="auto"/>
              <w:jc w:val="center"/>
            </w:pPr>
          </w:p>
        </w:tc>
        <w:tc>
          <w:tcPr>
            <w:tcW w:w="1385" w:type="dxa"/>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总价（大小写）</w:t>
            </w:r>
          </w:p>
        </w:tc>
        <w:tc>
          <w:tcPr>
            <w:tcW w:w="6215" w:type="dxa"/>
            <w:gridSpan w:val="4"/>
          </w:tcPr>
          <w:p>
            <w:pPr>
              <w:spacing w:line="360" w:lineRule="auto"/>
            </w:pPr>
            <w:r>
              <w:rPr>
                <w:rFonts w:hint="eastAsia"/>
              </w:rPr>
              <w:t>大写：     小写：</w:t>
            </w:r>
            <w: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优惠承诺</w:t>
            </w:r>
          </w:p>
        </w:tc>
        <w:tc>
          <w:tcPr>
            <w:tcW w:w="6215" w:type="dxa"/>
            <w:gridSpan w:val="4"/>
          </w:tcPr>
          <w:p>
            <w:pPr>
              <w:spacing w:line="360" w:lineRule="auto"/>
              <w:jc w:val="center"/>
            </w:pPr>
            <w:r>
              <w:rPr>
                <w:rFonts w:hint="eastAsia"/>
              </w:rPr>
              <w:t>无</w:t>
            </w:r>
          </w:p>
        </w:tc>
      </w:tr>
    </w:tbl>
    <w:p>
      <w:pPr>
        <w:spacing w:line="360" w:lineRule="auto"/>
        <w:ind w:firstLine="422" w:firstLineChars="200"/>
      </w:pPr>
      <w:r>
        <w:rPr>
          <w:rFonts w:hint="eastAsia"/>
          <w:b/>
        </w:rPr>
        <w:t>第二条</w:t>
      </w:r>
      <w:r>
        <w:rPr>
          <w:b/>
        </w:rPr>
        <w:t xml:space="preserve"> </w:t>
      </w:r>
      <w:r>
        <w:rPr>
          <w:rFonts w:hint="eastAsia"/>
          <w:b/>
        </w:rPr>
        <w:t>技术标准</w:t>
      </w:r>
    </w:p>
    <w:p>
      <w:pPr>
        <w:spacing w:line="360" w:lineRule="auto"/>
        <w:ind w:firstLine="420" w:firstLineChars="200"/>
      </w:pPr>
      <w:r>
        <w:rPr>
          <w:rFonts w:hint="eastAsia"/>
        </w:rPr>
        <w:t>在符合国家相关技术标准的基础上，甲、乙双方根据投标文件和合同约定</w:t>
      </w:r>
      <w:r>
        <w:t>(</w:t>
      </w:r>
      <w:r>
        <w:rPr>
          <w:rFonts w:hint="eastAsia"/>
        </w:rPr>
        <w:t>见附件</w:t>
      </w:r>
      <w:r>
        <w:t>)</w:t>
      </w:r>
      <w:r>
        <w:rPr>
          <w:rFonts w:hint="eastAsia"/>
        </w:rPr>
        <w:t>进行技术验收；如根据样品进行验收，乙方所供医疗产品应与样品质量一致。甲方验收合格后，双方需在甲方《设备验收单》上签字确认。</w:t>
      </w:r>
    </w:p>
    <w:p>
      <w:pPr>
        <w:spacing w:line="360" w:lineRule="auto"/>
        <w:ind w:firstLine="413" w:firstLineChars="196"/>
        <w:rPr>
          <w:b/>
        </w:rPr>
      </w:pPr>
      <w:r>
        <w:rPr>
          <w:rFonts w:hint="eastAsia"/>
          <w:b/>
        </w:rPr>
        <w:t>第三条</w:t>
      </w:r>
      <w:r>
        <w:rPr>
          <w:b/>
        </w:rPr>
        <w:t xml:space="preserve"> </w:t>
      </w:r>
      <w:r>
        <w:rPr>
          <w:rFonts w:hint="eastAsia"/>
          <w:b/>
        </w:rPr>
        <w:t>供货时间及地点</w:t>
      </w:r>
    </w:p>
    <w:p>
      <w:pPr>
        <w:spacing w:line="360" w:lineRule="auto"/>
        <w:ind w:firstLine="420" w:firstLineChars="200"/>
      </w:pPr>
      <w:r>
        <w:rPr>
          <w:rFonts w:hint="eastAsia"/>
        </w:rPr>
        <w:t>交付时间：乙方向甲方交付设备于</w:t>
      </w:r>
      <w:r>
        <w:t xml:space="preserve">   </w:t>
      </w:r>
      <w:r>
        <w:rPr>
          <w:u w:val="single"/>
        </w:rPr>
        <w:t xml:space="preserve">      </w:t>
      </w:r>
      <w:r>
        <w:rPr>
          <w:rFonts w:hint="eastAsia"/>
          <w:u w:val="single"/>
        </w:rPr>
        <w:t>年</w:t>
      </w:r>
      <w:r>
        <w:rPr>
          <w:u w:val="single"/>
        </w:rPr>
        <w:t> </w:t>
      </w:r>
      <w:r>
        <w:rPr>
          <w:rFonts w:hint="eastAsia"/>
          <w:u w:val="single"/>
        </w:rPr>
        <w:t xml:space="preserve"> </w:t>
      </w:r>
      <w:r>
        <w:rPr>
          <w:u w:val="single"/>
        </w:rPr>
        <w:t xml:space="preserve">  </w:t>
      </w:r>
      <w:r>
        <w:rPr>
          <w:rFonts w:hint="eastAsia"/>
          <w:u w:val="single"/>
        </w:rPr>
        <w:t xml:space="preserve">月 </w:t>
      </w:r>
      <w:r>
        <w:rPr>
          <w:u w:val="single"/>
        </w:rPr>
        <w:t xml:space="preserve">   </w:t>
      </w:r>
      <w:r>
        <w:rPr>
          <w:rFonts w:hint="eastAsia"/>
          <w:u w:val="single"/>
        </w:rPr>
        <w:t>  日</w:t>
      </w:r>
      <w:r>
        <w:rPr>
          <w:rFonts w:hint="eastAsia"/>
        </w:rPr>
        <w:t>前。</w:t>
      </w:r>
    </w:p>
    <w:p>
      <w:pPr>
        <w:spacing w:line="360" w:lineRule="auto"/>
        <w:ind w:firstLine="420" w:firstLineChars="200"/>
      </w:pPr>
      <w:r>
        <w:rPr>
          <w:rFonts w:hint="eastAsia"/>
        </w:rPr>
        <w:t>交付地点：郑州市第九人民医院指定地点</w:t>
      </w:r>
    </w:p>
    <w:p>
      <w:pPr>
        <w:spacing w:line="360" w:lineRule="auto"/>
        <w:ind w:firstLine="420" w:firstLineChars="200"/>
      </w:pPr>
      <w:r>
        <w:rPr>
          <w:rFonts w:hint="eastAsia"/>
        </w:rPr>
        <w:t>乙方送货并承担运费、保险费、税费等，货物交付甲方并验收合格后转移所有权。</w:t>
      </w:r>
    </w:p>
    <w:p>
      <w:pPr>
        <w:spacing w:line="360" w:lineRule="auto"/>
        <w:ind w:firstLine="413" w:firstLineChars="196"/>
        <w:rPr>
          <w:b/>
        </w:rPr>
      </w:pPr>
      <w:r>
        <w:rPr>
          <w:rFonts w:hint="eastAsia"/>
          <w:b/>
        </w:rPr>
        <w:t>第四条</w:t>
      </w:r>
      <w:r>
        <w:rPr>
          <w:b/>
        </w:rPr>
        <w:t xml:space="preserve"> </w:t>
      </w:r>
      <w:r>
        <w:rPr>
          <w:rFonts w:hint="eastAsia"/>
          <w:b/>
        </w:rPr>
        <w:t>验收标准及方式</w:t>
      </w:r>
    </w:p>
    <w:p>
      <w:pPr>
        <w:spacing w:line="360" w:lineRule="auto"/>
        <w:ind w:firstLine="420" w:firstLineChars="200"/>
      </w:pPr>
      <w:r>
        <w:rPr>
          <w:rFonts w:hint="eastAsia"/>
        </w:rPr>
        <w:t>甲、乙双方共同对设备进行开箱清点、检查验收，如果发现数量不足或有质量、技术等问题，甲方出具《验收报告》，详细列明验收情况及问题清单，乙方应在</w:t>
      </w:r>
      <w:r>
        <w:rPr>
          <w:rFonts w:hint="eastAsia"/>
          <w:b/>
          <w:u w:val="single"/>
        </w:rPr>
        <w:t>七日</w:t>
      </w:r>
      <w:r>
        <w:rPr>
          <w:rFonts w:hint="eastAsia"/>
        </w:rPr>
        <w:t>内，按照甲方的要求，采取补足、更换或退货等处理措施，并承担由此发生的一切损失和费用。</w:t>
      </w:r>
    </w:p>
    <w:p>
      <w:pPr>
        <w:spacing w:line="440" w:lineRule="exact"/>
        <w:ind w:firstLine="420" w:firstLineChars="200"/>
      </w:pPr>
      <w:r>
        <w:rPr>
          <w:rFonts w:hint="eastAsia"/>
        </w:rPr>
        <w:t>设备到货后，乙方应在接到甲方通知后，按甲方规定时间内完成设备的安装调试。</w:t>
      </w:r>
    </w:p>
    <w:p>
      <w:pPr>
        <w:spacing w:line="440" w:lineRule="exact"/>
        <w:ind w:firstLine="413" w:firstLineChars="196"/>
        <w:rPr>
          <w:b/>
        </w:rPr>
      </w:pPr>
      <w:r>
        <w:rPr>
          <w:rFonts w:hint="eastAsia"/>
          <w:b/>
        </w:rPr>
        <w:t>第五条</w:t>
      </w:r>
      <w:r>
        <w:rPr>
          <w:b/>
        </w:rPr>
        <w:t xml:space="preserve"> </w:t>
      </w:r>
      <w:r>
        <w:rPr>
          <w:rFonts w:hint="eastAsia"/>
          <w:b/>
        </w:rPr>
        <w:t>货款及支付方式</w:t>
      </w:r>
    </w:p>
    <w:p>
      <w:pPr>
        <w:spacing w:line="440" w:lineRule="exact"/>
        <w:ind w:firstLine="420" w:firstLineChars="200"/>
      </w:pPr>
      <w:r>
        <w:rPr>
          <w:rFonts w:hint="eastAsia"/>
        </w:rPr>
        <w:t>合同签订后，设备到货验收合格后付设备总货款的9</w:t>
      </w:r>
      <w:r>
        <w:t>5</w:t>
      </w:r>
      <w:r>
        <w:rPr>
          <w:rFonts w:hint="eastAsia"/>
        </w:rPr>
        <w:t>%，设备安装调试验收合格、正常使用满一年后甲方向乙方无息支付总货款</w:t>
      </w:r>
      <w:r>
        <w:t>5%</w:t>
      </w:r>
      <w:r>
        <w:rPr>
          <w:rFonts w:hint="eastAsia"/>
        </w:rPr>
        <w:t>。</w:t>
      </w:r>
    </w:p>
    <w:p>
      <w:pPr>
        <w:spacing w:line="440" w:lineRule="exact"/>
        <w:ind w:firstLine="413" w:firstLineChars="196"/>
        <w:rPr>
          <w:b/>
        </w:rPr>
      </w:pPr>
      <w:r>
        <w:rPr>
          <w:rFonts w:hint="eastAsia"/>
          <w:b/>
        </w:rPr>
        <w:t>第六条</w:t>
      </w:r>
      <w:r>
        <w:rPr>
          <w:b/>
        </w:rPr>
        <w:t xml:space="preserve"> </w:t>
      </w:r>
      <w:r>
        <w:rPr>
          <w:rFonts w:hint="eastAsia"/>
          <w:b/>
        </w:rPr>
        <w:t>售后服务及质量保证</w:t>
      </w:r>
    </w:p>
    <w:p>
      <w:pPr>
        <w:spacing w:line="440" w:lineRule="exact"/>
        <w:ind w:firstLine="420" w:firstLineChars="200"/>
      </w:pPr>
      <w:r>
        <w:t>1.</w:t>
      </w:r>
      <w:r>
        <w:rPr>
          <w:rFonts w:hint="eastAsia"/>
        </w:rPr>
        <w:t>甲方收到货物后应在三日内验收，该验收仅为对产品数量和表面是否存在瑕疵进行验收。产品在质保期内出现质量问题的，乙方需按本合同第七条第5款支付违约金。产品在质保期内出现质量问题的，乙方需按本合同第七条第5款支付违约金。乙方对货物实行三包（包修、包换、包退）。</w:t>
      </w:r>
    </w:p>
    <w:p>
      <w:pPr>
        <w:spacing w:line="440" w:lineRule="exact"/>
        <w:ind w:firstLine="420" w:firstLineChars="200"/>
      </w:pPr>
      <w:r>
        <w:t>2.</w:t>
      </w:r>
      <w:r>
        <w:rPr>
          <w:rFonts w:hint="eastAsia"/>
        </w:rPr>
        <w:t>乙方免费提供设备安装所需的专用工具和辅助材料、易耗件。</w:t>
      </w:r>
    </w:p>
    <w:p>
      <w:pPr>
        <w:spacing w:line="440" w:lineRule="exact"/>
        <w:ind w:firstLine="420" w:firstLineChars="200"/>
      </w:pPr>
      <w:r>
        <w:t>3.</w:t>
      </w:r>
      <w:r>
        <w:rPr>
          <w:rFonts w:hint="eastAsia"/>
        </w:rPr>
        <w:t>乙方自收到甲方电话、传真等维修要求后应当在</w:t>
      </w:r>
      <w:r>
        <w:rPr>
          <w:rFonts w:hint="eastAsia"/>
          <w:u w:val="single"/>
        </w:rPr>
        <w:t xml:space="preserve"> 24 </w:t>
      </w:r>
      <w:r>
        <w:rPr>
          <w:rFonts w:hint="eastAsia"/>
        </w:rPr>
        <w:t>小时内进行维修；逾期甲方可自行组织维修，费用由乙方承担。</w:t>
      </w:r>
    </w:p>
    <w:p>
      <w:pPr>
        <w:spacing w:line="440" w:lineRule="exact"/>
        <w:ind w:firstLine="420" w:firstLineChars="200"/>
      </w:pPr>
      <w:r>
        <w:t>4.</w:t>
      </w:r>
      <w:r>
        <w:rPr>
          <w:rFonts w:hint="eastAsia"/>
        </w:rPr>
        <w:t>免费质保期为</w:t>
      </w:r>
      <w:r>
        <w:rPr>
          <w:rFonts w:hint="eastAsia"/>
          <w:u w:val="single"/>
        </w:rPr>
        <w:t xml:space="preserve">  </w:t>
      </w:r>
      <w:r>
        <w:rPr>
          <w:rFonts w:hint="eastAsia"/>
        </w:rPr>
        <w:t>年，自设备安装调试合格之日起算。在免费质保期内，乙方履行保修义务应免收材料和人工等一切费用；免费质保期满后，乙方履行保修义务只收取配件费。</w:t>
      </w:r>
    </w:p>
    <w:p>
      <w:pPr>
        <w:spacing w:line="440" w:lineRule="exact"/>
        <w:ind w:firstLine="420" w:firstLineChars="200"/>
      </w:pPr>
      <w:r>
        <w:t>5.</w:t>
      </w:r>
      <w:r>
        <w:rPr>
          <w:rFonts w:hint="eastAsia"/>
        </w:rPr>
        <w:t>设备运至甲方指定地点，乙方应指派技师三人对甲方操作人员安装、使用设备进行培训，直至甲方操作人员能熟练操作为止，乙方承担培训技师的薪资、差旅等全部费用。</w:t>
      </w:r>
    </w:p>
    <w:p>
      <w:pPr>
        <w:tabs>
          <w:tab w:val="left" w:pos="2865"/>
        </w:tabs>
        <w:spacing w:line="440" w:lineRule="exact"/>
        <w:ind w:firstLine="413" w:firstLineChars="196"/>
        <w:rPr>
          <w:b/>
        </w:rPr>
      </w:pPr>
      <w:r>
        <w:rPr>
          <w:rFonts w:hint="eastAsia"/>
          <w:b/>
        </w:rPr>
        <w:t>第七条</w:t>
      </w:r>
      <w:r>
        <w:rPr>
          <w:b/>
        </w:rPr>
        <w:t xml:space="preserve"> </w:t>
      </w:r>
      <w:r>
        <w:rPr>
          <w:rFonts w:hint="eastAsia"/>
          <w:b/>
        </w:rPr>
        <w:t>违约</w:t>
      </w:r>
      <w:r>
        <w:fldChar w:fldCharType="begin"/>
      </w:r>
      <w:r>
        <w:instrText xml:space="preserve"> HYPERLINK "java:;" \t "_self=" </w:instrText>
      </w:r>
      <w:r>
        <w:fldChar w:fldCharType="separate"/>
      </w:r>
      <w:r>
        <w:rPr>
          <w:rStyle w:val="21"/>
          <w:rFonts w:hint="eastAsia"/>
          <w:color w:val="333333"/>
          <w:u w:val="single"/>
        </w:rPr>
        <w:t>责任</w:t>
      </w:r>
      <w:r>
        <w:rPr>
          <w:rStyle w:val="21"/>
          <w:rFonts w:hint="eastAsia"/>
          <w:color w:val="333333"/>
          <w:u w:val="single"/>
        </w:rPr>
        <w:fldChar w:fldCharType="end"/>
      </w:r>
      <w:r>
        <w:rPr>
          <w:b/>
        </w:rPr>
        <w:tab/>
      </w:r>
    </w:p>
    <w:p>
      <w:pPr>
        <w:spacing w:line="440" w:lineRule="exact"/>
        <w:ind w:firstLine="420" w:firstLineChars="200"/>
        <w:rPr>
          <w:rFonts w:ascii="宋体" w:hAnsi="宋体"/>
        </w:rPr>
      </w:pPr>
      <w:r>
        <w:t>1</w:t>
      </w:r>
      <w:r>
        <w:rPr>
          <w:rFonts w:hint="eastAsia"/>
        </w:rPr>
        <w:t>．甲方逾期支付货款满三个月后，每日按逾期未付金额的</w:t>
      </w:r>
      <w:r>
        <w:rPr>
          <w:rFonts w:hint="eastAsia"/>
          <w:u w:val="single"/>
        </w:rPr>
        <w:t>千分之一</w:t>
      </w:r>
      <w:r>
        <w:rPr>
          <w:rFonts w:hint="eastAsia"/>
        </w:rPr>
        <w:t>向乙方支付违约金。</w:t>
      </w:r>
    </w:p>
    <w:p>
      <w:pPr>
        <w:spacing w:line="440" w:lineRule="exact"/>
        <w:ind w:firstLine="420" w:firstLineChars="200"/>
      </w:pPr>
      <w:r>
        <w:t>2</w:t>
      </w:r>
      <w:r>
        <w:rPr>
          <w:rFonts w:hint="eastAsia"/>
        </w:rPr>
        <w:t>．非乙方供货质量问题，甲方中途不得退货，否则，甲方应按合同总额的</w:t>
      </w:r>
      <w:r>
        <w:rPr>
          <w:rFonts w:hint="eastAsia"/>
          <w:u w:val="single"/>
        </w:rPr>
        <w:t>百分之一</w:t>
      </w:r>
      <w:r>
        <w:rPr>
          <w:rFonts w:hint="eastAsia"/>
        </w:rPr>
        <w:t>向乙方支付违约金。</w:t>
      </w:r>
    </w:p>
    <w:p>
      <w:pPr>
        <w:spacing w:line="440" w:lineRule="exact"/>
        <w:ind w:firstLine="420" w:firstLineChars="200"/>
      </w:pPr>
      <w:r>
        <w:t xml:space="preserve">3. </w:t>
      </w:r>
      <w:r>
        <w:rPr>
          <w:rFonts w:hint="eastAsia"/>
        </w:rPr>
        <w:t>乙方逾期供货，每逾期一日，按合同总金额的</w:t>
      </w:r>
      <w:r>
        <w:rPr>
          <w:rFonts w:hint="eastAsia"/>
          <w:u w:val="single"/>
        </w:rPr>
        <w:t>千分之一</w:t>
      </w:r>
      <w:r>
        <w:rPr>
          <w:rFonts w:hint="eastAsia"/>
        </w:rPr>
        <w:t>向甲方支付违约金。</w:t>
      </w:r>
    </w:p>
    <w:p>
      <w:pPr>
        <w:spacing w:line="440" w:lineRule="exact"/>
        <w:ind w:firstLine="420" w:firstLineChars="200"/>
      </w:pPr>
      <w:r>
        <w:t xml:space="preserve">4. </w:t>
      </w:r>
      <w:r>
        <w:rPr>
          <w:rFonts w:hint="eastAsia"/>
        </w:rPr>
        <w:t>乙方逾期供货超过</w:t>
      </w:r>
      <w:r>
        <w:rPr>
          <w:rFonts w:hint="eastAsia"/>
          <w:u w:val="single"/>
        </w:rPr>
        <w:t>10</w:t>
      </w:r>
      <w:r>
        <w:rPr>
          <w:rFonts w:hint="eastAsia"/>
        </w:rPr>
        <w:t>日，甲方有权</w:t>
      </w:r>
      <w:r>
        <w:fldChar w:fldCharType="begin"/>
      </w:r>
      <w:r>
        <w:instrText xml:space="preserve"> HYPERLINK "java:;" \t "_self=" </w:instrText>
      </w:r>
      <w:r>
        <w:fldChar w:fldCharType="separate"/>
      </w:r>
      <w:r>
        <w:rPr>
          <w:rStyle w:val="21"/>
          <w:rFonts w:hint="eastAsia"/>
          <w:color w:val="333333"/>
          <w:u w:val="single"/>
        </w:rPr>
        <w:t>解除</w:t>
      </w:r>
      <w:r>
        <w:rPr>
          <w:rStyle w:val="21"/>
          <w:rFonts w:hint="eastAsia"/>
          <w:color w:val="333333"/>
          <w:u w:val="single"/>
        </w:rPr>
        <w:fldChar w:fldCharType="end"/>
      </w:r>
      <w:r>
        <w:rPr>
          <w:rFonts w:hint="eastAsia"/>
        </w:rPr>
        <w:t>合同，乙方应返还甲方所支付款项，并按合同总金额的</w:t>
      </w:r>
      <w:r>
        <w:rPr>
          <w:rFonts w:hint="eastAsia"/>
          <w:u w:val="single"/>
        </w:rPr>
        <w:t>百分之二十</w:t>
      </w:r>
      <w:r>
        <w:rPr>
          <w:rFonts w:hint="eastAsia"/>
        </w:rPr>
        <w:t>向甲方支付违约金。</w:t>
      </w:r>
    </w:p>
    <w:p>
      <w:pPr>
        <w:spacing w:line="440" w:lineRule="exact"/>
        <w:ind w:firstLine="420" w:firstLineChars="200"/>
      </w:pPr>
      <w:r>
        <w:t xml:space="preserve">5. </w:t>
      </w:r>
      <w:r>
        <w:rPr>
          <w:rFonts w:hint="eastAsia"/>
        </w:rPr>
        <w:t>乙方交付产品存在质量问题的，甲方有权解除合同或要求乙方更换产品。甲方要求解除合同的，乙方应承担合同总金额的百分之二十的违约金；甲方要求更换产品的，乙方应在甲方通知的七日内提供符合质量标准的产品，每逾期一日承担合同总金额百分之一的违约金，逾期20日仍未更换的，甲方有权解除合同的，并要求乙方承担合同总金额百分之二十的违约金。</w:t>
      </w:r>
    </w:p>
    <w:p>
      <w:pPr>
        <w:spacing w:line="360" w:lineRule="auto"/>
        <w:ind w:firstLine="413" w:firstLineChars="196"/>
        <w:rPr>
          <w:b/>
        </w:rPr>
      </w:pPr>
      <w:r>
        <w:rPr>
          <w:rFonts w:hint="eastAsia"/>
          <w:b/>
        </w:rPr>
        <w:t>第八条</w:t>
      </w:r>
      <w:r>
        <w:rPr>
          <w:b/>
        </w:rPr>
        <w:t xml:space="preserve"> </w:t>
      </w:r>
      <w:r>
        <w:rPr>
          <w:rFonts w:hint="eastAsia"/>
          <w:b/>
        </w:rPr>
        <w:t>不可抗力</w:t>
      </w:r>
    </w:p>
    <w:p>
      <w:pPr>
        <w:spacing w:line="360" w:lineRule="auto"/>
        <w:ind w:firstLine="420" w:firstLineChars="200"/>
        <w:rPr>
          <w:u w:val="single"/>
        </w:rPr>
      </w:pPr>
      <w:r>
        <w:rPr>
          <w:rFonts w:hint="eastAsia"/>
        </w:rPr>
        <w:t>甲、乙任何一方由于不可抗力原因不能履行合同时，在不可抗力解除后应及时向对方通报不能履行或不能完全履行的理由，以减轻可能给对方造成的损失，并根据情况可部分或全部免予承担违约责任。</w:t>
      </w:r>
    </w:p>
    <w:p>
      <w:pPr>
        <w:spacing w:line="360" w:lineRule="auto"/>
        <w:ind w:firstLine="413" w:firstLineChars="196"/>
        <w:rPr>
          <w:b/>
        </w:rPr>
      </w:pPr>
      <w:r>
        <w:rPr>
          <w:rFonts w:hint="eastAsia"/>
          <w:b/>
        </w:rPr>
        <w:t>第九条</w:t>
      </w:r>
      <w:r>
        <w:rPr>
          <w:b/>
        </w:rPr>
        <w:t xml:space="preserve"> </w:t>
      </w:r>
      <w:r>
        <w:fldChar w:fldCharType="begin"/>
      </w:r>
      <w:r>
        <w:instrText xml:space="preserve"> HYPERLINK "java:;" \t "_self=" </w:instrText>
      </w:r>
      <w:r>
        <w:fldChar w:fldCharType="separate"/>
      </w:r>
      <w:r>
        <w:rPr>
          <w:rStyle w:val="21"/>
          <w:rFonts w:hint="eastAsia"/>
          <w:color w:val="333333"/>
          <w:u w:val="single"/>
        </w:rPr>
        <w:t>争议</w:t>
      </w:r>
      <w:r>
        <w:rPr>
          <w:rStyle w:val="21"/>
          <w:rFonts w:hint="eastAsia"/>
          <w:color w:val="333333"/>
          <w:u w:val="single"/>
        </w:rPr>
        <w:fldChar w:fldCharType="end"/>
      </w:r>
      <w:r>
        <w:rPr>
          <w:rFonts w:hint="eastAsia"/>
          <w:b/>
        </w:rPr>
        <w:t>解决方法</w:t>
      </w:r>
    </w:p>
    <w:p>
      <w:pPr>
        <w:spacing w:line="360" w:lineRule="auto"/>
        <w:ind w:firstLine="420" w:firstLineChars="200"/>
      </w:pPr>
      <w:r>
        <w:rPr>
          <w:rFonts w:hint="eastAsia"/>
        </w:rPr>
        <w:t>甲、乙双方因履行本合同发生争议时，应友好协商；如协商未果，由甲方住所地</w:t>
      </w:r>
      <w:r>
        <w:fldChar w:fldCharType="begin"/>
      </w:r>
      <w:r>
        <w:instrText xml:space="preserve"> HYPERLINK "java:;" \t "_self=" </w:instrText>
      </w:r>
      <w:r>
        <w:fldChar w:fldCharType="separate"/>
      </w:r>
      <w:r>
        <w:rPr>
          <w:rStyle w:val="21"/>
          <w:rFonts w:hint="eastAsia"/>
          <w:color w:val="333333"/>
          <w:u w:val="single"/>
        </w:rPr>
        <w:t>人民法院</w:t>
      </w:r>
      <w:r>
        <w:rPr>
          <w:rStyle w:val="21"/>
          <w:rFonts w:hint="eastAsia"/>
          <w:color w:val="333333"/>
          <w:u w:val="single"/>
        </w:rPr>
        <w:fldChar w:fldCharType="end"/>
      </w:r>
      <w:r>
        <w:rPr>
          <w:rFonts w:hint="eastAsia"/>
        </w:rPr>
        <w:t>管辖。</w:t>
      </w:r>
    </w:p>
    <w:p>
      <w:pPr>
        <w:spacing w:line="360" w:lineRule="auto"/>
        <w:ind w:firstLine="413" w:firstLineChars="196"/>
        <w:rPr>
          <w:b/>
        </w:rPr>
      </w:pPr>
      <w:r>
        <w:rPr>
          <w:rFonts w:hint="eastAsia"/>
          <w:b/>
        </w:rPr>
        <w:t>第十条</w:t>
      </w:r>
      <w:r>
        <w:rPr>
          <w:b/>
        </w:rPr>
        <w:t xml:space="preserve"> </w:t>
      </w:r>
      <w:r>
        <w:rPr>
          <w:rFonts w:hint="eastAsia"/>
          <w:b/>
        </w:rPr>
        <w:t>合同附件</w:t>
      </w:r>
    </w:p>
    <w:p>
      <w:pPr>
        <w:spacing w:line="360" w:lineRule="auto"/>
        <w:ind w:firstLine="420" w:firstLineChars="200"/>
        <w:rPr>
          <w:rFonts w:ascii="宋体" w:hAnsi="宋体"/>
        </w:rPr>
      </w:pPr>
      <w:r>
        <w:rPr>
          <w:rFonts w:hint="eastAsia"/>
        </w:rPr>
        <w:t>合同附件是本合同的不可分割的组成部分，与合同具有同等法律效力。本合同附件包括：配置清单、技术标准、设备技术说明、招标文件。</w:t>
      </w:r>
    </w:p>
    <w:p>
      <w:pPr>
        <w:spacing w:line="360" w:lineRule="auto"/>
        <w:ind w:firstLine="422" w:firstLineChars="200"/>
        <w:rPr>
          <w:b/>
        </w:rPr>
      </w:pPr>
      <w:r>
        <w:rPr>
          <w:rFonts w:hint="eastAsia"/>
          <w:b/>
        </w:rPr>
        <w:t>第十一条 甲方招标文件、乙方投标文件及乙方投标最终报价单附属内容均为本合同一部分。</w:t>
      </w:r>
    </w:p>
    <w:p>
      <w:pPr>
        <w:spacing w:line="360" w:lineRule="auto"/>
        <w:ind w:firstLine="413" w:firstLineChars="196"/>
        <w:rPr>
          <w:bCs/>
        </w:rPr>
      </w:pPr>
      <w:r>
        <w:rPr>
          <w:rFonts w:hint="eastAsia"/>
          <w:b/>
        </w:rPr>
        <w:t>第十二条</w:t>
      </w:r>
      <w:r>
        <w:rPr>
          <w:b/>
        </w:rPr>
        <w:t xml:space="preserve"> </w:t>
      </w:r>
      <w:r>
        <w:rPr>
          <w:rFonts w:hint="eastAsia"/>
          <w:bCs/>
        </w:rPr>
        <w:t>双方按（本合同首部）确定的地址、电话进行联络，一方的联系地址、电话如有变动，应提前5日内书面通知对方，否则由此造成不能送达的一切后果由责任方承担；</w:t>
      </w:r>
    </w:p>
    <w:p>
      <w:pPr>
        <w:spacing w:line="360" w:lineRule="auto"/>
        <w:ind w:firstLine="411" w:firstLineChars="196"/>
        <w:rPr>
          <w:b/>
        </w:rPr>
      </w:pPr>
      <w:r>
        <w:rPr>
          <w:rFonts w:hint="eastAsia"/>
          <w:bCs/>
        </w:rPr>
        <w:t>本协议通讯地址、联系方式亦为解决纠纷时，法院向双方送达法律文书的地址，双方对此已充分知悉并无异议。如一方按上述通讯地址、联系方式发送文件给另一方，或法院按上述通讯地址、联系方式向任何一方送达法律文书，但因另一方拒收、查无此人、地址不详、无法送达等原因未能收取的，均视为文件已经送达</w:t>
      </w:r>
      <w:r>
        <w:rPr>
          <w:rFonts w:hint="eastAsia"/>
          <w:b/>
        </w:rPr>
        <w:t>。</w:t>
      </w:r>
    </w:p>
    <w:p>
      <w:pPr>
        <w:spacing w:line="360" w:lineRule="auto"/>
        <w:ind w:firstLine="413" w:firstLineChars="196"/>
        <w:rPr>
          <w:rFonts w:ascii="宋体" w:hAnsi="宋体"/>
          <w:b/>
        </w:rPr>
      </w:pPr>
      <w:r>
        <w:rPr>
          <w:rFonts w:hint="eastAsia"/>
          <w:b/>
        </w:rPr>
        <w:t>第十三条 其它</w:t>
      </w:r>
    </w:p>
    <w:p>
      <w:pPr>
        <w:spacing w:line="360" w:lineRule="auto"/>
        <w:ind w:firstLine="420" w:firstLineChars="200"/>
      </w:pPr>
      <w:r>
        <w:rPr>
          <w:rFonts w:hint="eastAsia"/>
        </w:rPr>
        <w:t>本合同未尽事宜，由甲乙双方另行签订补充协议，补充协议是本合同的组成部分，与本合同具有同等法律效力。</w:t>
      </w:r>
    </w:p>
    <w:p>
      <w:pPr>
        <w:spacing w:line="360" w:lineRule="auto"/>
        <w:ind w:firstLine="420" w:firstLineChars="200"/>
      </w:pPr>
      <w:r>
        <w:rPr>
          <w:rFonts w:hint="eastAsia"/>
        </w:rPr>
        <w:t>本合同壹式肆份，甲方执叁份，乙方执壹份。自双方签字、盖章之日生效。</w:t>
      </w:r>
    </w:p>
    <w:p>
      <w:pPr>
        <w:spacing w:line="360" w:lineRule="auto"/>
        <w:ind w:left="720" w:firstLine="420" w:firstLineChars="200"/>
      </w:pPr>
      <w:r>
        <w:t> </w:t>
      </w:r>
    </w:p>
    <w:p>
      <w:pPr>
        <w:spacing w:line="360" w:lineRule="auto"/>
        <w:ind w:left="720" w:firstLine="420" w:firstLineChars="200"/>
      </w:pPr>
    </w:p>
    <w:p>
      <w:pPr>
        <w:spacing w:line="360" w:lineRule="auto"/>
      </w:pPr>
    </w:p>
    <w:p>
      <w:pPr>
        <w:spacing w:line="360" w:lineRule="auto"/>
        <w:ind w:left="720" w:firstLine="14" w:firstLineChars="7"/>
      </w:pPr>
      <w:r>
        <w:rPr>
          <w:rFonts w:hint="eastAsia"/>
        </w:rPr>
        <w:t>甲方（盖章）</w:t>
      </w:r>
      <w:r>
        <w:t xml:space="preserve">                                 </w:t>
      </w:r>
      <w:r>
        <w:rPr>
          <w:rFonts w:hint="eastAsia"/>
        </w:rPr>
        <w:t>乙方（盖章）</w:t>
      </w:r>
    </w:p>
    <w:p>
      <w:pPr>
        <w:spacing w:line="360" w:lineRule="auto"/>
        <w:ind w:left="720" w:firstLine="420" w:firstLineChars="200"/>
      </w:pPr>
    </w:p>
    <w:p>
      <w:pPr>
        <w:spacing w:line="360" w:lineRule="auto"/>
        <w:ind w:left="720" w:firstLine="420" w:firstLineChars="200"/>
      </w:pPr>
    </w:p>
    <w:p>
      <w:pPr>
        <w:spacing w:line="360" w:lineRule="auto"/>
        <w:ind w:left="720" w:firstLine="14" w:firstLineChars="7"/>
      </w:pPr>
      <w:r>
        <w:rPr>
          <w:rFonts w:hint="eastAsia"/>
        </w:rPr>
        <w:t xml:space="preserve">签约代表     </w:t>
      </w:r>
      <w:r>
        <w:t xml:space="preserve">                                </w:t>
      </w:r>
      <w:r>
        <w:rPr>
          <w:rFonts w:hint="eastAsia"/>
        </w:rPr>
        <w:t>签约代表</w:t>
      </w:r>
    </w:p>
    <w:p>
      <w:pPr>
        <w:spacing w:line="360" w:lineRule="auto"/>
        <w:ind w:left="720" w:firstLine="420" w:firstLineChars="200"/>
      </w:pPr>
    </w:p>
    <w:p>
      <w:pPr>
        <w:spacing w:line="360" w:lineRule="auto"/>
        <w:ind w:left="90" w:leftChars="43" w:firstLine="1050" w:firstLineChars="500"/>
      </w:pPr>
      <w:r>
        <w:rPr>
          <w:rFonts w:hint="eastAsia"/>
        </w:rPr>
        <w:t xml:space="preserve">   </w:t>
      </w:r>
      <w:r>
        <w:t xml:space="preserve">                                              </w:t>
      </w:r>
    </w:p>
    <w:p>
      <w:pPr>
        <w:spacing w:line="360" w:lineRule="auto"/>
        <w:ind w:left="90" w:leftChars="43" w:firstLine="1050" w:firstLineChars="500"/>
      </w:pPr>
    </w:p>
    <w:p>
      <w:pPr>
        <w:spacing w:line="360" w:lineRule="auto"/>
        <w:ind w:left="90" w:leftChars="43" w:firstLine="644" w:firstLineChars="307"/>
      </w:pPr>
      <w:r>
        <w:t>______</w:t>
      </w:r>
      <w:r>
        <w:rPr>
          <w:rFonts w:hint="eastAsia"/>
        </w:rPr>
        <w:t>年</w:t>
      </w:r>
      <w:r>
        <w:t>___</w:t>
      </w:r>
      <w:r>
        <w:rPr>
          <w:rFonts w:hint="eastAsia"/>
          <w:u w:val="single"/>
        </w:rPr>
        <w:t xml:space="preserve">   </w:t>
      </w:r>
      <w:r>
        <w:rPr>
          <w:rFonts w:hint="eastAsia"/>
        </w:rPr>
        <w:t>月</w:t>
      </w:r>
      <w:r>
        <w:t>__</w:t>
      </w:r>
      <w:r>
        <w:rPr>
          <w:rFonts w:hint="eastAsia"/>
          <w:u w:val="single"/>
        </w:rPr>
        <w:t xml:space="preserve">  </w:t>
      </w:r>
      <w:r>
        <w:t>__</w:t>
      </w:r>
      <w:r>
        <w:rPr>
          <w:rFonts w:hint="eastAsia"/>
        </w:rPr>
        <w:t xml:space="preserve">日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pPr>
        <w:rPr>
          <w:rFonts w:hint="eastAsia"/>
        </w:rPr>
      </w:pPr>
    </w:p>
    <w:p>
      <w:pPr>
        <w:pStyle w:val="35"/>
      </w:pPr>
    </w:p>
    <w:p>
      <w:pP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pPr>
      <w:bookmarkStart w:id="185" w:name="_Toc3728"/>
      <w:bookmarkStart w:id="186" w:name="_Toc16593"/>
      <w:bookmarkStart w:id="187" w:name="_Toc7319"/>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br w:type="page"/>
      </w: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t>第五章</w:t>
      </w:r>
      <w:r>
        <w:rPr>
          <w:rFonts w:hint="eastAsia" w:ascii="Times New Roman" w:hAnsi="Times New Roman" w:eastAsia="宋体" w:cs="Times New Roman"/>
          <w:b/>
          <w:bCs/>
          <w:color w:val="000000" w:themeColor="text1"/>
          <w:spacing w:val="2"/>
          <w:kern w:val="0"/>
          <w:sz w:val="32"/>
          <w:szCs w:val="32"/>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技术标准和要求</w:t>
      </w:r>
      <w:bookmarkEnd w:id="185"/>
      <w:bookmarkEnd w:id="186"/>
      <w:bookmarkEnd w:id="187"/>
    </w:p>
    <w:p>
      <w:pPr>
        <w:numPr>
          <w:ilvl w:val="0"/>
          <w:numId w:val="0"/>
        </w:numPr>
        <w:jc w:val="both"/>
        <w:rPr>
          <w:rFonts w:hint="eastAsia" w:asciiTheme="minorEastAsia" w:hAnsiTheme="minorEastAsia" w:eastAsiaTheme="minorEastAsia" w:cstheme="minorEastAsia"/>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A包：耳鼻喉图文工作站</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一、医用内窥镜摄像系统（含摄像主机和摄像头）</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1、主芯片：数字全高清成像器件，1/1.8 CMOS</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2、分辨率：1920*1080 P，逐行扫描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3、扫描频率：≥60帧高速无拖影传输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4、支持输出格式：16:9、16:10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5、调制传递函数：MTF为50%≥55lp/mm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6、亮度响应特性：≥0.98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7、空间频率响应：SFR50%≥15C/°</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8、静态图像宽容度：40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9、★智能医用LED双液晶感控触摸屏，可在触屏进行功能设置和参数调节，实时显示图像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10、视频输出端口：HDMI*4，BNC*1，VGA*1，SDI*1、RS232*1(网络远程数据控制接口）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11、支持2K、4K,31寸、32寸、43寸、55寸及以上监视器图像传输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12、专业集成抗干扰模组，解决手术环境中磁场及静电干扰</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13、★数字全高清摄像头防水：IPX8防水级别，支持低温等离子消毒</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14、手术视野，调焦范围：F14至F35定焦及变焦光学适配器，国际C型标准，可根据医院科室需求选择不同光学适配器，可连接国内外硬管及纤维内窥镜。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15、★数字全高清摄像头：摄像头具有5个按键，具有亮度调节，影像冻结，放大等15种调节模式满足临床手术要求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w:t>
      </w:r>
      <w:r>
        <w:rPr>
          <w:rFonts w:hint="eastAsia" w:ascii="宋体" w:hAnsi="宋体" w:cs="宋体"/>
          <w:iCs/>
          <w:sz w:val="22"/>
          <w:szCs w:val="22"/>
          <w:u w:val="none"/>
          <w:lang w:val="en-US" w:eastAsia="zh-CN"/>
        </w:rPr>
        <w:t>6</w:t>
      </w:r>
      <w:r>
        <w:rPr>
          <w:rFonts w:hint="eastAsia" w:ascii="宋体" w:hAnsi="宋体" w:eastAsia="宋体" w:cs="宋体"/>
          <w:iCs/>
          <w:sz w:val="22"/>
          <w:szCs w:val="22"/>
          <w:u w:val="none"/>
        </w:rPr>
        <w:t>、支持互联网远程服务、远程升级、手术直播、手术示教、实时调节等功能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二、LED医用内窥镜冷光源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1、采用LED发光组件，稳定性强，抗震性强</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2、智能医用LED液晶感控触摸屏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3、液晶屏实时显示LED灯珠温度</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4、★LED发光寿命6万小时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5、色温5500K±20％，通透性好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6、光输出孔直径为（10±0.30）mm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7、显色指数；≧90。输入功率：150VA</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三、显示器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1、≥24寸液晶屏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2、比例；16:10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3、分辨率；≥1920×1200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4、色彩；≥1670万</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5、对比度；1000:1</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6、视角；178/178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7、响应时间；8ms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四、配件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1、光学接口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2、玻璃光纤束：φ4mm*2500mm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3、仪器台车：托板间距可自行调整，方便移动，具有静音、带锁轮</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五、配置清单：</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6"/>
        <w:gridCol w:w="2205"/>
        <w:gridCol w:w="2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名称</w:t>
            </w:r>
          </w:p>
        </w:tc>
        <w:tc>
          <w:tcPr>
            <w:tcW w:w="22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数量</w:t>
            </w:r>
          </w:p>
        </w:tc>
        <w:tc>
          <w:tcPr>
            <w:tcW w:w="25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医用摄像系统主机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医用冷光源</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摄像头</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台车</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高清工作站</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远程控制软件</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电脑+打印机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耳镜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鼻镜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喉镜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bl>
    <w:p>
      <w:pPr>
        <w:pStyle w:val="35"/>
        <w:rPr>
          <w:rFonts w:hint="eastAsia" w:ascii="宋体" w:hAnsi="宋体" w:eastAsia="宋体" w:cs="宋体"/>
          <w:sz w:val="21"/>
          <w:szCs w:val="21"/>
        </w:rPr>
      </w:pPr>
    </w:p>
    <w:p>
      <w:pPr>
        <w:numPr>
          <w:ilvl w:val="0"/>
          <w:numId w:val="0"/>
        </w:numPr>
        <w:jc w:val="both"/>
        <w:rPr>
          <w:rFonts w:hint="eastAsia" w:asciiTheme="minorEastAsia" w:hAnsiTheme="minorEastAsia" w:eastAsia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B包：便携式彩色多普勒超声系统</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18"/>
        <w:tblW w:w="8880" w:type="dxa"/>
        <w:tblInd w:w="0" w:type="dxa"/>
        <w:tblLayout w:type="fixed"/>
        <w:tblCellMar>
          <w:top w:w="15" w:type="dxa"/>
          <w:left w:w="15" w:type="dxa"/>
          <w:bottom w:w="15" w:type="dxa"/>
          <w:right w:w="15" w:type="dxa"/>
        </w:tblCellMar>
      </w:tblPr>
      <w:tblGrid>
        <w:gridCol w:w="8880"/>
      </w:tblGrid>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bookmarkStart w:id="188" w:name="_Hlk144969578"/>
            <w:r>
              <w:rPr>
                <w:rFonts w:hint="eastAsia" w:ascii="宋体" w:hAnsi="宋体" w:cs="宋体"/>
                <w:kern w:val="0"/>
                <w:sz w:val="22"/>
                <w:szCs w:val="22"/>
                <w:lang w:bidi="ar"/>
              </w:rPr>
              <w:t>1、应用于全身超声检查：腹部、妇科、心脏、小器官、泌尿、血管、儿科、急诊及其它</w:t>
            </w:r>
          </w:p>
        </w:tc>
      </w:tr>
      <w:tr>
        <w:tblPrEx>
          <w:tblCellMar>
            <w:top w:w="15" w:type="dxa"/>
            <w:left w:w="15" w:type="dxa"/>
            <w:bottom w:w="15" w:type="dxa"/>
            <w:right w:w="15" w:type="dxa"/>
          </w:tblCellMar>
        </w:tblPrEx>
        <w:trPr>
          <w:trHeight w:val="3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2、探头接口1个，为无针式接口。</w:t>
            </w:r>
          </w:p>
        </w:tc>
      </w:tr>
      <w:tr>
        <w:tblPrEx>
          <w:tblCellMar>
            <w:top w:w="15" w:type="dxa"/>
            <w:left w:w="15" w:type="dxa"/>
            <w:bottom w:w="15" w:type="dxa"/>
            <w:right w:w="15" w:type="dxa"/>
          </w:tblCellMar>
        </w:tblPrEx>
        <w:trPr>
          <w:trHeight w:val="348"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3、探头配置：单晶体相控阵、凸阵、线阵探头。</w:t>
            </w:r>
          </w:p>
        </w:tc>
      </w:tr>
      <w:tr>
        <w:tblPrEx>
          <w:tblCellMar>
            <w:top w:w="15" w:type="dxa"/>
            <w:left w:w="15" w:type="dxa"/>
            <w:bottom w:w="15" w:type="dxa"/>
            <w:right w:w="15" w:type="dxa"/>
          </w:tblCellMar>
        </w:tblPrEx>
        <w:trPr>
          <w:trHeight w:val="32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w:t>
            </w:r>
            <w:r>
              <w:rPr>
                <w:rFonts w:ascii="宋体" w:hAnsi="宋体" w:cs="宋体"/>
                <w:kern w:val="0"/>
                <w:sz w:val="22"/>
                <w:szCs w:val="22"/>
              </w:rPr>
              <w:t>★</w:t>
            </w:r>
            <w:r>
              <w:rPr>
                <w:rFonts w:hint="eastAsia" w:ascii="宋体" w:hAnsi="宋体" w:cs="宋体"/>
                <w:kern w:val="0"/>
                <w:sz w:val="22"/>
                <w:szCs w:val="22"/>
                <w:lang w:bidi="ar"/>
              </w:rPr>
              <w:t>质量层次：国产，且在品牌所在国制造生产。</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一、主机及技术参数要求：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1、通用功能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w:t>
            </w:r>
            <w:r>
              <w:rPr>
                <w:rFonts w:ascii="宋体" w:hAnsi="宋体" w:cs="宋体"/>
                <w:kern w:val="0"/>
                <w:sz w:val="22"/>
                <w:szCs w:val="22"/>
              </w:rPr>
              <w:t>★</w:t>
            </w:r>
            <w:r>
              <w:rPr>
                <w:rFonts w:hint="eastAsia" w:ascii="宋体" w:hAnsi="宋体" w:cs="宋体"/>
                <w:kern w:val="0"/>
                <w:sz w:val="22"/>
                <w:szCs w:val="22"/>
                <w:lang w:bidi="ar"/>
              </w:rPr>
              <w:t>彩色液晶显示器≥15英寸，传统轨迹球操作面板设计</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rPr>
                <w:rFonts w:hint="eastAsia" w:ascii="宋体" w:hAnsi="宋体" w:cs="宋体"/>
                <w:sz w:val="22"/>
                <w:szCs w:val="22"/>
              </w:rPr>
            </w:pPr>
            <w:r>
              <w:rPr>
                <w:rFonts w:hint="eastAsia" w:ascii="宋体" w:hAnsi="宋体" w:cs="宋体"/>
                <w:sz w:val="22"/>
                <w:szCs w:val="22"/>
              </w:rPr>
              <w:t>1.2、 扩展成像技术 ，支持线阵探头、凸阵探头</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 测量和分析:(B型,M型,频谱多普勒,彩色多普勒)</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1.3.1一般测量</w:t>
            </w:r>
          </w:p>
        </w:tc>
      </w:tr>
      <w:tr>
        <w:tblPrEx>
          <w:tblCellMar>
            <w:top w:w="15" w:type="dxa"/>
            <w:left w:w="15" w:type="dxa"/>
            <w:bottom w:w="15" w:type="dxa"/>
            <w:right w:w="15" w:type="dxa"/>
          </w:tblCellMar>
        </w:tblPrEx>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1.3.2  产科测量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1.3.3  心脏功能测量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1.3.4  妇科测量包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1.3.5  神经测量包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1.3.6  腹部测量包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1.3.7  急诊科测量包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1.3.8  外周血管血流测量分析报告功能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1.4、主机标配探头接口：1个，配备一拖三扩展器。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1.5、台车可升降</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1.6、二维灰阶模式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1.7、谐波成像模式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1.8、M型模式、彩色M型模式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★1.9、解剖M型模式，</w:t>
            </w:r>
            <w:r>
              <w:rPr>
                <w:rFonts w:hint="eastAsia" w:ascii="宋体" w:hAnsi="宋体" w:cs="宋体"/>
                <w:sz w:val="22"/>
                <w:szCs w:val="22"/>
              </w:rPr>
              <w:t>要求具有≥2条取样线，要求能360度任意旋转角度，同时要求支持实时扫描以及后处理离线分析过程中重构M型图像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1.10、具有组织特征成像，能够独立选择肌肉、常规、脂肪、液性成像模式</w:t>
            </w:r>
          </w:p>
        </w:tc>
      </w:tr>
      <w:tr>
        <w:tblPrEx>
          <w:tblCellMar>
            <w:top w:w="15" w:type="dxa"/>
            <w:left w:w="15" w:type="dxa"/>
            <w:bottom w:w="15" w:type="dxa"/>
            <w:right w:w="15" w:type="dxa"/>
          </w:tblCellMar>
        </w:tblPrEx>
        <w:trPr>
          <w:trHeight w:val="64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1.11、彩色多普勒成像（包括彩色、能量、方向能量多普勒模式）</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1.11.1、多普勒频率≥2段可视可独立调节</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1.11.2、B/Color双幅实时显示</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1.11.3、扫描帧率最大帧频≥260帧／秒</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1.12、频谱多普勒成像 </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1.12.1  支持脉冲多普勒（PW），高脉冲重复频率（HPRF）,连续多普勒（CW）模式</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1.12.2  取样宽度及位置范围：0.5mm~20mm</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1.12.3  线阵探头多普勒取样线偏转≥±20°可调</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1.12.4  多普勒取样音可开关，音量大小可调</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1.13、组织多普勒成像（包括TVI, TVD, TVM, TEI4种模式，提供图片证明）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 xml:space="preserve">1.14、宽景成像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1.15、空间复合成像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1.16、斑点噪声抑制技术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w:t>
            </w:r>
            <w:r>
              <w:rPr>
                <w:rFonts w:ascii="宋体" w:hAnsi="宋体" w:cs="宋体"/>
                <w:kern w:val="0"/>
                <w:sz w:val="22"/>
                <w:szCs w:val="22"/>
                <w:lang w:bidi="ar"/>
              </w:rPr>
              <w:t>17</w:t>
            </w:r>
            <w:r>
              <w:rPr>
                <w:rFonts w:ascii="宋体" w:hAnsi="宋体" w:cs="宋体"/>
                <w:kern w:val="0"/>
                <w:sz w:val="22"/>
                <w:szCs w:val="22"/>
              </w:rPr>
              <w:t>★</w:t>
            </w:r>
            <w:r>
              <w:rPr>
                <w:rFonts w:hint="eastAsia" w:ascii="宋体" w:hAnsi="宋体" w:cs="宋体"/>
                <w:kern w:val="0"/>
                <w:sz w:val="22"/>
                <w:szCs w:val="22"/>
                <w:lang w:bidi="ar"/>
              </w:rPr>
              <w:t>造影成像及造影定量分析功能</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.1支持浅表、腹部探头</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.2支持微血管造影成像</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.3支持造影图和组织图位置互换</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1.17.</w:t>
            </w:r>
            <w:r>
              <w:rPr>
                <w:rFonts w:ascii="宋体" w:hAnsi="宋体" w:cs="宋体"/>
                <w:kern w:val="0"/>
                <w:sz w:val="22"/>
                <w:szCs w:val="22"/>
                <w:lang w:bidi="ar"/>
              </w:rPr>
              <w:t>4</w:t>
            </w:r>
            <w:r>
              <w:rPr>
                <w:rFonts w:hint="eastAsia" w:ascii="宋体" w:hAnsi="宋体" w:cs="宋体"/>
                <w:kern w:val="0"/>
                <w:sz w:val="22"/>
                <w:szCs w:val="22"/>
                <w:lang w:bidi="ar"/>
              </w:rPr>
              <w:t>支持造影定量分析曲线显示和表格显示</w:t>
            </w:r>
          </w:p>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1.17.</w:t>
            </w:r>
            <w:r>
              <w:rPr>
                <w:rFonts w:ascii="宋体" w:hAnsi="宋体" w:cs="宋体"/>
                <w:kern w:val="0"/>
                <w:sz w:val="22"/>
                <w:szCs w:val="22"/>
                <w:lang w:bidi="ar"/>
              </w:rPr>
              <w:t>5</w:t>
            </w:r>
            <w:r>
              <w:rPr>
                <w:rFonts w:hint="eastAsia" w:ascii="宋体" w:hAnsi="宋体" w:cs="宋体"/>
                <w:kern w:val="0"/>
                <w:sz w:val="22"/>
                <w:szCs w:val="22"/>
                <w:lang w:bidi="ar"/>
              </w:rPr>
              <w:t>支持运动追踪功能</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★1.18、心脏检查支持兼容高速血流和低速血流同时显示技术</w:t>
            </w:r>
          </w:p>
        </w:tc>
      </w:tr>
      <w:tr>
        <w:tblPrEx>
          <w:tblCellMar>
            <w:top w:w="15" w:type="dxa"/>
            <w:left w:w="15" w:type="dxa"/>
            <w:bottom w:w="15" w:type="dxa"/>
            <w:right w:w="15" w:type="dxa"/>
          </w:tblCellMar>
        </w:tblPrEx>
        <w:trPr>
          <w:trHeight w:val="82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★1.19、心腔心肌对比显示技术，降低心腔噪声，提升心肌心腔对比显示率，获得优异的心脏图像</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1.20、★弹性成像及定量分析单元</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.1组织硬度定量分析软件和压力曲线提示图标</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.2支持应变率测量和肿块周边组织弹性定量分析（提供证明图片）</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1.21、图像局部放大功能(实时和冻结放大，放大倍率≥8倍)，支持智能全屏放大实时显示功能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1.22、支持自动工作流协议，试用于体检中心、超声科等重复性检查，可以用户自定义操作流，节约检查时间，提升工作效率</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★1.23、支持基于辛普森的自动左心室收缩功能测量</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1.24、穿刺针增强技术，可以增强针尖针体的显示，提高穿刺的可视性</w:t>
            </w:r>
          </w:p>
        </w:tc>
      </w:tr>
      <w:tr>
        <w:tblPrEx>
          <w:tblCellMar>
            <w:top w:w="15" w:type="dxa"/>
            <w:left w:w="15" w:type="dxa"/>
            <w:bottom w:w="15" w:type="dxa"/>
            <w:right w:w="15" w:type="dxa"/>
          </w:tblCellMar>
        </w:tblPrEx>
        <w:trPr>
          <w:trHeight w:val="81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1.25、支持移动终端系统：超声设备与智能设备无线连接，通过无线连接将超声机器的临床图像传输到手机或平板电脑,方便医生会诊。</w:t>
            </w:r>
          </w:p>
        </w:tc>
      </w:tr>
      <w:tr>
        <w:tblPrEx>
          <w:tblCellMar>
            <w:top w:w="15" w:type="dxa"/>
            <w:left w:w="15" w:type="dxa"/>
            <w:bottom w:w="15" w:type="dxa"/>
            <w:right w:w="15" w:type="dxa"/>
          </w:tblCellMar>
        </w:tblPrEx>
        <w:trPr>
          <w:trHeight w:val="49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1.26、预设置全面检查条件，一键快速切换至所需模式界面</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★1.27、自助超声教学系统，帮助医生更快掌握超声扫查的手法，实现标准化</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1.28、全中文操作系统界面、操作菜单并可选多种语言。</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1.29、 图像存储与(电影)回放重现单元：支持同步存储(支持单帧图像文件包含： DCM、TIFF、BMP、JEPG单帧，电影文件包括：CIN、AVI、DCM)，即后台存储或导出图像数据的同时前台可以完成实时扫描。直接一键存储至硬盘，无需格式转换；支持网格硬盘直接存储；突然关机或未结束检查关机资料不丢失</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2.探头规格</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2.1、超宽频变频探头，基波、谐波、彩色、多普勒模式下独立变频均≥3种</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2.2、凸振探头：频率范围1.5-5.0MHz，最大显示深度≥38cm（提供证明图片）</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2.3、线阵探头：频率范围3.0-13.0MHz</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2.4</w:t>
            </w:r>
            <w:r>
              <w:rPr>
                <w:rFonts w:ascii="宋体" w:hAnsi="宋体" w:cs="宋体"/>
                <w:kern w:val="0"/>
                <w:sz w:val="22"/>
                <w:szCs w:val="22"/>
              </w:rPr>
              <w:t>★</w:t>
            </w:r>
            <w:r>
              <w:rPr>
                <w:rFonts w:hint="eastAsia" w:ascii="宋体" w:hAnsi="宋体" w:cs="宋体"/>
                <w:kern w:val="0"/>
                <w:sz w:val="22"/>
                <w:szCs w:val="22"/>
                <w:lang w:bidi="ar"/>
              </w:rPr>
              <w:t xml:space="preserve">单晶体相控阵探头：频率范围1.2-4.2MHz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lang w:bidi="ar"/>
              </w:rPr>
              <w:t>2.5</w:t>
            </w:r>
            <w:r>
              <w:rPr>
                <w:rFonts w:ascii="宋体" w:hAnsi="宋体" w:cs="宋体"/>
                <w:kern w:val="0"/>
                <w:sz w:val="22"/>
                <w:szCs w:val="22"/>
              </w:rPr>
              <w:t>★</w:t>
            </w:r>
            <w:r>
              <w:rPr>
                <w:rFonts w:hint="eastAsia" w:ascii="宋体" w:hAnsi="宋体" w:cs="宋体"/>
                <w:kern w:val="0"/>
                <w:sz w:val="22"/>
                <w:szCs w:val="22"/>
                <w:lang w:bidi="ar"/>
              </w:rPr>
              <w:t>可选配经食道探头，带宽：4.0-7.0MHZ</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rPr>
              <w:t>2.6★生产厂家可生产探头类型：相控阵、电子扇扫、凸阵、线阵、腔内、容积探头、经食道探头，双平面探头，腹腔镜探头。</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3、系统技术参数及要求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3.1、二维灰阶成像单元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3.1.1、数字波束增强器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3.1.2、接收方式：发射、接收通道≥60,000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3.1.3、最大显示深度:≥38cm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3.1.4、最大帧率: ≥800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★3.1.5、TGC: ≥8段,LGC:≥4段</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3.2、彩色多普勒参数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3.2.1、包括彩色、能量、方向性能量多普勒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3.2.2、支持高分辨率血流模式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3.2.3、取样框偏转: ±30度 (线阵探头)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3.2.4、最大帧率: ≥260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3.3、频谱多普勒参数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3.3.1、频谱多普勒模式：包括脉冲多普勒、高脉冲重复频率、连续多普勒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3.3.2、频谱多普勒最大速度≥7.0m/s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3.3.3、连续多普勒速度最大速度≥30.0m/s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3.3.4、取样容积: 0.5-20mm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4、测量功能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4.1、具备常规测量：包括距离、周长、面积、预产期、分娩日期等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4.2、妇产科测量：多胞胎对比测量分析，胎儿生长曲线显示、生理评分 </w:t>
            </w:r>
          </w:p>
        </w:tc>
      </w:tr>
      <w:tr>
        <w:tblPrEx>
          <w:tblCellMar>
            <w:top w:w="15" w:type="dxa"/>
            <w:left w:w="15" w:type="dxa"/>
            <w:bottom w:w="15" w:type="dxa"/>
            <w:right w:w="15" w:type="dxa"/>
          </w:tblCellMar>
        </w:tblPrEx>
        <w:trPr>
          <w:trHeight w:val="46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★4.3、血管内中膜自动测量，取样框选定后自动计算血管前/后壁内中膜的厚度，测量角度。</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4.4、胎儿心脏评分用于胎儿心脏发育异常产前筛查评估，支持心脏≥15个测量项目，并同时获得胎儿心脏发育评分。</w:t>
            </w:r>
          </w:p>
        </w:tc>
      </w:tr>
      <w:tr>
        <w:tblPrEx>
          <w:tblCellMar>
            <w:top w:w="15" w:type="dxa"/>
            <w:left w:w="15" w:type="dxa"/>
            <w:bottom w:w="15" w:type="dxa"/>
            <w:right w:w="15" w:type="dxa"/>
          </w:tblCellMar>
        </w:tblPrEx>
        <w:trPr>
          <w:trHeight w:val="41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4.5、</w:t>
            </w:r>
            <w:r>
              <w:rPr>
                <w:rFonts w:hint="eastAsia" w:ascii="宋体" w:hAnsi="宋体" w:cs="宋体"/>
                <w:sz w:val="22"/>
                <w:szCs w:val="22"/>
              </w:rPr>
              <w:t xml:space="preserve"> 外周血管专用测量及分析</w:t>
            </w:r>
          </w:p>
        </w:tc>
      </w:tr>
      <w:tr>
        <w:tblPrEx>
          <w:tblCellMar>
            <w:top w:w="15" w:type="dxa"/>
            <w:left w:w="15" w:type="dxa"/>
            <w:bottom w:w="15" w:type="dxa"/>
            <w:right w:w="15" w:type="dxa"/>
          </w:tblCellMar>
        </w:tblPrEx>
        <w:trPr>
          <w:trHeight w:val="424" w:hRule="atLeast"/>
        </w:trPr>
        <w:tc>
          <w:tcPr>
            <w:tcW w:w="8880" w:type="dxa"/>
            <w:tcBorders>
              <w:top w:val="nil"/>
              <w:left w:val="nil"/>
              <w:bottom w:val="nil"/>
              <w:right w:val="nil"/>
            </w:tcBorders>
            <w:vAlign w:val="center"/>
          </w:tcPr>
          <w:p>
            <w:pPr>
              <w:autoSpaceDE w:val="0"/>
              <w:autoSpaceDN w:val="0"/>
              <w:adjustRightInd w:val="0"/>
              <w:jc w:val="left"/>
              <w:rPr>
                <w:rFonts w:hint="eastAsia" w:ascii="宋体" w:hAnsi="宋体" w:cs="宋体"/>
                <w:kern w:val="0"/>
                <w:sz w:val="22"/>
                <w:szCs w:val="22"/>
                <w:lang w:bidi="ar"/>
              </w:rPr>
            </w:pPr>
            <w:r>
              <w:rPr>
                <w:rFonts w:hint="eastAsia" w:ascii="宋体" w:hAnsi="宋体" w:cs="宋体"/>
                <w:kern w:val="0"/>
                <w:sz w:val="22"/>
                <w:szCs w:val="22"/>
                <w:lang w:bidi="ar"/>
              </w:rPr>
              <w:t>4.6、</w:t>
            </w:r>
            <w:r>
              <w:rPr>
                <w:rFonts w:hint="eastAsia" w:ascii="宋体" w:hAnsi="宋体" w:cs="宋体"/>
                <w:sz w:val="22"/>
                <w:szCs w:val="22"/>
              </w:rPr>
              <w:t>心脏功能专用测量及分析</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ind w:left="220" w:hanging="220" w:hangingChars="100"/>
              <w:rPr>
                <w:rFonts w:hint="eastAsia" w:ascii="宋体" w:hAnsi="宋体" w:cs="宋体"/>
                <w:kern w:val="0"/>
                <w:sz w:val="22"/>
                <w:szCs w:val="22"/>
                <w:lang w:bidi="ar"/>
              </w:rPr>
            </w:pPr>
            <w:r>
              <w:rPr>
                <w:rFonts w:hint="eastAsia" w:ascii="宋体" w:hAnsi="宋体" w:cs="宋体"/>
                <w:sz w:val="22"/>
                <w:szCs w:val="22"/>
              </w:rPr>
              <w:t>4.6.1、左室心功能计算方法支持Teichholz，Cube,Gibson，Simpson Single-plane，Simpson-Bi-plane,Modified Simpson,Bullet,S-P Ellipse，B-P Ellipse</w:t>
            </w:r>
          </w:p>
        </w:tc>
      </w:tr>
      <w:tr>
        <w:tblPrEx>
          <w:tblCellMar>
            <w:top w:w="15" w:type="dxa"/>
            <w:left w:w="15" w:type="dxa"/>
            <w:bottom w:w="15" w:type="dxa"/>
            <w:right w:w="15" w:type="dxa"/>
          </w:tblCellMar>
        </w:tblPrEx>
        <w:trPr>
          <w:trHeight w:val="48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4.6.2、支持左室TEI指数，右室TEI指数</w:t>
            </w:r>
          </w:p>
        </w:tc>
      </w:tr>
      <w:tr>
        <w:tblPrEx>
          <w:tblCellMar>
            <w:top w:w="15" w:type="dxa"/>
            <w:left w:w="15" w:type="dxa"/>
            <w:bottom w:w="15" w:type="dxa"/>
            <w:right w:w="15" w:type="dxa"/>
          </w:tblCellMar>
        </w:tblPrEx>
        <w:trPr>
          <w:trHeight w:val="45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4.6.3、左室心肌重量计算方法支持长度面积法，截断椭圆法，Cube法</w:t>
            </w:r>
          </w:p>
        </w:tc>
      </w:tr>
      <w:tr>
        <w:tblPrEx>
          <w:tblCellMar>
            <w:top w:w="15" w:type="dxa"/>
            <w:left w:w="15" w:type="dxa"/>
            <w:bottom w:w="15" w:type="dxa"/>
            <w:right w:w="15" w:type="dxa"/>
          </w:tblCellMar>
        </w:tblPrEx>
        <w:trPr>
          <w:trHeight w:val="47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4.6.4、支持辛普森测左室收缩功能</w:t>
            </w:r>
          </w:p>
        </w:tc>
      </w:tr>
      <w:tr>
        <w:tblPrEx>
          <w:tblCellMar>
            <w:top w:w="15" w:type="dxa"/>
            <w:left w:w="15" w:type="dxa"/>
            <w:bottom w:w="15" w:type="dxa"/>
            <w:right w:w="15" w:type="dxa"/>
          </w:tblCellMar>
        </w:tblPrEx>
        <w:trPr>
          <w:trHeight w:val="45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4.7、多普勒测量及分析（自动或手动包络测量，自动计算测量参数）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5、检查存储和管理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5.1、≥200G固态硬盘 </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5.2、多种导出图像格式：动态图像、静态图像以PC格式直接导出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6、连通性要求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6.1、支持网络连接、DICOM 3.0  支持</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6.2、USB 3.0接口2个</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6.3、 外设数据模块：包含下列接口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ECG 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2 USB</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串行接口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1左/右音频输出接口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麦克风接口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遥控控制接口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复合视频输出接口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DVI-I 输出接口</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7、安全和认证</w:t>
            </w:r>
          </w:p>
        </w:tc>
      </w:tr>
      <w:tr>
        <w:tblPrEx>
          <w:tblCellMar>
            <w:top w:w="15" w:type="dxa"/>
            <w:left w:w="15" w:type="dxa"/>
            <w:bottom w:w="15" w:type="dxa"/>
            <w:right w:w="15" w:type="dxa"/>
          </w:tblCellMar>
        </w:tblPrEx>
        <w:trPr>
          <w:trHeight w:val="359"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 xml:space="preserve">二、 外设和附件     </w:t>
            </w:r>
          </w:p>
        </w:tc>
      </w:tr>
      <w:tr>
        <w:tblPrEx>
          <w:tblCellMar>
            <w:top w:w="15" w:type="dxa"/>
            <w:left w:w="15" w:type="dxa"/>
            <w:bottom w:w="15" w:type="dxa"/>
            <w:right w:w="15" w:type="dxa"/>
          </w:tblCellMar>
        </w:tblPrEx>
        <w:trPr>
          <w:trHeight w:val="50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1、具备专业探头放置架≥5个（不包括藕合剂放置架）</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2、支持数字黑白、模拟黑白、数字彩色、模拟彩色、文本及无线打印机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3、整机重量：≤</w:t>
            </w:r>
            <w:r>
              <w:rPr>
                <w:rFonts w:ascii="宋体" w:hAnsi="宋体" w:cs="宋体"/>
                <w:kern w:val="0"/>
                <w:sz w:val="22"/>
                <w:szCs w:val="22"/>
                <w:lang w:bidi="ar"/>
              </w:rPr>
              <w:t>6.5</w:t>
            </w:r>
            <w:r>
              <w:rPr>
                <w:rFonts w:hint="eastAsia" w:ascii="宋体" w:hAnsi="宋体" w:cs="宋体"/>
                <w:kern w:val="0"/>
                <w:sz w:val="22"/>
                <w:szCs w:val="22"/>
                <w:lang w:bidi="ar"/>
              </w:rPr>
              <w:t xml:space="preserve">Kg，（无外设）   </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三、 配置要求：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1、便携式彩色多普勒超声系统主机1台</w:t>
            </w:r>
          </w:p>
        </w:tc>
      </w:tr>
      <w:tr>
        <w:tblPrEx>
          <w:tblCellMar>
            <w:top w:w="15" w:type="dxa"/>
            <w:left w:w="15" w:type="dxa"/>
            <w:bottom w:w="15" w:type="dxa"/>
            <w:right w:w="15" w:type="dxa"/>
          </w:tblCellMar>
        </w:tblPrEx>
        <w:trPr>
          <w:trHeight w:val="401"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2、配置探头：腹部探头1把、浅表探头1把、心脏探头1把</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、技术及维修服务、备件、培训要求及其它</w:t>
            </w:r>
          </w:p>
        </w:tc>
      </w:tr>
      <w:tr>
        <w:tblPrEx>
          <w:tblCellMar>
            <w:top w:w="15" w:type="dxa"/>
            <w:left w:w="15" w:type="dxa"/>
            <w:bottom w:w="15" w:type="dxa"/>
            <w:right w:w="15" w:type="dxa"/>
          </w:tblCellMar>
        </w:tblPrEx>
        <w:trPr>
          <w:trHeight w:val="128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1</w:t>
            </w:r>
            <w:r>
              <w:rPr>
                <w:rFonts w:hint="eastAsia" w:ascii="宋体" w:hAnsi="宋体" w:cs="宋体"/>
                <w:kern w:val="0"/>
                <w:sz w:val="22"/>
                <w:szCs w:val="22"/>
                <w:lang w:bidi="ar"/>
              </w:rPr>
              <w:t>备件要求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卖方应在用户当地或省会中心城市设置备件库，存入所有必须的备件，保证必要时可以及时供应。</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2</w:t>
            </w:r>
            <w:r>
              <w:rPr>
                <w:rFonts w:hint="eastAsia" w:ascii="宋体" w:hAnsi="宋体" w:cs="宋体"/>
                <w:kern w:val="0"/>
                <w:sz w:val="22"/>
                <w:szCs w:val="22"/>
                <w:lang w:bidi="ar"/>
              </w:rPr>
              <w:t>技术培训要求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在用户当地或省会中心城市，卖方应配置专业技术人员提供现场技术培训，保证使用人员正常操作设备的各种功能。</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kern w:val="0"/>
                <w:sz w:val="22"/>
                <w:szCs w:val="22"/>
                <w:lang w:bidi="ar"/>
              </w:rPr>
              <w:t>★</w:t>
            </w:r>
            <w:r>
              <w:rPr>
                <w:rFonts w:hint="eastAsia" w:ascii="宋体" w:hAnsi="宋体" w:cs="宋体"/>
                <w:kern w:val="0"/>
                <w:sz w:val="22"/>
                <w:szCs w:val="22"/>
                <w:lang w:val="en-US" w:eastAsia="zh-CN" w:bidi="ar"/>
              </w:rPr>
              <w:t>4</w:t>
            </w:r>
            <w:r>
              <w:rPr>
                <w:rFonts w:hint="eastAsia" w:ascii="宋体" w:hAnsi="宋体" w:cs="宋体"/>
                <w:kern w:val="0"/>
                <w:sz w:val="22"/>
                <w:szCs w:val="22"/>
                <w:lang w:bidi="ar"/>
              </w:rPr>
              <w:t>、为适应医院信息化系统建设，保证医院远程会诊需要，制造商应具备生产远程超声会诊系统的能力（提供与超声主设备同品牌远程超声会诊系统医疗器械注册证为准）</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color w:val="auto"/>
                <w:kern w:val="0"/>
                <w:sz w:val="22"/>
                <w:szCs w:val="22"/>
                <w:lang w:bidi="ar"/>
              </w:rPr>
              <w:t>★</w:t>
            </w:r>
            <w:r>
              <w:rPr>
                <w:rFonts w:hint="eastAsia" w:ascii="宋体" w:hAnsi="宋体" w:cs="宋体"/>
                <w:color w:val="auto"/>
                <w:kern w:val="0"/>
                <w:sz w:val="22"/>
                <w:szCs w:val="22"/>
                <w:lang w:val="en-US" w:eastAsia="zh-CN" w:bidi="ar"/>
              </w:rPr>
              <w:t>5</w:t>
            </w:r>
            <w:r>
              <w:rPr>
                <w:rFonts w:hint="eastAsia" w:ascii="宋体" w:hAnsi="宋体" w:cs="宋体"/>
                <w:color w:val="auto"/>
                <w:kern w:val="0"/>
                <w:sz w:val="22"/>
                <w:szCs w:val="22"/>
                <w:lang w:bidi="ar"/>
              </w:rPr>
              <w:t>、整机（含探头）质保三年</w:t>
            </w:r>
          </w:p>
        </w:tc>
      </w:tr>
    </w:tbl>
    <w:p>
      <w:pPr>
        <w:rPr>
          <w:rFonts w:hint="eastAsia" w:ascii="宋体" w:hAnsi="宋体" w:eastAsia="宋体" w:cs="宋体"/>
          <w:sz w:val="22"/>
          <w:szCs w:val="22"/>
        </w:rPr>
      </w:pPr>
      <w:r>
        <w:rPr>
          <w:rFonts w:hint="eastAsia" w:ascii="宋体" w:hAnsi="宋体" w:eastAsia="宋体" w:cs="宋体"/>
          <w:sz w:val="22"/>
          <w:szCs w:val="22"/>
        </w:rPr>
        <w:t>产品配置清单：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4"/>
        <w:gridCol w:w="3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产品配置清单</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便携式超声主机</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腹部探头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浅表探头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心脏探头</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超声工作站（电脑，打印机，超声专用检查床，超声专用检查椅子）</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一套</w:t>
            </w:r>
          </w:p>
        </w:tc>
      </w:tr>
    </w:tbl>
    <w:p>
      <w:pPr>
        <w:spacing w:line="560" w:lineRule="exact"/>
        <w:jc w:val="left"/>
        <w:rPr>
          <w:rFonts w:ascii="仿宋" w:hAnsi="仿宋" w:eastAsia="仿宋"/>
          <w:sz w:val="32"/>
          <w:szCs w:val="32"/>
          <w:u w:val="single"/>
        </w:rPr>
      </w:pPr>
      <w:r>
        <w:rPr>
          <w:rFonts w:hint="eastAsia" w:ascii="宋体" w:hAnsi="宋体" w:eastAsia="宋体" w:cs="宋体"/>
          <w:sz w:val="22"/>
          <w:szCs w:val="22"/>
          <w:u w:val="none"/>
        </w:rPr>
        <w:t xml:space="preserve">    </w:t>
      </w:r>
      <w:r>
        <w:rPr>
          <w:rFonts w:hint="eastAsia" w:ascii="仿宋" w:hAnsi="仿宋" w:eastAsia="仿宋"/>
          <w:sz w:val="32"/>
          <w:szCs w:val="32"/>
          <w:u w:val="none"/>
        </w:rPr>
        <w:t xml:space="preserve">   </w:t>
      </w:r>
      <w:bookmarkEnd w:id="188"/>
    </w:p>
    <w:p>
      <w:pPr>
        <w:numPr>
          <w:ilvl w:val="0"/>
          <w:numId w:val="0"/>
        </w:numPr>
        <w:jc w:val="both"/>
        <w:rPr>
          <w:rFonts w:hint="eastAsia" w:asciiTheme="minorEastAsia" w:hAnsiTheme="minorEastAsia" w:eastAsiaTheme="minorEastAsia" w:cstheme="minorEastAsia"/>
          <w:b/>
          <w:bCs/>
          <w:sz w:val="28"/>
          <w:szCs w:val="32"/>
          <w:lang w:val="en-US" w:eastAsia="zh-CN"/>
        </w:rPr>
      </w:pPr>
      <w:bookmarkStart w:id="189" w:name="_Hlk144969768"/>
      <w:r>
        <w:rPr>
          <w:rFonts w:hint="eastAsia" w:asciiTheme="minorEastAsia" w:hAnsiTheme="minorEastAsia" w:cstheme="minorEastAsia"/>
          <w:b/>
          <w:bCs/>
          <w:sz w:val="28"/>
          <w:szCs w:val="32"/>
          <w:lang w:val="en-US" w:eastAsia="zh-CN"/>
        </w:rPr>
        <w:t>C包</w:t>
      </w:r>
      <w:r>
        <w:rPr>
          <w:rFonts w:hint="eastAsia" w:asciiTheme="minorEastAsia" w:hAnsiTheme="minorEastAsia" w:eastAsiaTheme="minorEastAsia" w:cstheme="minorEastAsia"/>
          <w:b/>
          <w:bCs/>
          <w:sz w:val="28"/>
          <w:szCs w:val="32"/>
          <w:lang w:val="en-US" w:eastAsia="zh-CN"/>
        </w:rPr>
        <w:t>：眼表综合分析仪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89"/>
    <w:p>
      <w:pPr>
        <w:rPr>
          <w:rFonts w:hint="eastAsia" w:ascii="宋体" w:hAnsi="宋体" w:eastAsia="宋体" w:cs="宋体"/>
          <w:sz w:val="22"/>
          <w:szCs w:val="22"/>
        </w:rPr>
      </w:pPr>
      <w:r>
        <w:rPr>
          <w:rFonts w:hint="eastAsia" w:ascii="宋体" w:hAnsi="宋体" w:eastAsia="宋体" w:cs="宋体"/>
          <w:sz w:val="22"/>
          <w:szCs w:val="22"/>
        </w:rPr>
        <w:t xml:space="preserve"> ★1、Placido环数量：50环</w:t>
      </w:r>
    </w:p>
    <w:p>
      <w:pPr>
        <w:rPr>
          <w:rFonts w:hint="eastAsia" w:ascii="宋体" w:hAnsi="宋体" w:eastAsia="宋体" w:cs="宋体"/>
          <w:sz w:val="22"/>
          <w:szCs w:val="22"/>
        </w:rPr>
      </w:pPr>
      <w:r>
        <w:rPr>
          <w:rFonts w:hint="eastAsia" w:ascii="宋体" w:hAnsi="宋体" w:eastAsia="宋体" w:cs="宋体"/>
          <w:sz w:val="22"/>
          <w:szCs w:val="22"/>
        </w:rPr>
        <w:t>2、检测点 ：18000个</w:t>
      </w:r>
    </w:p>
    <w:p>
      <w:pPr>
        <w:rPr>
          <w:rFonts w:hint="eastAsia" w:ascii="宋体" w:hAnsi="宋体" w:eastAsia="宋体" w:cs="宋体"/>
          <w:sz w:val="22"/>
          <w:szCs w:val="22"/>
        </w:rPr>
      </w:pPr>
      <w:r>
        <w:rPr>
          <w:rFonts w:hint="eastAsia" w:ascii="宋体" w:hAnsi="宋体" w:eastAsia="宋体" w:cs="宋体"/>
          <w:sz w:val="22"/>
          <w:szCs w:val="22"/>
        </w:rPr>
        <w:t>3、投影环直径：</w:t>
      </w:r>
    </w:p>
    <w:p>
      <w:pPr>
        <w:rPr>
          <w:rFonts w:hint="eastAsia" w:ascii="宋体" w:hAnsi="宋体" w:eastAsia="宋体" w:cs="宋体"/>
          <w:sz w:val="22"/>
          <w:szCs w:val="22"/>
        </w:rPr>
      </w:pPr>
      <w:r>
        <w:rPr>
          <w:rFonts w:hint="eastAsia" w:ascii="宋体" w:hAnsi="宋体" w:eastAsia="宋体" w:cs="宋体"/>
          <w:sz w:val="22"/>
          <w:szCs w:val="22"/>
        </w:rPr>
        <w:t>3.1、直径8.8mm(43D)</w:t>
      </w:r>
    </w:p>
    <w:p>
      <w:pPr>
        <w:rPr>
          <w:rFonts w:hint="eastAsia" w:ascii="宋体" w:hAnsi="宋体" w:eastAsia="宋体" w:cs="宋体"/>
          <w:sz w:val="22"/>
          <w:szCs w:val="22"/>
        </w:rPr>
      </w:pPr>
      <w:r>
        <w:rPr>
          <w:rFonts w:hint="eastAsia" w:ascii="宋体" w:hAnsi="宋体" w:eastAsia="宋体" w:cs="宋体"/>
          <w:sz w:val="22"/>
          <w:szCs w:val="22"/>
        </w:rPr>
        <w:t>3.2、直径11mm(43D)</w:t>
      </w:r>
    </w:p>
    <w:p>
      <w:pPr>
        <w:rPr>
          <w:rFonts w:hint="eastAsia" w:ascii="宋体" w:hAnsi="宋体" w:eastAsia="宋体" w:cs="宋体"/>
          <w:sz w:val="22"/>
          <w:szCs w:val="22"/>
        </w:rPr>
      </w:pPr>
      <w:r>
        <w:rPr>
          <w:rFonts w:hint="eastAsia" w:ascii="宋体" w:hAnsi="宋体" w:eastAsia="宋体" w:cs="宋体"/>
          <w:sz w:val="22"/>
          <w:szCs w:val="22"/>
        </w:rPr>
        <w:t>4、曲率半径：32.14D~61.36D (5.5mm~10.5mm)</w:t>
      </w:r>
    </w:p>
    <w:p>
      <w:pPr>
        <w:rPr>
          <w:rFonts w:hint="eastAsia" w:ascii="宋体" w:hAnsi="宋体" w:eastAsia="宋体" w:cs="宋体"/>
          <w:sz w:val="22"/>
          <w:szCs w:val="22"/>
        </w:rPr>
      </w:pPr>
      <w:r>
        <w:rPr>
          <w:rFonts w:hint="eastAsia" w:ascii="宋体" w:hAnsi="宋体" w:eastAsia="宋体" w:cs="宋体"/>
          <w:sz w:val="22"/>
          <w:szCs w:val="22"/>
        </w:rPr>
        <w:t>精度：土0.1D(±0.02mm)</w:t>
      </w:r>
    </w:p>
    <w:p>
      <w:pPr>
        <w:rPr>
          <w:rFonts w:hint="eastAsia" w:ascii="宋体" w:hAnsi="宋体" w:eastAsia="宋体" w:cs="宋体"/>
          <w:sz w:val="22"/>
          <w:szCs w:val="22"/>
        </w:rPr>
      </w:pPr>
      <w:r>
        <w:rPr>
          <w:rFonts w:hint="eastAsia" w:ascii="宋体" w:hAnsi="宋体" w:eastAsia="宋体" w:cs="宋体"/>
          <w:sz w:val="22"/>
          <w:szCs w:val="22"/>
        </w:rPr>
        <w:t>5、散光轴位：0~180°，允差：土2°</w:t>
      </w:r>
    </w:p>
    <w:p>
      <w:pPr>
        <w:rPr>
          <w:rFonts w:hint="eastAsia" w:ascii="宋体" w:hAnsi="宋体" w:eastAsia="宋体" w:cs="宋体"/>
          <w:sz w:val="22"/>
          <w:szCs w:val="22"/>
        </w:rPr>
      </w:pPr>
      <w:r>
        <w:rPr>
          <w:rFonts w:hint="eastAsia" w:ascii="宋体" w:hAnsi="宋体" w:eastAsia="宋体" w:cs="宋体"/>
          <w:sz w:val="22"/>
          <w:szCs w:val="22"/>
        </w:rPr>
        <w:t>6、白到白范围：6~17mm ，允差：土0.1mm</w:t>
      </w:r>
    </w:p>
    <w:p>
      <w:pPr>
        <w:rPr>
          <w:rFonts w:hint="eastAsia" w:ascii="宋体" w:hAnsi="宋体" w:eastAsia="宋体" w:cs="宋体"/>
          <w:sz w:val="22"/>
          <w:szCs w:val="22"/>
        </w:rPr>
      </w:pPr>
      <w:r>
        <w:rPr>
          <w:rFonts w:hint="eastAsia" w:ascii="宋体" w:hAnsi="宋体" w:eastAsia="宋体" w:cs="宋体"/>
          <w:sz w:val="22"/>
          <w:szCs w:val="22"/>
        </w:rPr>
        <w:t>7、瞳孔直径 ：1~13mm，允差：土0.1mm</w:t>
      </w:r>
    </w:p>
    <w:p>
      <w:pPr>
        <w:rPr>
          <w:rFonts w:hint="eastAsia" w:ascii="宋体" w:hAnsi="宋体" w:eastAsia="宋体" w:cs="宋体"/>
          <w:sz w:val="22"/>
          <w:szCs w:val="22"/>
        </w:rPr>
      </w:pPr>
      <w:r>
        <w:rPr>
          <w:rFonts w:hint="eastAsia" w:ascii="宋体" w:hAnsi="宋体" w:eastAsia="宋体" w:cs="宋体"/>
          <w:sz w:val="22"/>
          <w:szCs w:val="22"/>
        </w:rPr>
        <w:t>8、地形功能：</w:t>
      </w:r>
    </w:p>
    <w:p>
      <w:pPr>
        <w:rPr>
          <w:rFonts w:hint="eastAsia" w:ascii="宋体" w:hAnsi="宋体" w:eastAsia="宋体" w:cs="宋体"/>
          <w:sz w:val="22"/>
          <w:szCs w:val="22"/>
        </w:rPr>
      </w:pPr>
      <w:r>
        <w:rPr>
          <w:rFonts w:hint="eastAsia" w:ascii="宋体" w:hAnsi="宋体" w:eastAsia="宋体" w:cs="宋体"/>
          <w:sz w:val="22"/>
          <w:szCs w:val="22"/>
        </w:rPr>
        <w:t>8.1、轴向曲率</w:t>
      </w:r>
    </w:p>
    <w:p>
      <w:pPr>
        <w:rPr>
          <w:rFonts w:hint="eastAsia" w:ascii="宋体" w:hAnsi="宋体" w:eastAsia="宋体" w:cs="宋体"/>
          <w:sz w:val="22"/>
          <w:szCs w:val="22"/>
        </w:rPr>
      </w:pPr>
      <w:r>
        <w:rPr>
          <w:rFonts w:hint="eastAsia" w:ascii="宋体" w:hAnsi="宋体" w:eastAsia="宋体" w:cs="宋体"/>
          <w:sz w:val="22"/>
          <w:szCs w:val="22"/>
        </w:rPr>
        <w:t>8.2、切向曲率</w:t>
      </w:r>
    </w:p>
    <w:p>
      <w:pPr>
        <w:rPr>
          <w:rFonts w:hint="eastAsia" w:ascii="宋体" w:hAnsi="宋体" w:eastAsia="宋体" w:cs="宋体"/>
          <w:sz w:val="22"/>
          <w:szCs w:val="22"/>
        </w:rPr>
      </w:pPr>
      <w:r>
        <w:rPr>
          <w:rFonts w:hint="eastAsia" w:ascii="宋体" w:hAnsi="宋体" w:eastAsia="宋体" w:cs="宋体"/>
          <w:sz w:val="22"/>
          <w:szCs w:val="22"/>
        </w:rPr>
        <w:t>8.3、高度图</w:t>
      </w:r>
    </w:p>
    <w:p>
      <w:pPr>
        <w:rPr>
          <w:rFonts w:hint="eastAsia" w:ascii="宋体" w:hAnsi="宋体" w:eastAsia="宋体" w:cs="宋体"/>
          <w:sz w:val="22"/>
          <w:szCs w:val="22"/>
        </w:rPr>
      </w:pPr>
      <w:r>
        <w:rPr>
          <w:rFonts w:hint="eastAsia" w:ascii="宋体" w:hAnsi="宋体" w:eastAsia="宋体" w:cs="宋体"/>
          <w:sz w:val="22"/>
          <w:szCs w:val="22"/>
        </w:rPr>
        <w:t>8.4、屈光力</w:t>
      </w:r>
    </w:p>
    <w:p>
      <w:pPr>
        <w:rPr>
          <w:rFonts w:hint="eastAsia" w:ascii="宋体" w:hAnsi="宋体" w:eastAsia="宋体" w:cs="宋体"/>
          <w:sz w:val="22"/>
          <w:szCs w:val="22"/>
        </w:rPr>
      </w:pPr>
      <w:r>
        <w:rPr>
          <w:rFonts w:hint="eastAsia" w:ascii="宋体" w:hAnsi="宋体" w:eastAsia="宋体" w:cs="宋体"/>
          <w:sz w:val="22"/>
          <w:szCs w:val="22"/>
        </w:rPr>
        <w:t>9、四联图：四地形图显示</w:t>
      </w:r>
    </w:p>
    <w:p>
      <w:pPr>
        <w:rPr>
          <w:rFonts w:hint="eastAsia" w:ascii="宋体" w:hAnsi="宋体" w:eastAsia="宋体" w:cs="宋体"/>
          <w:sz w:val="22"/>
          <w:szCs w:val="22"/>
        </w:rPr>
      </w:pPr>
      <w:r>
        <w:rPr>
          <w:rFonts w:hint="eastAsia" w:ascii="宋体" w:hAnsi="宋体" w:eastAsia="宋体" w:cs="宋体"/>
          <w:sz w:val="22"/>
          <w:szCs w:val="22"/>
        </w:rPr>
        <w:t>★10、形态因子：E,ecc,P,Q值</w:t>
      </w:r>
    </w:p>
    <w:p>
      <w:pPr>
        <w:rPr>
          <w:rFonts w:hint="eastAsia" w:ascii="宋体" w:hAnsi="宋体" w:eastAsia="宋体" w:cs="宋体"/>
          <w:sz w:val="22"/>
          <w:szCs w:val="22"/>
        </w:rPr>
      </w:pPr>
      <w:r>
        <w:rPr>
          <w:rFonts w:hint="eastAsia" w:ascii="宋体" w:hAnsi="宋体" w:eastAsia="宋体" w:cs="宋体"/>
          <w:sz w:val="22"/>
          <w:szCs w:val="22"/>
        </w:rPr>
        <w:t>★11、像差：不同瞳孔直径范围内的角膜波前像差，PSF图，MTF曲线，视网膜模拟成像图</w:t>
      </w:r>
    </w:p>
    <w:p>
      <w:pPr>
        <w:rPr>
          <w:rFonts w:hint="eastAsia" w:ascii="宋体" w:hAnsi="宋体" w:eastAsia="宋体" w:cs="宋体"/>
          <w:sz w:val="22"/>
          <w:szCs w:val="22"/>
        </w:rPr>
      </w:pPr>
      <w:r>
        <w:rPr>
          <w:rFonts w:hint="eastAsia" w:ascii="宋体" w:hAnsi="宋体" w:eastAsia="宋体" w:cs="宋体"/>
          <w:sz w:val="22"/>
          <w:szCs w:val="22"/>
        </w:rPr>
        <w:t>12、检查结果对比：支持2次结果对比，地形图差值对比</w:t>
      </w:r>
    </w:p>
    <w:p>
      <w:pPr>
        <w:rPr>
          <w:rFonts w:hint="eastAsia" w:ascii="宋体" w:hAnsi="宋体" w:eastAsia="宋体" w:cs="宋体"/>
          <w:sz w:val="22"/>
          <w:szCs w:val="22"/>
        </w:rPr>
      </w:pPr>
      <w:r>
        <w:rPr>
          <w:rFonts w:hint="eastAsia" w:ascii="宋体" w:hAnsi="宋体" w:eastAsia="宋体" w:cs="宋体"/>
          <w:sz w:val="22"/>
          <w:szCs w:val="22"/>
        </w:rPr>
        <w:t>13、干眼分析参数</w:t>
      </w:r>
    </w:p>
    <w:p>
      <w:pPr>
        <w:rPr>
          <w:rFonts w:hint="eastAsia" w:ascii="宋体" w:hAnsi="宋体" w:eastAsia="宋体" w:cs="宋体"/>
          <w:sz w:val="22"/>
          <w:szCs w:val="22"/>
        </w:rPr>
      </w:pPr>
      <w:r>
        <w:rPr>
          <w:rFonts w:hint="eastAsia" w:ascii="宋体" w:hAnsi="宋体" w:eastAsia="宋体" w:cs="宋体"/>
          <w:sz w:val="22"/>
          <w:szCs w:val="22"/>
        </w:rPr>
        <w:t>13.1、问卷调查：提供中国干眼问卷量表、OSDI量表</w:t>
      </w:r>
    </w:p>
    <w:p>
      <w:pPr>
        <w:rPr>
          <w:rFonts w:hint="eastAsia" w:ascii="宋体" w:hAnsi="宋体" w:eastAsia="宋体" w:cs="宋体"/>
          <w:sz w:val="22"/>
          <w:szCs w:val="22"/>
        </w:rPr>
      </w:pPr>
      <w:r>
        <w:rPr>
          <w:rFonts w:hint="eastAsia" w:ascii="宋体" w:hAnsi="宋体" w:eastAsia="宋体" w:cs="宋体"/>
          <w:sz w:val="22"/>
          <w:szCs w:val="22"/>
        </w:rPr>
        <w:t>13.2、NIBUT：泪膜破裂饼图和趋势图，首次破裂时间和平均破裂时间</w:t>
      </w:r>
    </w:p>
    <w:p>
      <w:pPr>
        <w:rPr>
          <w:rFonts w:hint="eastAsia" w:ascii="宋体" w:hAnsi="宋体" w:eastAsia="宋体" w:cs="宋体"/>
          <w:sz w:val="22"/>
          <w:szCs w:val="22"/>
        </w:rPr>
      </w:pPr>
      <w:r>
        <w:rPr>
          <w:rFonts w:hint="eastAsia" w:ascii="宋体" w:hAnsi="宋体" w:eastAsia="宋体" w:cs="宋体"/>
          <w:sz w:val="22"/>
          <w:szCs w:val="22"/>
        </w:rPr>
        <w:t>★13.3、非侵入式泪河高度：0.01~2mm，AI自动识别并测量泪河高度</w:t>
      </w:r>
    </w:p>
    <w:p>
      <w:pPr>
        <w:rPr>
          <w:rFonts w:hint="eastAsia" w:ascii="宋体" w:hAnsi="宋体" w:eastAsia="宋体" w:cs="宋体"/>
          <w:sz w:val="22"/>
          <w:szCs w:val="22"/>
        </w:rPr>
      </w:pPr>
      <w:r>
        <w:rPr>
          <w:rFonts w:hint="eastAsia" w:ascii="宋体" w:hAnsi="宋体" w:eastAsia="宋体" w:cs="宋体"/>
          <w:sz w:val="22"/>
          <w:szCs w:val="22"/>
        </w:rPr>
        <w:t>★13.4、睑板腺：自动计算睑板腺缺失率占比和分级</w:t>
      </w:r>
    </w:p>
    <w:p>
      <w:pPr>
        <w:rPr>
          <w:rFonts w:hint="eastAsia" w:ascii="宋体" w:hAnsi="宋体" w:eastAsia="宋体" w:cs="宋体"/>
          <w:sz w:val="22"/>
          <w:szCs w:val="22"/>
        </w:rPr>
      </w:pPr>
      <w:r>
        <w:rPr>
          <w:rFonts w:hint="eastAsia" w:ascii="宋体" w:hAnsi="宋体" w:eastAsia="宋体" w:cs="宋体"/>
          <w:sz w:val="22"/>
          <w:szCs w:val="22"/>
        </w:rPr>
        <w:t>13.5、脂质层：模板匹配</w:t>
      </w:r>
    </w:p>
    <w:p>
      <w:pPr>
        <w:rPr>
          <w:rFonts w:hint="eastAsia" w:ascii="宋体" w:hAnsi="宋体" w:eastAsia="宋体" w:cs="宋体"/>
          <w:sz w:val="22"/>
          <w:szCs w:val="22"/>
        </w:rPr>
      </w:pPr>
      <w:r>
        <w:rPr>
          <w:rFonts w:hint="eastAsia" w:ascii="宋体" w:hAnsi="宋体" w:eastAsia="宋体" w:cs="宋体"/>
          <w:sz w:val="22"/>
          <w:szCs w:val="22"/>
        </w:rPr>
        <w:t>13.6、眼红：眼红占比和分级</w:t>
      </w:r>
    </w:p>
    <w:p>
      <w:pPr>
        <w:rPr>
          <w:rFonts w:hint="eastAsia" w:ascii="宋体" w:hAnsi="宋体" w:eastAsia="宋体" w:cs="宋体"/>
          <w:sz w:val="22"/>
          <w:szCs w:val="22"/>
        </w:rPr>
      </w:pPr>
      <w:r>
        <w:rPr>
          <w:rFonts w:hint="eastAsia" w:ascii="宋体" w:hAnsi="宋体" w:eastAsia="宋体" w:cs="宋体"/>
          <w:sz w:val="22"/>
          <w:szCs w:val="22"/>
        </w:rPr>
        <w:t>13.7、睑缘 ：支持图片电子放大</w:t>
      </w:r>
    </w:p>
    <w:p>
      <w:pPr>
        <w:rPr>
          <w:rFonts w:hint="eastAsia" w:ascii="宋体" w:hAnsi="宋体" w:eastAsia="宋体" w:cs="宋体"/>
          <w:sz w:val="22"/>
          <w:szCs w:val="22"/>
        </w:rPr>
      </w:pPr>
      <w:r>
        <w:rPr>
          <w:rFonts w:hint="eastAsia" w:ascii="宋体" w:hAnsi="宋体" w:eastAsia="宋体" w:cs="宋体"/>
          <w:sz w:val="22"/>
          <w:szCs w:val="22"/>
        </w:rPr>
        <w:t>★13.8、眼表：内置黄色滤色片</w:t>
      </w:r>
    </w:p>
    <w:p>
      <w:pPr>
        <w:rPr>
          <w:rFonts w:hint="eastAsia" w:ascii="宋体" w:hAnsi="宋体" w:eastAsia="宋体" w:cs="宋体"/>
          <w:sz w:val="22"/>
          <w:szCs w:val="22"/>
        </w:rPr>
      </w:pPr>
      <w:r>
        <w:rPr>
          <w:rFonts w:hint="eastAsia" w:ascii="宋体" w:hAnsi="宋体" w:eastAsia="宋体" w:cs="宋体"/>
          <w:sz w:val="22"/>
          <w:szCs w:val="22"/>
        </w:rPr>
        <w:t>★14、屏幕：</w:t>
      </w:r>
      <w:r>
        <w:rPr>
          <w:rFonts w:hint="eastAsia" w:ascii="宋体" w:hAnsi="宋体" w:cs="宋体"/>
          <w:kern w:val="0"/>
          <w:sz w:val="22"/>
          <w:szCs w:val="22"/>
          <w:lang w:bidi="ar"/>
        </w:rPr>
        <w:t>≥</w:t>
      </w:r>
      <w:r>
        <w:rPr>
          <w:rFonts w:hint="eastAsia" w:ascii="宋体" w:hAnsi="宋体" w:eastAsia="宋体" w:cs="宋体"/>
          <w:sz w:val="22"/>
          <w:szCs w:val="22"/>
        </w:rPr>
        <w:t>10.1"全触摸高清液晶屏</w:t>
      </w:r>
    </w:p>
    <w:p>
      <w:pPr>
        <w:rPr>
          <w:rFonts w:hint="eastAsia" w:ascii="宋体" w:hAnsi="宋体" w:eastAsia="宋体" w:cs="宋体"/>
          <w:sz w:val="22"/>
          <w:szCs w:val="22"/>
        </w:rPr>
      </w:pPr>
      <w:r>
        <w:rPr>
          <w:rFonts w:hint="eastAsia" w:ascii="宋体" w:hAnsi="宋体" w:eastAsia="宋体" w:cs="宋体"/>
          <w:sz w:val="22"/>
          <w:szCs w:val="22"/>
        </w:rPr>
        <w:t>15、光源：白光、红外光、钴蓝光</w:t>
      </w:r>
    </w:p>
    <w:p>
      <w:pPr>
        <w:rPr>
          <w:rFonts w:hint="eastAsia" w:ascii="宋体" w:hAnsi="宋体" w:eastAsia="宋体" w:cs="宋体"/>
          <w:sz w:val="22"/>
          <w:szCs w:val="22"/>
        </w:rPr>
      </w:pPr>
      <w:r>
        <w:rPr>
          <w:rFonts w:hint="eastAsia" w:ascii="宋体" w:hAnsi="宋体" w:eastAsia="宋体" w:cs="宋体"/>
          <w:sz w:val="22"/>
          <w:szCs w:val="22"/>
        </w:rPr>
        <w:t>16、通信接口：WIFI</w:t>
      </w:r>
    </w:p>
    <w:p>
      <w:pPr>
        <w:rPr>
          <w:rFonts w:hint="eastAsia" w:ascii="宋体" w:hAnsi="宋体" w:eastAsia="宋体" w:cs="宋体"/>
          <w:sz w:val="22"/>
          <w:szCs w:val="22"/>
        </w:rPr>
      </w:pPr>
      <w:r>
        <w:rPr>
          <w:rFonts w:hint="eastAsia" w:ascii="宋体" w:hAnsi="宋体" w:eastAsia="宋体" w:cs="宋体"/>
          <w:sz w:val="22"/>
          <w:szCs w:val="22"/>
        </w:rPr>
        <w:t>17、打印机接口：WIFI, USB</w:t>
      </w:r>
    </w:p>
    <w:p>
      <w:pPr>
        <w:rPr>
          <w:rFonts w:hint="eastAsia" w:ascii="宋体" w:hAnsi="宋体" w:eastAsia="宋体" w:cs="宋体"/>
          <w:sz w:val="22"/>
          <w:szCs w:val="22"/>
        </w:rPr>
      </w:pPr>
      <w:r>
        <w:rPr>
          <w:rFonts w:hint="eastAsia" w:ascii="宋体" w:hAnsi="宋体" w:eastAsia="宋体" w:cs="宋体"/>
          <w:sz w:val="22"/>
          <w:szCs w:val="22"/>
        </w:rPr>
        <w:t>18、扩展显示接口：DisplayPort</w:t>
      </w:r>
    </w:p>
    <w:p>
      <w:pPr>
        <w:rPr>
          <w:rFonts w:hint="eastAsia" w:ascii="宋体" w:hAnsi="宋体" w:eastAsia="宋体" w:cs="宋体"/>
          <w:sz w:val="22"/>
          <w:szCs w:val="22"/>
        </w:rPr>
      </w:pPr>
      <w:r>
        <w:rPr>
          <w:rFonts w:hint="eastAsia" w:ascii="宋体" w:hAnsi="宋体" w:eastAsia="宋体" w:cs="宋体"/>
          <w:sz w:val="22"/>
          <w:szCs w:val="22"/>
        </w:rPr>
        <w:t>19、左右眼识别：自动</w:t>
      </w:r>
    </w:p>
    <w:p>
      <w:pPr>
        <w:rPr>
          <w:rFonts w:hint="eastAsia" w:ascii="宋体" w:hAnsi="宋体" w:eastAsia="宋体" w:cs="宋体"/>
          <w:sz w:val="22"/>
          <w:szCs w:val="22"/>
        </w:rPr>
      </w:pPr>
      <w:r>
        <w:rPr>
          <w:rFonts w:hint="eastAsia" w:ascii="宋体" w:hAnsi="宋体" w:eastAsia="宋体" w:cs="宋体"/>
          <w:sz w:val="22"/>
          <w:szCs w:val="22"/>
        </w:rPr>
        <w:t>20、语言：中文／英文</w:t>
      </w:r>
    </w:p>
    <w:p>
      <w:pPr>
        <w:spacing w:line="360" w:lineRule="auto"/>
        <w:rPr>
          <w:rFonts w:hint="eastAsia" w:ascii="仿宋" w:hAnsi="仿宋" w:eastAsia="仿宋"/>
          <w:sz w:val="32"/>
          <w:szCs w:val="32"/>
        </w:rPr>
      </w:pPr>
      <w:r>
        <w:rPr>
          <w:rFonts w:hint="eastAsia" w:ascii="宋体" w:hAnsi="宋体" w:eastAsia="宋体" w:cs="宋体"/>
          <w:sz w:val="22"/>
          <w:szCs w:val="22"/>
        </w:rPr>
        <w:t xml:space="preserve">21、DICOM：支持       </w:t>
      </w:r>
      <w:r>
        <w:rPr>
          <w:rFonts w:hint="eastAsia" w:ascii="仿宋" w:hAnsi="仿宋" w:eastAsia="仿宋"/>
          <w:sz w:val="32"/>
          <w:szCs w:val="32"/>
        </w:rPr>
        <w:t xml:space="preserve"> </w:t>
      </w:r>
      <w:r>
        <w:rPr>
          <w:rFonts w:hint="eastAsia" w:ascii="宋体" w:hAnsi="宋体" w:eastAsia="宋体" w:cs="宋体"/>
          <w:sz w:val="22"/>
          <w:szCs w:val="22"/>
        </w:rPr>
        <w:t xml:space="preserve">   </w:t>
      </w:r>
      <w:r>
        <w:rPr>
          <w:rFonts w:hint="eastAsia" w:ascii="仿宋" w:hAnsi="仿宋" w:eastAsia="仿宋"/>
          <w:sz w:val="32"/>
          <w:szCs w:val="32"/>
        </w:rPr>
        <w:t xml:space="preserve">                                        </w:t>
      </w:r>
    </w:p>
    <w:p>
      <w:pPr>
        <w:pStyle w:val="35"/>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D包</w:t>
      </w:r>
      <w:r>
        <w:rPr>
          <w:rFonts w:hint="eastAsia" w:asciiTheme="minorEastAsia" w:hAnsiTheme="minorEastAsia" w:eastAsiaTheme="minorEastAsia" w:cstheme="minorEastAsia"/>
          <w:b/>
          <w:bCs/>
          <w:sz w:val="28"/>
          <w:szCs w:val="32"/>
          <w:lang w:val="en-US" w:eastAsia="zh-CN"/>
        </w:rPr>
        <w:t>：心肺转流离心系统（ECMO）</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44"/>
        <w:tblW w:w="86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1、具有体外生命支持功能，满足临床和突发公共卫生事件的需要，方便转运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2、系统显示：中文操作界面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★3、工作原理：磁力耦合驱动，无金属轴承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4、泵头驱动和工作台体积小，重量轻，利于转运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★5、双泵头驱动器设置，既可以单独使用，也可以同时支持双人使用，并可以互为备份，快速互换，降低事故的发生几率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6、泵头驱动器内置UPS电源，每分钟4L流量时，续航能力≥120min，且可以更换电池或使用直流电源供电，利于院内检查和转运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7、泵头驱动器，具有可快速更换的内部电池，也可以由直流电源或者控制台供电，利于救护车长途转运需求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8、泵头驱动器独立工作，通过主流量/气泡传感器进行监测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9、泵头驱动最高转速</w:t>
            </w:r>
            <w:r>
              <w:rPr>
                <w:rFonts w:hint="eastAsia" w:ascii="宋体" w:hAnsi="宋体" w:cs="宋体"/>
                <w:kern w:val="0"/>
                <w:sz w:val="22"/>
                <w:szCs w:val="22"/>
                <w:lang w:bidi="ar"/>
              </w:rPr>
              <w:t>≥</w:t>
            </w:r>
            <w:r>
              <w:rPr>
                <w:rFonts w:hint="eastAsia" w:ascii="宋体" w:hAnsi="宋体" w:eastAsia="宋体" w:cs="宋体"/>
                <w:sz w:val="22"/>
                <w:szCs w:val="22"/>
              </w:rPr>
              <w:t>5500 rpm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★10、具有双流量、气泡、压力、温度监测和告警功能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★11、双流量监测模式，除了利于实现VA-ECMO和VV-ECMO对任意位置流量监测外，还可以实现系统内对带分支回路ECMO模式的血流监测支持，便于医护人员选择最适合的体外生命支持方式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12、流量监测：-8 L/min～8 L/min，误差≤±5%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13、具有双路（3/8或1/4管路）流量传感器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14、具有双路（3/8或1/4管路）气泡传感器监测，告警阈值≥500 uL</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15、具有≥4路压力监测：压力监测范围，-50 mmHg～500 mmHg，误差≤±3%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16、具有≥2路温度监测：监测范围10 ℃～42 ℃, 误差≤±0.5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17、具有零流量模式及气泡零流量干预功能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w:t>
            </w:r>
            <w:r>
              <w:rPr>
                <w:rFonts w:ascii="宋体" w:hAnsi="宋体" w:eastAsia="宋体" w:cs="宋体"/>
                <w:spacing w:val="9"/>
                <w:sz w:val="24"/>
                <w:szCs w:val="24"/>
              </w:rPr>
              <w:t>18.</w:t>
            </w:r>
            <w:r>
              <w:t xml:space="preserve"> </w:t>
            </w:r>
            <w:r>
              <w:rPr>
                <w:rFonts w:hint="eastAsia" w:ascii="宋体" w:hAnsi="宋体" w:eastAsia="宋体" w:cs="宋体"/>
                <w:spacing w:val="9"/>
                <w:sz w:val="24"/>
                <w:szCs w:val="24"/>
              </w:rPr>
              <w:t>设备所使用的配套耗材均可在河南省公共资源交易中心网采平台采购。所使用耗材提供全网采购目录截图。</w:t>
            </w:r>
          </w:p>
        </w:tc>
      </w:tr>
    </w:tbl>
    <w:p>
      <w:pPr>
        <w:rPr>
          <w:rFonts w:hint="eastAsia" w:ascii="仿宋" w:hAnsi="仿宋" w:eastAsia="仿宋"/>
          <w:sz w:val="32"/>
          <w:szCs w:val="32"/>
        </w:rPr>
      </w:pPr>
      <w:r>
        <w:rPr>
          <w:rFonts w:hint="eastAsia" w:ascii="仿宋" w:hAnsi="仿宋" w:eastAsia="仿宋"/>
          <w:sz w:val="32"/>
          <w:szCs w:val="32"/>
        </w:rPr>
        <w:t>二、设备配置清单</w:t>
      </w:r>
    </w:p>
    <w:tbl>
      <w:tblPr>
        <w:tblStyle w:val="44"/>
        <w:tblW w:w="8647"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8"/>
        <w:gridCol w:w="3864"/>
        <w:gridCol w:w="1680"/>
        <w:gridCol w:w="15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编</w:t>
            </w:r>
            <w:r>
              <w:rPr>
                <w:rFonts w:ascii="宋体" w:hAnsi="宋体" w:eastAsia="宋体" w:cs="宋体"/>
                <w:spacing w:val="4"/>
                <w:sz w:val="22"/>
                <w:szCs w:val="22"/>
              </w:rPr>
              <w:t>号</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w:t>
            </w:r>
            <w:r>
              <w:rPr>
                <w:rFonts w:ascii="宋体" w:hAnsi="宋体" w:eastAsia="宋体" w:cs="宋体"/>
                <w:spacing w:val="7"/>
                <w:sz w:val="22"/>
                <w:szCs w:val="22"/>
              </w:rPr>
              <w:t>产品配置清单 (必备)</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数</w:t>
            </w:r>
            <w:r>
              <w:rPr>
                <w:rFonts w:ascii="宋体" w:hAnsi="宋体" w:eastAsia="宋体" w:cs="宋体"/>
                <w:spacing w:val="4"/>
                <w:sz w:val="22"/>
                <w:szCs w:val="22"/>
              </w:rPr>
              <w:t>量</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pacing w:val="4"/>
                <w:sz w:val="22"/>
                <w:szCs w:val="22"/>
              </w:rPr>
            </w:pPr>
            <w:r>
              <w:rPr>
                <w:rFonts w:hint="eastAsia" w:ascii="宋体" w:hAnsi="宋体" w:eastAsia="宋体" w:cs="宋体"/>
                <w:spacing w:val="4"/>
                <w:sz w:val="22"/>
                <w:szCs w:val="22"/>
              </w:rPr>
              <w:t>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控制台</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电动泵头驱动器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3</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流量传感器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4</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7" w:line="240" w:lineRule="exact"/>
              <w:jc w:val="center"/>
              <w:textAlignment w:val="auto"/>
              <w:rPr>
                <w:rFonts w:ascii="宋体" w:hAnsi="宋体" w:eastAsia="宋体" w:cs="宋体"/>
                <w:sz w:val="22"/>
                <w:szCs w:val="22"/>
              </w:rPr>
            </w:pPr>
            <w:r>
              <w:rPr>
                <w:rFonts w:hint="eastAsia" w:ascii="宋体" w:hAnsi="宋体" w:eastAsia="宋体" w:cs="宋体"/>
                <w:spacing w:val="8"/>
                <w:sz w:val="22"/>
                <w:szCs w:val="22"/>
              </w:rPr>
              <w:t>台车</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5</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空</w:t>
            </w:r>
            <w:r>
              <w:rPr>
                <w:rFonts w:ascii="宋体" w:hAnsi="宋体" w:eastAsia="宋体" w:cs="宋体"/>
                <w:spacing w:val="6"/>
                <w:sz w:val="22"/>
                <w:szCs w:val="22"/>
              </w:rPr>
              <w:t>氧混合器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6</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9" w:line="240" w:lineRule="exact"/>
              <w:jc w:val="center"/>
              <w:textAlignment w:val="auto"/>
              <w:rPr>
                <w:rFonts w:ascii="宋体" w:hAnsi="宋体" w:eastAsia="宋体" w:cs="宋体"/>
                <w:sz w:val="22"/>
                <w:szCs w:val="22"/>
              </w:rPr>
            </w:pPr>
            <w:r>
              <w:rPr>
                <w:rFonts w:hint="eastAsia" w:ascii="宋体" w:hAnsi="宋体" w:eastAsia="宋体" w:cs="宋体"/>
                <w:sz w:val="22"/>
                <w:szCs w:val="22"/>
              </w:rPr>
              <w:t>物理升降温仪器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bl>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E包</w:t>
      </w:r>
      <w:r>
        <w:rPr>
          <w:rFonts w:hint="eastAsia" w:asciiTheme="minorEastAsia" w:hAnsiTheme="minorEastAsia" w:eastAsiaTheme="minorEastAsia" w:cstheme="minorEastAsia"/>
          <w:b/>
          <w:bCs/>
          <w:sz w:val="28"/>
          <w:szCs w:val="32"/>
          <w:lang w:val="en-US" w:eastAsia="zh-CN"/>
        </w:rPr>
        <w:t>：静息代谢测试仪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bookmarkStart w:id="190" w:name="_Hlk144970708"/>
      <w:r>
        <w:rPr>
          <w:rFonts w:hint="eastAsia" w:ascii="宋体" w:hAnsi="宋体" w:eastAsia="宋体" w:cs="宋体"/>
          <w:sz w:val="22"/>
          <w:szCs w:val="22"/>
        </w:rPr>
        <w:t>1、产品用途：用于6岁以上的健康人、自主呼吸患者进行静息代谢测试。（提供注册证）</w:t>
      </w:r>
    </w:p>
    <w:p>
      <w:pPr>
        <w:rPr>
          <w:rFonts w:hint="eastAsia" w:ascii="宋体" w:hAnsi="宋体" w:eastAsia="宋体" w:cs="宋体"/>
          <w:sz w:val="22"/>
          <w:szCs w:val="22"/>
        </w:rPr>
      </w:pPr>
      <w:r>
        <w:rPr>
          <w:rFonts w:hint="eastAsia" w:ascii="宋体" w:hAnsi="宋体" w:eastAsia="宋体" w:cs="宋体"/>
          <w:sz w:val="22"/>
          <w:szCs w:val="22"/>
        </w:rPr>
        <w:t>2、测试原理：</w:t>
      </w:r>
    </w:p>
    <w:p>
      <w:pPr>
        <w:rPr>
          <w:rFonts w:hint="eastAsia" w:ascii="宋体" w:hAnsi="宋体" w:eastAsia="宋体" w:cs="宋体"/>
          <w:sz w:val="22"/>
          <w:szCs w:val="22"/>
        </w:rPr>
      </w:pPr>
      <w:r>
        <w:rPr>
          <w:rFonts w:hint="eastAsia" w:ascii="宋体" w:hAnsi="宋体" w:eastAsia="宋体" w:cs="宋体"/>
          <w:sz w:val="22"/>
          <w:szCs w:val="22"/>
        </w:rPr>
        <w:t>2.1肺功能测量原理：通过流量传感器，测量患者呼出或吸入的气体流量及容量，根据时间-容积曲线和流量-容积曲线，分析得出人体呼吸生理的肺通气指标。</w:t>
      </w:r>
    </w:p>
    <w:p>
      <w:pPr>
        <w:rPr>
          <w:rFonts w:hint="eastAsia" w:ascii="宋体" w:hAnsi="宋体" w:eastAsia="宋体" w:cs="宋体"/>
          <w:sz w:val="22"/>
          <w:szCs w:val="22"/>
        </w:rPr>
      </w:pPr>
      <w:r>
        <w:rPr>
          <w:rFonts w:hint="eastAsia" w:ascii="宋体" w:hAnsi="宋体" w:eastAsia="宋体" w:cs="宋体"/>
          <w:sz w:val="22"/>
          <w:szCs w:val="22"/>
        </w:rPr>
        <w:t>★2.2呼吸检测原理：根据呼吸过程中消耗的氧气浓度、产生的二氧化碳浓度与通气量计算，分析得出VO2、VCO2等人体静息代谢指标。</w:t>
      </w:r>
    </w:p>
    <w:p>
      <w:pPr>
        <w:rPr>
          <w:rFonts w:hint="eastAsia" w:ascii="宋体" w:hAnsi="宋体" w:eastAsia="宋体" w:cs="宋体"/>
          <w:sz w:val="22"/>
          <w:szCs w:val="22"/>
        </w:rPr>
      </w:pPr>
      <w:r>
        <w:rPr>
          <w:rFonts w:hint="eastAsia" w:ascii="宋体" w:hAnsi="宋体" w:eastAsia="宋体" w:cs="宋体"/>
          <w:sz w:val="22"/>
          <w:szCs w:val="22"/>
        </w:rPr>
        <w:t>3、测量参数：</w:t>
      </w:r>
    </w:p>
    <w:p>
      <w:pPr>
        <w:rPr>
          <w:rFonts w:hint="eastAsia" w:ascii="宋体" w:hAnsi="宋体" w:eastAsia="宋体" w:cs="宋体"/>
          <w:sz w:val="22"/>
          <w:szCs w:val="22"/>
        </w:rPr>
      </w:pPr>
      <w:r>
        <w:rPr>
          <w:rFonts w:hint="eastAsia" w:ascii="宋体" w:hAnsi="宋体" w:eastAsia="宋体" w:cs="宋体"/>
          <w:sz w:val="22"/>
          <w:szCs w:val="22"/>
        </w:rPr>
        <w:t>★3.1静息能量消耗量REE</w:t>
      </w:r>
    </w:p>
    <w:p>
      <w:pPr>
        <w:rPr>
          <w:rFonts w:hint="eastAsia" w:ascii="宋体" w:hAnsi="宋体" w:eastAsia="宋体" w:cs="宋体"/>
          <w:sz w:val="22"/>
          <w:szCs w:val="22"/>
        </w:rPr>
      </w:pPr>
      <w:r>
        <w:rPr>
          <w:rFonts w:hint="eastAsia" w:ascii="宋体" w:hAnsi="宋体" w:eastAsia="宋体" w:cs="宋体"/>
          <w:sz w:val="22"/>
          <w:szCs w:val="22"/>
        </w:rPr>
        <w:t>★3.2静息能量代谢预计值REE pred；</w:t>
      </w:r>
    </w:p>
    <w:p>
      <w:pPr>
        <w:rPr>
          <w:rFonts w:hint="eastAsia" w:ascii="宋体" w:hAnsi="宋体" w:eastAsia="宋体" w:cs="宋体"/>
          <w:sz w:val="22"/>
          <w:szCs w:val="22"/>
        </w:rPr>
      </w:pPr>
      <w:r>
        <w:rPr>
          <w:rFonts w:hint="eastAsia" w:ascii="宋体" w:hAnsi="宋体" w:eastAsia="宋体" w:cs="宋体"/>
          <w:sz w:val="22"/>
          <w:szCs w:val="22"/>
        </w:rPr>
        <w:t>★3.3呼吸熵RQ；</w:t>
      </w:r>
    </w:p>
    <w:p>
      <w:pPr>
        <w:rPr>
          <w:rFonts w:hint="eastAsia" w:ascii="宋体" w:hAnsi="宋体" w:eastAsia="宋体" w:cs="宋体"/>
          <w:sz w:val="22"/>
          <w:szCs w:val="22"/>
        </w:rPr>
      </w:pPr>
      <w:r>
        <w:rPr>
          <w:rFonts w:hint="eastAsia" w:ascii="宋体" w:hAnsi="宋体" w:eastAsia="宋体" w:cs="宋体"/>
          <w:sz w:val="22"/>
          <w:szCs w:val="22"/>
        </w:rPr>
        <w:t>★3.4碳水化合物消耗占比CHO/REE*100%；</w:t>
      </w:r>
    </w:p>
    <w:p>
      <w:pPr>
        <w:rPr>
          <w:rFonts w:hint="eastAsia" w:ascii="宋体" w:hAnsi="宋体" w:eastAsia="宋体" w:cs="宋体"/>
          <w:sz w:val="22"/>
          <w:szCs w:val="22"/>
        </w:rPr>
      </w:pPr>
      <w:r>
        <w:rPr>
          <w:rFonts w:hint="eastAsia" w:ascii="宋体" w:hAnsi="宋体" w:eastAsia="宋体" w:cs="宋体"/>
          <w:sz w:val="22"/>
          <w:szCs w:val="22"/>
        </w:rPr>
        <w:t>★3.5脂肪消耗占比FAT/REE*100%；</w:t>
      </w:r>
    </w:p>
    <w:p>
      <w:pPr>
        <w:rPr>
          <w:rFonts w:hint="eastAsia" w:ascii="宋体" w:hAnsi="宋体" w:eastAsia="宋体" w:cs="宋体"/>
          <w:sz w:val="22"/>
          <w:szCs w:val="22"/>
        </w:rPr>
      </w:pPr>
      <w:r>
        <w:rPr>
          <w:rFonts w:hint="eastAsia" w:ascii="宋体" w:hAnsi="宋体" w:eastAsia="宋体" w:cs="宋体"/>
          <w:sz w:val="22"/>
          <w:szCs w:val="22"/>
        </w:rPr>
        <w:t>★3.6蛋白质消耗占比PRO/REE*100%；</w:t>
      </w:r>
    </w:p>
    <w:p>
      <w:pPr>
        <w:rPr>
          <w:rFonts w:hint="eastAsia" w:ascii="宋体" w:hAnsi="宋体" w:eastAsia="宋体" w:cs="宋体"/>
          <w:sz w:val="22"/>
          <w:szCs w:val="22"/>
        </w:rPr>
      </w:pPr>
      <w:r>
        <w:rPr>
          <w:rFonts w:hint="eastAsia" w:ascii="宋体" w:hAnsi="宋体" w:eastAsia="宋体" w:cs="宋体"/>
          <w:sz w:val="22"/>
          <w:szCs w:val="22"/>
        </w:rPr>
        <w:t>★3.7每分钟摄氧量VO2</w:t>
      </w:r>
    </w:p>
    <w:p>
      <w:pPr>
        <w:rPr>
          <w:rFonts w:hint="eastAsia" w:ascii="宋体" w:hAnsi="宋体" w:eastAsia="宋体" w:cs="宋体"/>
          <w:sz w:val="22"/>
          <w:szCs w:val="22"/>
        </w:rPr>
      </w:pPr>
      <w:r>
        <w:rPr>
          <w:rFonts w:hint="eastAsia" w:ascii="宋体" w:hAnsi="宋体" w:eastAsia="宋体" w:cs="宋体"/>
          <w:sz w:val="22"/>
          <w:szCs w:val="22"/>
        </w:rPr>
        <w:t>★3.8每分钟产生二氧化碳量VCO2</w:t>
      </w:r>
    </w:p>
    <w:p>
      <w:pPr>
        <w:rPr>
          <w:rFonts w:hint="eastAsia" w:ascii="宋体" w:hAnsi="宋体" w:eastAsia="宋体" w:cs="宋体"/>
          <w:sz w:val="22"/>
          <w:szCs w:val="22"/>
        </w:rPr>
      </w:pPr>
      <w:r>
        <w:rPr>
          <w:rFonts w:hint="eastAsia" w:ascii="宋体" w:hAnsi="宋体" w:eastAsia="宋体" w:cs="宋体"/>
          <w:sz w:val="22"/>
          <w:szCs w:val="22"/>
        </w:rPr>
        <w:t>3.9非蛋白呼吸熵NPRQ</w:t>
      </w:r>
    </w:p>
    <w:p>
      <w:pPr>
        <w:rPr>
          <w:rFonts w:hint="eastAsia" w:ascii="宋体" w:hAnsi="宋体" w:eastAsia="宋体" w:cs="宋体"/>
          <w:sz w:val="22"/>
          <w:szCs w:val="22"/>
        </w:rPr>
      </w:pPr>
      <w:r>
        <w:rPr>
          <w:rFonts w:hint="eastAsia" w:ascii="宋体" w:hAnsi="宋体" w:eastAsia="宋体" w:cs="宋体"/>
          <w:sz w:val="22"/>
          <w:szCs w:val="22"/>
        </w:rPr>
        <w:t>3.10呼吸频率RR</w:t>
      </w:r>
    </w:p>
    <w:p>
      <w:pPr>
        <w:rPr>
          <w:rFonts w:hint="eastAsia" w:ascii="宋体" w:hAnsi="宋体" w:eastAsia="宋体" w:cs="宋体"/>
          <w:sz w:val="22"/>
          <w:szCs w:val="22"/>
        </w:rPr>
      </w:pPr>
      <w:r>
        <w:rPr>
          <w:rFonts w:hint="eastAsia" w:ascii="宋体" w:hAnsi="宋体" w:eastAsia="宋体" w:cs="宋体"/>
          <w:sz w:val="22"/>
          <w:szCs w:val="22"/>
        </w:rPr>
        <w:t>3.11变异系数REE-COVAR*100%</w:t>
      </w:r>
    </w:p>
    <w:p>
      <w:pPr>
        <w:rPr>
          <w:rFonts w:hint="eastAsia" w:ascii="宋体" w:hAnsi="宋体" w:eastAsia="宋体" w:cs="宋体"/>
          <w:sz w:val="22"/>
          <w:szCs w:val="22"/>
        </w:rPr>
      </w:pPr>
      <w:r>
        <w:rPr>
          <w:rFonts w:hint="eastAsia" w:ascii="宋体" w:hAnsi="宋体" w:eastAsia="宋体" w:cs="宋体"/>
          <w:sz w:val="22"/>
          <w:szCs w:val="22"/>
        </w:rPr>
        <w:t>3.12用力肺活量FVC</w:t>
      </w:r>
    </w:p>
    <w:p>
      <w:pPr>
        <w:rPr>
          <w:rFonts w:hint="eastAsia" w:ascii="宋体" w:hAnsi="宋体" w:eastAsia="宋体" w:cs="宋体"/>
          <w:sz w:val="22"/>
          <w:szCs w:val="22"/>
        </w:rPr>
      </w:pPr>
      <w:r>
        <w:rPr>
          <w:rFonts w:hint="eastAsia" w:ascii="宋体" w:hAnsi="宋体" w:eastAsia="宋体" w:cs="宋体"/>
          <w:sz w:val="22"/>
          <w:szCs w:val="22"/>
        </w:rPr>
        <w:t>3.13慢肺活量SVC</w:t>
      </w:r>
    </w:p>
    <w:p>
      <w:pPr>
        <w:rPr>
          <w:rFonts w:hint="eastAsia" w:ascii="宋体" w:hAnsi="宋体" w:eastAsia="宋体" w:cs="宋体"/>
          <w:sz w:val="22"/>
          <w:szCs w:val="22"/>
        </w:rPr>
      </w:pPr>
      <w:r>
        <w:rPr>
          <w:rFonts w:hint="eastAsia" w:ascii="宋体" w:hAnsi="宋体" w:eastAsia="宋体" w:cs="宋体"/>
          <w:sz w:val="22"/>
          <w:szCs w:val="22"/>
        </w:rPr>
        <w:t>3.14最大通气量MVV</w:t>
      </w:r>
    </w:p>
    <w:p>
      <w:pPr>
        <w:rPr>
          <w:rFonts w:hint="eastAsia" w:ascii="宋体" w:hAnsi="宋体" w:eastAsia="宋体" w:cs="宋体"/>
          <w:sz w:val="22"/>
          <w:szCs w:val="22"/>
        </w:rPr>
      </w:pPr>
      <w:r>
        <w:rPr>
          <w:rFonts w:hint="eastAsia" w:ascii="宋体" w:hAnsi="宋体" w:eastAsia="宋体" w:cs="宋体"/>
          <w:sz w:val="22"/>
          <w:szCs w:val="22"/>
        </w:rPr>
        <w:t>4、技术要求</w:t>
      </w:r>
    </w:p>
    <w:p>
      <w:pPr>
        <w:rPr>
          <w:rFonts w:hint="eastAsia" w:ascii="宋体" w:hAnsi="宋体" w:eastAsia="宋体" w:cs="宋体"/>
          <w:sz w:val="22"/>
          <w:szCs w:val="22"/>
        </w:rPr>
      </w:pPr>
      <w:r>
        <w:rPr>
          <w:rFonts w:hint="eastAsia" w:ascii="宋体" w:hAnsi="宋体" w:eastAsia="宋体" w:cs="宋体"/>
          <w:sz w:val="22"/>
          <w:szCs w:val="22"/>
        </w:rPr>
        <w:t>4.1流量传感器</w:t>
      </w:r>
    </w:p>
    <w:p>
      <w:pPr>
        <w:rPr>
          <w:rFonts w:hint="eastAsia" w:ascii="宋体" w:hAnsi="宋体" w:eastAsia="宋体" w:cs="宋体"/>
          <w:sz w:val="22"/>
          <w:szCs w:val="22"/>
        </w:rPr>
      </w:pPr>
      <w:r>
        <w:rPr>
          <w:rFonts w:hint="eastAsia" w:ascii="宋体" w:hAnsi="宋体" w:eastAsia="宋体" w:cs="宋体"/>
          <w:sz w:val="22"/>
          <w:szCs w:val="22"/>
        </w:rPr>
        <w:t>4.1.1传感器类型：涡轮流量传感器：</w:t>
      </w:r>
    </w:p>
    <w:p>
      <w:pPr>
        <w:rPr>
          <w:rFonts w:hint="eastAsia" w:ascii="宋体" w:hAnsi="宋体" w:eastAsia="宋体" w:cs="宋体"/>
          <w:sz w:val="22"/>
          <w:szCs w:val="22"/>
        </w:rPr>
      </w:pPr>
      <w:r>
        <w:rPr>
          <w:rFonts w:hint="eastAsia" w:ascii="宋体" w:hAnsi="宋体" w:eastAsia="宋体" w:cs="宋体"/>
          <w:sz w:val="22"/>
          <w:szCs w:val="22"/>
        </w:rPr>
        <w:t>4.1.2分辨率：≥0.002L/s</w:t>
      </w:r>
    </w:p>
    <w:p>
      <w:pPr>
        <w:rPr>
          <w:rFonts w:hint="eastAsia" w:ascii="宋体" w:hAnsi="宋体" w:eastAsia="宋体" w:cs="宋体"/>
          <w:sz w:val="22"/>
          <w:szCs w:val="22"/>
        </w:rPr>
      </w:pPr>
      <w:r>
        <w:rPr>
          <w:rFonts w:hint="eastAsia" w:ascii="宋体" w:hAnsi="宋体" w:eastAsia="宋体" w:cs="宋体"/>
          <w:sz w:val="22"/>
          <w:szCs w:val="22"/>
        </w:rPr>
        <w:t>4.1.3精确度：≤±3%</w:t>
      </w:r>
    </w:p>
    <w:p>
      <w:pPr>
        <w:rPr>
          <w:rFonts w:hint="eastAsia" w:ascii="宋体" w:hAnsi="宋体" w:eastAsia="宋体" w:cs="宋体"/>
          <w:sz w:val="22"/>
          <w:szCs w:val="22"/>
        </w:rPr>
      </w:pPr>
      <w:r>
        <w:rPr>
          <w:rFonts w:hint="eastAsia" w:ascii="宋体" w:hAnsi="宋体" w:eastAsia="宋体" w:cs="宋体"/>
          <w:sz w:val="22"/>
          <w:szCs w:val="22"/>
        </w:rPr>
        <w:t>4.1.4流量范围：0~18L/s</w:t>
      </w:r>
    </w:p>
    <w:p>
      <w:pPr>
        <w:rPr>
          <w:rFonts w:hint="eastAsia" w:ascii="宋体" w:hAnsi="宋体" w:eastAsia="宋体" w:cs="宋体"/>
          <w:sz w:val="22"/>
          <w:szCs w:val="22"/>
        </w:rPr>
      </w:pPr>
      <w:r>
        <w:rPr>
          <w:rFonts w:hint="eastAsia" w:ascii="宋体" w:hAnsi="宋体" w:eastAsia="宋体" w:cs="宋体"/>
          <w:sz w:val="22"/>
          <w:szCs w:val="22"/>
        </w:rPr>
        <w:t>4.1.5当流量为12L/s，阻力：＜0.7cmH2O s/L</w:t>
      </w:r>
    </w:p>
    <w:p>
      <w:pPr>
        <w:rPr>
          <w:rFonts w:hint="eastAsia" w:ascii="宋体" w:hAnsi="宋体" w:eastAsia="宋体" w:cs="宋体"/>
          <w:sz w:val="22"/>
          <w:szCs w:val="22"/>
        </w:rPr>
      </w:pPr>
      <w:r>
        <w:rPr>
          <w:rFonts w:hint="eastAsia" w:ascii="宋体" w:hAnsi="宋体" w:eastAsia="宋体" w:cs="宋体"/>
          <w:sz w:val="22"/>
          <w:szCs w:val="22"/>
        </w:rPr>
        <w:t>4.2氧分析器</w:t>
      </w:r>
    </w:p>
    <w:p>
      <w:pPr>
        <w:rPr>
          <w:rFonts w:hint="eastAsia" w:ascii="宋体" w:hAnsi="宋体" w:eastAsia="宋体" w:cs="宋体"/>
          <w:sz w:val="22"/>
          <w:szCs w:val="22"/>
        </w:rPr>
      </w:pPr>
      <w:r>
        <w:rPr>
          <w:rFonts w:hint="eastAsia" w:ascii="宋体" w:hAnsi="宋体" w:eastAsia="宋体" w:cs="宋体"/>
          <w:sz w:val="22"/>
          <w:szCs w:val="22"/>
        </w:rPr>
        <w:t>★4.2.1传感器类型：电化学传感器</w:t>
      </w:r>
    </w:p>
    <w:p>
      <w:pPr>
        <w:rPr>
          <w:rFonts w:hint="eastAsia" w:ascii="宋体" w:hAnsi="宋体" w:eastAsia="宋体" w:cs="宋体"/>
          <w:sz w:val="22"/>
          <w:szCs w:val="22"/>
        </w:rPr>
      </w:pPr>
      <w:r>
        <w:rPr>
          <w:rFonts w:hint="eastAsia" w:ascii="宋体" w:hAnsi="宋体" w:eastAsia="宋体" w:cs="宋体"/>
          <w:sz w:val="22"/>
          <w:szCs w:val="22"/>
        </w:rPr>
        <w:t>4.2.2测量范围：0~100%</w:t>
      </w:r>
    </w:p>
    <w:p>
      <w:pPr>
        <w:rPr>
          <w:rFonts w:hint="eastAsia" w:ascii="宋体" w:hAnsi="宋体" w:eastAsia="宋体" w:cs="宋体"/>
          <w:sz w:val="22"/>
          <w:szCs w:val="22"/>
        </w:rPr>
      </w:pPr>
      <w:r>
        <w:rPr>
          <w:rFonts w:hint="eastAsia" w:ascii="宋体" w:hAnsi="宋体" w:eastAsia="宋体" w:cs="宋体"/>
          <w:sz w:val="22"/>
          <w:szCs w:val="22"/>
        </w:rPr>
        <w:t>4.2.3测量误差：≤±0.03%</w:t>
      </w:r>
    </w:p>
    <w:p>
      <w:pPr>
        <w:rPr>
          <w:rFonts w:hint="eastAsia" w:ascii="宋体" w:hAnsi="宋体" w:eastAsia="宋体" w:cs="宋体"/>
          <w:sz w:val="22"/>
          <w:szCs w:val="22"/>
        </w:rPr>
      </w:pPr>
      <w:r>
        <w:rPr>
          <w:rFonts w:hint="eastAsia" w:ascii="宋体" w:hAnsi="宋体" w:eastAsia="宋体" w:cs="宋体"/>
          <w:sz w:val="22"/>
          <w:szCs w:val="22"/>
        </w:rPr>
        <w:t>4.2.4分辨率：≥0.01%</w:t>
      </w:r>
    </w:p>
    <w:p>
      <w:pPr>
        <w:rPr>
          <w:rFonts w:hint="eastAsia" w:ascii="宋体" w:hAnsi="宋体" w:eastAsia="宋体" w:cs="宋体"/>
          <w:sz w:val="22"/>
          <w:szCs w:val="22"/>
        </w:rPr>
      </w:pPr>
      <w:r>
        <w:rPr>
          <w:rFonts w:hint="eastAsia" w:ascii="宋体" w:hAnsi="宋体" w:eastAsia="宋体" w:cs="宋体"/>
          <w:sz w:val="22"/>
          <w:szCs w:val="22"/>
        </w:rPr>
        <w:t>4.2.5响应时间：＜120ms</w:t>
      </w:r>
    </w:p>
    <w:p>
      <w:pPr>
        <w:rPr>
          <w:rFonts w:hint="eastAsia" w:ascii="宋体" w:hAnsi="宋体" w:eastAsia="宋体" w:cs="宋体"/>
          <w:sz w:val="22"/>
          <w:szCs w:val="22"/>
        </w:rPr>
      </w:pPr>
      <w:r>
        <w:rPr>
          <w:rFonts w:hint="eastAsia" w:ascii="宋体" w:hAnsi="宋体" w:eastAsia="宋体" w:cs="宋体"/>
          <w:sz w:val="22"/>
          <w:szCs w:val="22"/>
        </w:rPr>
        <w:t>4.3二氧化碳分析器</w:t>
      </w:r>
    </w:p>
    <w:p>
      <w:pPr>
        <w:rPr>
          <w:rFonts w:hint="eastAsia" w:ascii="宋体" w:hAnsi="宋体" w:eastAsia="宋体" w:cs="宋体"/>
          <w:sz w:val="22"/>
          <w:szCs w:val="22"/>
        </w:rPr>
      </w:pPr>
      <w:r>
        <w:rPr>
          <w:rFonts w:hint="eastAsia" w:ascii="宋体" w:hAnsi="宋体" w:eastAsia="宋体" w:cs="宋体"/>
          <w:sz w:val="22"/>
          <w:szCs w:val="22"/>
        </w:rPr>
        <w:t>★4.3.1传感器类型：非分散红外传感器</w:t>
      </w:r>
    </w:p>
    <w:p>
      <w:pPr>
        <w:rPr>
          <w:rFonts w:hint="eastAsia" w:ascii="宋体" w:hAnsi="宋体" w:eastAsia="宋体" w:cs="宋体"/>
          <w:sz w:val="22"/>
          <w:szCs w:val="22"/>
        </w:rPr>
      </w:pPr>
      <w:r>
        <w:rPr>
          <w:rFonts w:hint="eastAsia" w:ascii="宋体" w:hAnsi="宋体" w:eastAsia="宋体" w:cs="宋体"/>
          <w:sz w:val="22"/>
          <w:szCs w:val="22"/>
        </w:rPr>
        <w:t>4.3.2测量范围：0~20%</w:t>
      </w:r>
    </w:p>
    <w:p>
      <w:pPr>
        <w:rPr>
          <w:rFonts w:hint="eastAsia" w:ascii="宋体" w:hAnsi="宋体" w:eastAsia="宋体" w:cs="宋体"/>
          <w:sz w:val="22"/>
          <w:szCs w:val="22"/>
        </w:rPr>
      </w:pPr>
      <w:r>
        <w:rPr>
          <w:rFonts w:hint="eastAsia" w:ascii="宋体" w:hAnsi="宋体" w:eastAsia="宋体" w:cs="宋体"/>
          <w:sz w:val="22"/>
          <w:szCs w:val="22"/>
        </w:rPr>
        <w:t>4.3.3测量误差：≤±0.03%</w:t>
      </w:r>
    </w:p>
    <w:p>
      <w:pPr>
        <w:rPr>
          <w:rFonts w:hint="eastAsia" w:ascii="宋体" w:hAnsi="宋体" w:eastAsia="宋体" w:cs="宋体"/>
          <w:sz w:val="22"/>
          <w:szCs w:val="22"/>
        </w:rPr>
      </w:pPr>
      <w:r>
        <w:rPr>
          <w:rFonts w:hint="eastAsia" w:ascii="宋体" w:hAnsi="宋体" w:eastAsia="宋体" w:cs="宋体"/>
          <w:sz w:val="22"/>
          <w:szCs w:val="22"/>
        </w:rPr>
        <w:t>4.3.4分辨率：≥0.01%</w:t>
      </w:r>
    </w:p>
    <w:p>
      <w:pPr>
        <w:rPr>
          <w:rFonts w:hint="eastAsia" w:ascii="宋体" w:hAnsi="宋体" w:eastAsia="宋体" w:cs="宋体"/>
          <w:sz w:val="22"/>
          <w:szCs w:val="22"/>
        </w:rPr>
      </w:pPr>
      <w:r>
        <w:rPr>
          <w:rFonts w:hint="eastAsia" w:ascii="宋体" w:hAnsi="宋体" w:eastAsia="宋体" w:cs="宋体"/>
          <w:sz w:val="22"/>
          <w:szCs w:val="22"/>
        </w:rPr>
        <w:t>4.3.5响应时间：＜120ms</w:t>
      </w:r>
    </w:p>
    <w:p>
      <w:pPr>
        <w:rPr>
          <w:rFonts w:hint="eastAsia" w:ascii="宋体" w:hAnsi="宋体" w:eastAsia="宋体" w:cs="宋体"/>
          <w:sz w:val="22"/>
          <w:szCs w:val="22"/>
        </w:rPr>
      </w:pPr>
      <w:r>
        <w:rPr>
          <w:rFonts w:hint="eastAsia" w:ascii="宋体" w:hAnsi="宋体" w:eastAsia="宋体" w:cs="宋体"/>
          <w:sz w:val="22"/>
          <w:szCs w:val="22"/>
        </w:rPr>
        <w:t>5、自定义设置检测时间，自动定标检测，实时显示过程曲线和数据</w:t>
      </w:r>
    </w:p>
    <w:p>
      <w:pPr>
        <w:rPr>
          <w:rFonts w:hint="eastAsia" w:ascii="宋体" w:hAnsi="宋体" w:eastAsia="宋体" w:cs="宋体"/>
          <w:sz w:val="22"/>
          <w:szCs w:val="22"/>
        </w:rPr>
      </w:pPr>
      <w:r>
        <w:rPr>
          <w:rFonts w:hint="eastAsia" w:ascii="宋体" w:hAnsi="宋体" w:eastAsia="宋体" w:cs="宋体"/>
          <w:sz w:val="22"/>
          <w:szCs w:val="22"/>
        </w:rPr>
        <w:t>★6、设备自带触摸屏吗，尺寸大于8寸，便携提手使用</w:t>
      </w:r>
    </w:p>
    <w:p>
      <w:pPr>
        <w:rPr>
          <w:rFonts w:hint="eastAsia" w:ascii="宋体" w:hAnsi="宋体" w:eastAsia="宋体" w:cs="宋体"/>
          <w:sz w:val="22"/>
          <w:szCs w:val="22"/>
        </w:rPr>
      </w:pPr>
      <w:r>
        <w:rPr>
          <w:rFonts w:hint="eastAsia" w:ascii="宋体" w:hAnsi="宋体" w:eastAsia="宋体" w:cs="宋体"/>
          <w:sz w:val="22"/>
          <w:szCs w:val="22"/>
        </w:rPr>
        <w:t>7、采用图标式操作方式，使操作变得非常简单</w:t>
      </w:r>
    </w:p>
    <w:p>
      <w:pPr>
        <w:rPr>
          <w:rFonts w:hint="eastAsia" w:ascii="宋体" w:hAnsi="宋体" w:eastAsia="宋体" w:cs="宋体"/>
          <w:sz w:val="22"/>
          <w:szCs w:val="22"/>
        </w:rPr>
      </w:pPr>
      <w:r>
        <w:rPr>
          <w:rFonts w:hint="eastAsia" w:ascii="宋体" w:hAnsi="宋体" w:eastAsia="宋体" w:cs="宋体"/>
          <w:sz w:val="22"/>
          <w:szCs w:val="22"/>
        </w:rPr>
        <w:t>8、可选择热敏打印报告和A4报告打印，可设置多种预制报告格式</w:t>
      </w:r>
    </w:p>
    <w:p>
      <w:pPr>
        <w:rPr>
          <w:rFonts w:hint="eastAsia" w:ascii="宋体" w:hAnsi="宋体" w:eastAsia="宋体" w:cs="宋体"/>
          <w:sz w:val="22"/>
          <w:szCs w:val="22"/>
        </w:rPr>
      </w:pPr>
      <w:r>
        <w:rPr>
          <w:rFonts w:hint="eastAsia" w:ascii="宋体" w:hAnsi="宋体" w:eastAsia="宋体" w:cs="宋体"/>
          <w:sz w:val="22"/>
          <w:szCs w:val="22"/>
        </w:rPr>
        <w:t>9、可导出数据，可对接医院his系统，可对接第三方平台</w:t>
      </w:r>
    </w:p>
    <w:p>
      <w:pPr>
        <w:rPr>
          <w:rFonts w:hint="eastAsia" w:ascii="宋体" w:hAnsi="宋体" w:eastAsia="宋体" w:cs="宋体"/>
          <w:sz w:val="22"/>
          <w:szCs w:val="22"/>
        </w:rPr>
      </w:pPr>
      <w:r>
        <w:rPr>
          <w:rFonts w:hint="eastAsia" w:ascii="宋体" w:hAnsi="宋体" w:eastAsia="宋体" w:cs="宋体"/>
          <w:sz w:val="22"/>
          <w:szCs w:val="22"/>
        </w:rPr>
        <w:t>10、具备完整患者数据管理，查看检测详细报告及对比分析</w:t>
      </w:r>
    </w:p>
    <w:p>
      <w:pPr>
        <w:spacing w:line="360" w:lineRule="auto"/>
        <w:rPr>
          <w:rFonts w:hint="eastAsia" w:asciiTheme="minorEastAsia" w:hAnsiTheme="minorEastAsia" w:eastAsiaTheme="minorEastAsia" w:cstheme="minorEastAsia"/>
          <w:b/>
          <w:bCs/>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F包</w:t>
      </w:r>
      <w:r>
        <w:rPr>
          <w:rFonts w:hint="eastAsia" w:asciiTheme="minorEastAsia" w:hAnsiTheme="minorEastAsia" w:eastAsiaTheme="minorEastAsia" w:cstheme="minorEastAsia"/>
          <w:b/>
          <w:bCs/>
          <w:sz w:val="28"/>
          <w:szCs w:val="32"/>
          <w:lang w:val="en-US" w:eastAsia="zh-CN"/>
        </w:rPr>
        <w:t>：麻醉机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90"/>
    <w:p>
      <w:pPr>
        <w:rPr>
          <w:rFonts w:hint="eastAsia" w:ascii="宋体" w:hAnsi="宋体" w:eastAsia="宋体" w:cs="宋体"/>
          <w:sz w:val="22"/>
          <w:szCs w:val="22"/>
        </w:rPr>
      </w:pPr>
      <w:r>
        <w:rPr>
          <w:rFonts w:hint="eastAsia" w:ascii="宋体" w:hAnsi="宋体" w:eastAsia="宋体" w:cs="宋体"/>
          <w:sz w:val="22"/>
          <w:szCs w:val="22"/>
        </w:rPr>
        <w:t>1.采用电控、气动控制方式。</w:t>
      </w:r>
    </w:p>
    <w:p>
      <w:pPr>
        <w:rPr>
          <w:rFonts w:hint="eastAsia" w:ascii="宋体" w:hAnsi="宋体" w:eastAsia="宋体" w:cs="宋体"/>
          <w:sz w:val="22"/>
          <w:szCs w:val="22"/>
        </w:rPr>
      </w:pPr>
      <w:r>
        <w:rPr>
          <w:rFonts w:hint="eastAsia" w:ascii="宋体" w:hAnsi="宋体" w:eastAsia="宋体" w:cs="宋体"/>
          <w:sz w:val="22"/>
          <w:szCs w:val="22"/>
        </w:rPr>
        <w:t>2.具有多种报警、提示及保护功能。</w:t>
      </w:r>
    </w:p>
    <w:p>
      <w:pPr>
        <w:rPr>
          <w:rFonts w:hint="eastAsia" w:ascii="宋体" w:hAnsi="宋体" w:eastAsia="宋体" w:cs="宋体"/>
          <w:sz w:val="22"/>
          <w:szCs w:val="22"/>
        </w:rPr>
      </w:pPr>
      <w:r>
        <w:rPr>
          <w:rFonts w:hint="eastAsia" w:ascii="宋体" w:hAnsi="宋体" w:eastAsia="宋体" w:cs="宋体"/>
          <w:sz w:val="22"/>
          <w:szCs w:val="22"/>
        </w:rPr>
        <w:t>3.具有停电支持功能。当市电断电后，自动转为机内备用电源工作。</w:t>
      </w:r>
    </w:p>
    <w:p>
      <w:pPr>
        <w:rPr>
          <w:rFonts w:hint="eastAsia" w:ascii="宋体" w:hAnsi="宋体" w:eastAsia="宋体" w:cs="宋体"/>
          <w:sz w:val="22"/>
          <w:szCs w:val="22"/>
        </w:rPr>
      </w:pPr>
      <w:r>
        <w:rPr>
          <w:rFonts w:hint="eastAsia" w:ascii="宋体" w:hAnsi="宋体" w:eastAsia="宋体" w:cs="宋体"/>
          <w:sz w:val="22"/>
          <w:szCs w:val="22"/>
        </w:rPr>
        <w:t>★4.采用</w:t>
      </w:r>
      <w:r>
        <w:rPr>
          <w:rFonts w:hint="eastAsia" w:ascii="宋体" w:hAnsi="宋体" w:cs="宋体"/>
          <w:kern w:val="0"/>
          <w:sz w:val="22"/>
          <w:szCs w:val="22"/>
          <w:lang w:bidi="ar"/>
        </w:rPr>
        <w:t>≥</w:t>
      </w:r>
      <w:r>
        <w:rPr>
          <w:rFonts w:hint="eastAsia" w:ascii="宋体" w:hAnsi="宋体" w:eastAsia="宋体" w:cs="宋体"/>
          <w:sz w:val="22"/>
          <w:szCs w:val="22"/>
        </w:rPr>
        <w:t>12.1寸触摸显示器,显示通气参数、报警信息及波形图</w:t>
      </w:r>
    </w:p>
    <w:p>
      <w:pPr>
        <w:rPr>
          <w:rFonts w:hint="eastAsia" w:ascii="宋体" w:hAnsi="宋体" w:eastAsia="宋体" w:cs="宋体"/>
          <w:sz w:val="22"/>
          <w:szCs w:val="22"/>
        </w:rPr>
      </w:pPr>
      <w:r>
        <w:rPr>
          <w:rFonts w:hint="eastAsia" w:ascii="宋体" w:hAnsi="宋体" w:eastAsia="宋体" w:cs="宋体"/>
          <w:sz w:val="22"/>
          <w:szCs w:val="22"/>
        </w:rPr>
        <w:t>★5.成人、儿童两用，开机自检后可进入成人和儿童模式选择界面。</w:t>
      </w:r>
    </w:p>
    <w:p>
      <w:pPr>
        <w:rPr>
          <w:rFonts w:hint="eastAsia" w:ascii="宋体" w:hAnsi="宋体" w:eastAsia="宋体" w:cs="宋体"/>
          <w:sz w:val="22"/>
          <w:szCs w:val="22"/>
        </w:rPr>
      </w:pPr>
      <w:r>
        <w:rPr>
          <w:rFonts w:hint="eastAsia" w:ascii="宋体" w:hAnsi="宋体" w:eastAsia="宋体" w:cs="宋体"/>
          <w:sz w:val="22"/>
          <w:szCs w:val="22"/>
        </w:rPr>
        <w:t>6.</w:t>
      </w:r>
      <w:r>
        <w:rPr>
          <w:rFonts w:hint="eastAsia" w:ascii="宋体" w:hAnsi="宋体" w:eastAsia="宋体" w:cs="宋体"/>
          <w:sz w:val="22"/>
          <w:szCs w:val="22"/>
        </w:rPr>
        <w:tab/>
      </w:r>
      <w:r>
        <w:rPr>
          <w:rFonts w:hint="eastAsia" w:ascii="宋体" w:hAnsi="宋体" w:eastAsia="宋体" w:cs="宋体"/>
          <w:sz w:val="22"/>
          <w:szCs w:val="22"/>
        </w:rPr>
        <w:t>采用有温度、流量、压力补偿且零位自锁的麻醉药蒸发器</w:t>
      </w:r>
    </w:p>
    <w:p>
      <w:pPr>
        <w:rPr>
          <w:rFonts w:hint="eastAsia" w:ascii="宋体" w:hAnsi="宋体" w:eastAsia="宋体" w:cs="宋体"/>
          <w:sz w:val="22"/>
          <w:szCs w:val="22"/>
        </w:rPr>
      </w:pPr>
      <w:r>
        <w:rPr>
          <w:rFonts w:hint="eastAsia" w:ascii="宋体" w:hAnsi="宋体" w:eastAsia="宋体" w:cs="宋体"/>
          <w:sz w:val="22"/>
          <w:szCs w:val="22"/>
        </w:rPr>
        <w:t>★7.采用</w:t>
      </w:r>
      <w:r>
        <w:rPr>
          <w:rFonts w:hint="eastAsia" w:ascii="宋体" w:hAnsi="宋体" w:cs="宋体"/>
          <w:kern w:val="0"/>
          <w:sz w:val="22"/>
          <w:szCs w:val="22"/>
          <w:lang w:bidi="ar"/>
        </w:rPr>
        <w:t>≥</w:t>
      </w:r>
      <w:r>
        <w:rPr>
          <w:rFonts w:hint="eastAsia" w:ascii="宋体" w:hAnsi="宋体" w:eastAsia="宋体" w:cs="宋体"/>
          <w:sz w:val="22"/>
          <w:szCs w:val="22"/>
        </w:rPr>
        <w:t>7寸独立屏幕显示流量计</w:t>
      </w:r>
    </w:p>
    <w:p>
      <w:pPr>
        <w:rPr>
          <w:rFonts w:hint="eastAsia" w:ascii="宋体" w:hAnsi="宋体" w:eastAsia="宋体" w:cs="宋体"/>
          <w:sz w:val="22"/>
          <w:szCs w:val="22"/>
        </w:rPr>
      </w:pPr>
      <w:r>
        <w:rPr>
          <w:rFonts w:hint="eastAsia" w:ascii="宋体" w:hAnsi="宋体" w:eastAsia="宋体" w:cs="宋体"/>
          <w:sz w:val="22"/>
          <w:szCs w:val="22"/>
        </w:rPr>
        <w:t>★8.标配呼吸末二氧化碳接口，选配呼吸末二氧化碳监测功能,且同屏可显示</w:t>
      </w:r>
    </w:p>
    <w:p>
      <w:pPr>
        <w:rPr>
          <w:rFonts w:hint="eastAsia" w:ascii="宋体" w:hAnsi="宋体" w:eastAsia="宋体" w:cs="宋体"/>
          <w:sz w:val="22"/>
          <w:szCs w:val="22"/>
        </w:rPr>
      </w:pPr>
      <w:r>
        <w:rPr>
          <w:rFonts w:hint="eastAsia" w:ascii="宋体" w:hAnsi="宋体" w:eastAsia="宋体" w:cs="宋体"/>
          <w:sz w:val="22"/>
          <w:szCs w:val="22"/>
        </w:rPr>
        <w:t>9.可选配麻醉深度监测</w:t>
      </w:r>
      <w:r>
        <w:rPr>
          <w:rFonts w:hint="eastAsia" w:ascii="宋体" w:hAnsi="宋体" w:eastAsia="宋体" w:cs="宋体"/>
          <w:sz w:val="22"/>
          <w:szCs w:val="22"/>
        </w:rPr>
        <w:tab/>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10.标配三气源:氧气，笑气，空气</w:t>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 xml:space="preserve">  ★通气模式</w:t>
      </w:r>
    </w:p>
    <w:p>
      <w:pPr>
        <w:rPr>
          <w:rFonts w:hint="eastAsia" w:ascii="宋体" w:hAnsi="宋体" w:eastAsia="宋体" w:cs="宋体"/>
          <w:sz w:val="22"/>
          <w:szCs w:val="22"/>
        </w:rPr>
      </w:pPr>
      <w:r>
        <w:rPr>
          <w:rFonts w:hint="eastAsia" w:ascii="宋体" w:hAnsi="宋体" w:eastAsia="宋体" w:cs="宋体"/>
          <w:sz w:val="22"/>
          <w:szCs w:val="22"/>
        </w:rPr>
        <w:t>1.间歇正压通气（IPPV/vcv）</w:t>
      </w:r>
    </w:p>
    <w:p>
      <w:pPr>
        <w:rPr>
          <w:rFonts w:hint="eastAsia" w:ascii="宋体" w:hAnsi="宋体" w:eastAsia="宋体" w:cs="宋体"/>
          <w:sz w:val="22"/>
          <w:szCs w:val="22"/>
        </w:rPr>
      </w:pPr>
      <w:r>
        <w:rPr>
          <w:rFonts w:hint="eastAsia" w:ascii="宋体" w:hAnsi="宋体" w:eastAsia="宋体" w:cs="宋体"/>
          <w:sz w:val="22"/>
          <w:szCs w:val="22"/>
        </w:rPr>
        <w:t>2.辅助/控制通气(A/C)</w:t>
      </w:r>
    </w:p>
    <w:p>
      <w:pPr>
        <w:rPr>
          <w:rFonts w:hint="eastAsia" w:ascii="宋体" w:hAnsi="宋体" w:eastAsia="宋体" w:cs="宋体"/>
          <w:sz w:val="22"/>
          <w:szCs w:val="22"/>
        </w:rPr>
      </w:pPr>
      <w:r>
        <w:rPr>
          <w:rFonts w:hint="eastAsia" w:ascii="宋体" w:hAnsi="宋体" w:eastAsia="宋体" w:cs="宋体"/>
          <w:sz w:val="22"/>
          <w:szCs w:val="22"/>
        </w:rPr>
        <w:t>3.同步间歇指令通气（SIMV）</w:t>
      </w:r>
    </w:p>
    <w:p>
      <w:pPr>
        <w:rPr>
          <w:rFonts w:hint="eastAsia" w:ascii="宋体" w:hAnsi="宋体" w:eastAsia="宋体" w:cs="宋体"/>
          <w:sz w:val="22"/>
          <w:szCs w:val="22"/>
        </w:rPr>
      </w:pPr>
      <w:r>
        <w:rPr>
          <w:rFonts w:hint="eastAsia" w:ascii="宋体" w:hAnsi="宋体" w:eastAsia="宋体" w:cs="宋体"/>
          <w:sz w:val="22"/>
          <w:szCs w:val="22"/>
        </w:rPr>
        <w:t>4.压力控制通气（PCV）</w:t>
      </w:r>
    </w:p>
    <w:p>
      <w:pPr>
        <w:rPr>
          <w:rFonts w:hint="eastAsia" w:ascii="宋体" w:hAnsi="宋体" w:eastAsia="宋体" w:cs="宋体"/>
          <w:sz w:val="22"/>
          <w:szCs w:val="22"/>
        </w:rPr>
      </w:pPr>
      <w:r>
        <w:rPr>
          <w:rFonts w:hint="eastAsia" w:ascii="宋体" w:hAnsi="宋体" w:eastAsia="宋体" w:cs="宋体"/>
          <w:sz w:val="22"/>
          <w:szCs w:val="22"/>
        </w:rPr>
        <w:t>5.叹息通气(SIGH)</w:t>
      </w:r>
    </w:p>
    <w:p>
      <w:pPr>
        <w:rPr>
          <w:rFonts w:hint="eastAsia" w:ascii="宋体" w:hAnsi="宋体" w:eastAsia="宋体" w:cs="宋体"/>
          <w:sz w:val="22"/>
          <w:szCs w:val="22"/>
        </w:rPr>
      </w:pPr>
      <w:r>
        <w:rPr>
          <w:rFonts w:hint="eastAsia" w:ascii="宋体" w:hAnsi="宋体" w:eastAsia="宋体" w:cs="宋体"/>
          <w:sz w:val="22"/>
          <w:szCs w:val="22"/>
        </w:rPr>
        <w:t>6.手控通气 （MANU）</w:t>
      </w:r>
    </w:p>
    <w:p>
      <w:pPr>
        <w:rPr>
          <w:rFonts w:hint="eastAsia" w:ascii="宋体" w:hAnsi="宋体" w:eastAsia="宋体" w:cs="宋体"/>
          <w:sz w:val="22"/>
          <w:szCs w:val="22"/>
        </w:rPr>
      </w:pPr>
      <w:r>
        <w:rPr>
          <w:rFonts w:hint="eastAsia" w:ascii="宋体" w:hAnsi="宋体" w:eastAsia="宋体" w:cs="宋体"/>
          <w:sz w:val="22"/>
          <w:szCs w:val="22"/>
        </w:rPr>
        <w:t>调节参数</w:t>
      </w:r>
    </w:p>
    <w:p>
      <w:pPr>
        <w:rPr>
          <w:rFonts w:hint="eastAsia" w:ascii="宋体" w:hAnsi="宋体" w:eastAsia="宋体" w:cs="宋体"/>
          <w:sz w:val="22"/>
          <w:szCs w:val="22"/>
        </w:rPr>
      </w:pPr>
      <w:r>
        <w:rPr>
          <w:rFonts w:hint="eastAsia" w:ascii="宋体" w:hAnsi="宋体" w:eastAsia="宋体" w:cs="宋体"/>
          <w:sz w:val="22"/>
          <w:szCs w:val="22"/>
        </w:rPr>
        <w:t>1.流量计：</w:t>
      </w:r>
      <w:r>
        <w:rPr>
          <w:rFonts w:hint="eastAsia" w:ascii="宋体" w:hAnsi="宋体"/>
          <w:sz w:val="24"/>
        </w:rPr>
        <w:t>O</w:t>
      </w:r>
      <w:r>
        <w:rPr>
          <w:rFonts w:hint="eastAsia" w:ascii="宋体" w:hAnsi="宋体"/>
          <w:sz w:val="24"/>
          <w:vertAlign w:val="subscript"/>
        </w:rPr>
        <w:t>2</w:t>
      </w:r>
      <w:r>
        <w:rPr>
          <w:rFonts w:hint="eastAsia" w:ascii="宋体" w:hAnsi="宋体"/>
          <w:sz w:val="24"/>
        </w:rPr>
        <w:t>：0.1～10 L/min</w:t>
      </w:r>
    </w:p>
    <w:p>
      <w:pPr>
        <w:rPr>
          <w:rFonts w:hint="eastAsia" w:ascii="宋体" w:hAnsi="宋体" w:eastAsia="宋体" w:cs="宋体"/>
          <w:sz w:val="22"/>
          <w:szCs w:val="22"/>
        </w:rPr>
      </w:pPr>
      <w:r>
        <w:rPr>
          <w:rFonts w:hint="eastAsia" w:ascii="宋体" w:hAnsi="宋体" w:eastAsia="宋体" w:cs="宋体"/>
          <w:sz w:val="22"/>
          <w:szCs w:val="22"/>
        </w:rPr>
        <w:t xml:space="preserve">  AIR：0.1～10 L/min</w:t>
      </w:r>
    </w:p>
    <w:p>
      <w:pPr>
        <w:rPr>
          <w:rFonts w:hint="eastAsia" w:ascii="宋体" w:hAnsi="宋体" w:eastAsia="宋体" w:cs="宋体"/>
          <w:sz w:val="22"/>
          <w:szCs w:val="22"/>
        </w:rPr>
      </w:pPr>
      <w:r>
        <w:rPr>
          <w:rFonts w:hint="eastAsia" w:ascii="宋体" w:hAnsi="宋体" w:eastAsia="宋体" w:cs="宋体"/>
          <w:sz w:val="22"/>
          <w:szCs w:val="22"/>
        </w:rPr>
        <w:t>N2O: 0.1～10L/min</w:t>
      </w:r>
    </w:p>
    <w:p>
      <w:pPr>
        <w:rPr>
          <w:rFonts w:hint="eastAsia" w:ascii="宋体" w:hAnsi="宋体" w:eastAsia="宋体" w:cs="宋体"/>
          <w:sz w:val="22"/>
          <w:szCs w:val="22"/>
        </w:rPr>
      </w:pPr>
      <w:r>
        <w:rPr>
          <w:rFonts w:hint="eastAsia" w:ascii="宋体" w:hAnsi="宋体" w:eastAsia="宋体" w:cs="宋体"/>
          <w:sz w:val="22"/>
          <w:szCs w:val="22"/>
        </w:rPr>
        <w:t xml:space="preserve">2.快速供氧 ：25 L/min～ 75 L/min </w:t>
      </w:r>
    </w:p>
    <w:p>
      <w:pPr>
        <w:rPr>
          <w:rFonts w:hint="eastAsia" w:ascii="宋体" w:hAnsi="宋体" w:eastAsia="宋体" w:cs="宋体"/>
          <w:sz w:val="22"/>
          <w:szCs w:val="22"/>
        </w:rPr>
      </w:pPr>
      <w:r>
        <w:rPr>
          <w:rFonts w:hint="eastAsia" w:ascii="宋体" w:hAnsi="宋体" w:eastAsia="宋体" w:cs="宋体"/>
          <w:sz w:val="22"/>
          <w:szCs w:val="22"/>
        </w:rPr>
        <w:t xml:space="preserve">★3.潮气量（VT）：0，20mL ～ 1500 mL  </w:t>
      </w:r>
    </w:p>
    <w:p>
      <w:pPr>
        <w:rPr>
          <w:rFonts w:hint="eastAsia" w:ascii="宋体" w:hAnsi="宋体" w:eastAsia="宋体" w:cs="宋体"/>
          <w:sz w:val="22"/>
          <w:szCs w:val="22"/>
        </w:rPr>
      </w:pPr>
      <w:r>
        <w:rPr>
          <w:rFonts w:hint="eastAsia" w:ascii="宋体" w:hAnsi="宋体" w:eastAsia="宋体" w:cs="宋体"/>
          <w:sz w:val="22"/>
          <w:szCs w:val="22"/>
        </w:rPr>
        <w:t xml:space="preserve">4.分钟最大通气量（MV）：成人  </w:t>
      </w:r>
      <w:r>
        <w:rPr>
          <w:rFonts w:hint="eastAsia" w:ascii="宋体" w:hAnsi="宋体" w:eastAsia="宋体" w:cs="宋体"/>
          <w:sz w:val="22"/>
          <w:szCs w:val="22"/>
        </w:rPr>
        <w:tab/>
      </w:r>
      <w:r>
        <w:rPr>
          <w:rFonts w:hint="eastAsia" w:ascii="宋体" w:hAnsi="宋体" w:eastAsia="宋体" w:cs="宋体"/>
          <w:sz w:val="22"/>
          <w:szCs w:val="22"/>
        </w:rPr>
        <w:t xml:space="preserve">≥18 L/min、儿童  </w:t>
      </w:r>
      <w:r>
        <w:rPr>
          <w:rFonts w:hint="eastAsia" w:ascii="宋体" w:hAnsi="宋体" w:eastAsia="宋体" w:cs="宋体"/>
          <w:sz w:val="22"/>
          <w:szCs w:val="22"/>
        </w:rPr>
        <w:tab/>
      </w:r>
      <w:r>
        <w:rPr>
          <w:rFonts w:hint="eastAsia" w:ascii="宋体" w:hAnsi="宋体" w:eastAsia="宋体" w:cs="宋体"/>
          <w:sz w:val="22"/>
          <w:szCs w:val="22"/>
        </w:rPr>
        <w:t>≥10 L/min</w:t>
      </w:r>
    </w:p>
    <w:p>
      <w:pPr>
        <w:rPr>
          <w:rFonts w:hint="eastAsia" w:ascii="宋体" w:hAnsi="宋体" w:eastAsia="宋体" w:cs="宋体"/>
          <w:sz w:val="22"/>
          <w:szCs w:val="22"/>
        </w:rPr>
      </w:pPr>
      <w:r>
        <w:rPr>
          <w:rFonts w:hint="eastAsia" w:ascii="宋体" w:hAnsi="宋体" w:eastAsia="宋体" w:cs="宋体"/>
          <w:sz w:val="22"/>
          <w:szCs w:val="22"/>
        </w:rPr>
        <w:t>★5.频率（Freq）： 1 bpm ～ 100 bpm、(SIMV模式：1 bpm～ 40 bpm、除SIMV模式：成人 4 bpm～ 40 bpm、儿童 20bpm～ 100 bpm )</w:t>
      </w:r>
    </w:p>
    <w:p>
      <w:pPr>
        <w:rPr>
          <w:rFonts w:hint="eastAsia" w:ascii="宋体" w:hAnsi="宋体" w:eastAsia="宋体" w:cs="宋体"/>
          <w:sz w:val="22"/>
          <w:szCs w:val="22"/>
        </w:rPr>
      </w:pPr>
      <w:r>
        <w:rPr>
          <w:rFonts w:hint="eastAsia" w:ascii="宋体" w:hAnsi="宋体" w:eastAsia="宋体" w:cs="宋体"/>
          <w:sz w:val="22"/>
          <w:szCs w:val="22"/>
        </w:rPr>
        <w:t>6.吸呼比：成人 4:1（1:0.25） ～ 1:8、儿童 2:1（1:0.5） ～ 1:8、（吸气时间0.2 s ～ 12.0 s）</w:t>
      </w:r>
    </w:p>
    <w:p>
      <w:pPr>
        <w:rPr>
          <w:rFonts w:hint="eastAsia" w:ascii="宋体" w:hAnsi="宋体" w:eastAsia="宋体" w:cs="宋体"/>
          <w:sz w:val="22"/>
          <w:szCs w:val="22"/>
        </w:rPr>
      </w:pPr>
      <w:r>
        <w:rPr>
          <w:rFonts w:hint="eastAsia" w:ascii="宋体" w:hAnsi="宋体" w:eastAsia="宋体" w:cs="宋体"/>
          <w:sz w:val="22"/>
          <w:szCs w:val="22"/>
        </w:rPr>
        <w:t>7.呼气末正压（PEEP）：</w:t>
      </w:r>
      <w:r>
        <w:rPr>
          <w:rFonts w:hint="eastAsia" w:ascii="宋体" w:hAnsi="宋体"/>
          <w:sz w:val="24"/>
          <w:lang w:val="pt-PT"/>
        </w:rPr>
        <w:t>0 cmH</w:t>
      </w:r>
      <w:r>
        <w:rPr>
          <w:rFonts w:hint="eastAsia" w:ascii="宋体" w:hAnsi="宋体"/>
          <w:sz w:val="24"/>
          <w:vertAlign w:val="subscript"/>
          <w:lang w:val="pt-PT"/>
        </w:rPr>
        <w:t>2</w:t>
      </w:r>
      <w:r>
        <w:rPr>
          <w:rFonts w:hint="eastAsia" w:ascii="宋体" w:hAnsi="宋体"/>
          <w:sz w:val="24"/>
          <w:lang w:val="pt-PT"/>
        </w:rPr>
        <w:t>O ～ 30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8.压力触发灵敏度（PTr）：</w:t>
      </w:r>
      <w:r>
        <w:rPr>
          <w:rFonts w:hint="eastAsia" w:ascii="宋体" w:hAnsi="宋体"/>
          <w:sz w:val="24"/>
          <w:lang w:val="pt-PT"/>
        </w:rPr>
        <w:t>－</w:t>
      </w:r>
      <w:r>
        <w:rPr>
          <w:rFonts w:ascii="宋体" w:hAnsi="宋体"/>
          <w:sz w:val="24"/>
          <w:lang w:val="pt-PT"/>
        </w:rPr>
        <w:t>20</w:t>
      </w:r>
      <w:r>
        <w:rPr>
          <w:rFonts w:hint="eastAsia" w:ascii="宋体" w:hAnsi="宋体"/>
          <w:sz w:val="24"/>
          <w:lang w:val="pt-PT"/>
        </w:rPr>
        <w:t xml:space="preserve"> cmH</w:t>
      </w:r>
      <w:r>
        <w:rPr>
          <w:rFonts w:hint="eastAsia" w:ascii="宋体" w:hAnsi="宋体"/>
          <w:sz w:val="24"/>
          <w:vertAlign w:val="subscript"/>
          <w:lang w:val="pt-PT"/>
        </w:rPr>
        <w:t>2</w:t>
      </w:r>
      <w:r>
        <w:rPr>
          <w:rFonts w:hint="eastAsia" w:ascii="宋体" w:hAnsi="宋体"/>
          <w:sz w:val="24"/>
          <w:lang w:val="pt-PT"/>
        </w:rPr>
        <w:t xml:space="preserve">O </w:t>
      </w:r>
      <w:r>
        <w:rPr>
          <w:rFonts w:hint="eastAsia" w:ascii="宋体" w:hAnsi="宋体"/>
          <w:sz w:val="24"/>
        </w:rPr>
        <w:t>～</w:t>
      </w:r>
      <w:r>
        <w:rPr>
          <w:rFonts w:hint="eastAsia" w:ascii="宋体" w:hAnsi="宋体"/>
          <w:sz w:val="24"/>
          <w:lang w:val="pt-PT"/>
        </w:rPr>
        <w:t xml:space="preserve"> 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（基于PEEP）</w:t>
      </w:r>
    </w:p>
    <w:p>
      <w:pPr>
        <w:rPr>
          <w:rFonts w:hint="eastAsia" w:ascii="宋体" w:hAnsi="宋体" w:eastAsia="宋体" w:cs="宋体"/>
          <w:sz w:val="22"/>
          <w:szCs w:val="22"/>
        </w:rPr>
      </w:pPr>
      <w:r>
        <w:rPr>
          <w:rFonts w:hint="eastAsia" w:ascii="宋体" w:hAnsi="宋体" w:eastAsia="宋体" w:cs="宋体"/>
          <w:sz w:val="22"/>
          <w:szCs w:val="22"/>
        </w:rPr>
        <w:t>9.流量触发灵敏度（FTr）： 关闭， 0.5 L/min ～ 30 L/min</w:t>
      </w:r>
    </w:p>
    <w:p>
      <w:pPr>
        <w:rPr>
          <w:rFonts w:hint="eastAsia" w:ascii="宋体" w:hAnsi="宋体" w:eastAsia="宋体" w:cs="宋体"/>
          <w:sz w:val="22"/>
          <w:szCs w:val="22"/>
        </w:rPr>
      </w:pPr>
      <w:r>
        <w:rPr>
          <w:rFonts w:hint="eastAsia" w:ascii="宋体" w:hAnsi="宋体" w:eastAsia="宋体" w:cs="宋体"/>
          <w:sz w:val="22"/>
          <w:szCs w:val="22"/>
        </w:rPr>
        <w:t>10.压力控制（Pc）：</w:t>
      </w:r>
      <w:r>
        <w:rPr>
          <w:rFonts w:hint="eastAsia" w:ascii="宋体" w:hAnsi="宋体"/>
          <w:color w:val="000000"/>
          <w:sz w:val="24"/>
          <w:lang w:val="pt-PT"/>
        </w:rPr>
        <w:t xml:space="preserve">5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color w:val="000000"/>
          <w:sz w:val="24"/>
          <w:lang w:val="pt-PT"/>
        </w:rPr>
        <w:t xml:space="preserve"> </w:t>
      </w:r>
      <w:r>
        <w:rPr>
          <w:rFonts w:hint="eastAsia" w:ascii="宋体" w:hAnsi="宋体"/>
          <w:color w:val="000000"/>
          <w:sz w:val="24"/>
        </w:rPr>
        <w:t>～</w:t>
      </w:r>
      <w:r>
        <w:rPr>
          <w:rFonts w:hint="eastAsia" w:ascii="宋体" w:hAnsi="宋体"/>
          <w:color w:val="000000"/>
          <w:sz w:val="24"/>
          <w:lang w:val="pt-PT"/>
        </w:rPr>
        <w:t xml:space="preserve"> 60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★11.屏气时间（吸气末屏气、吸气平台）（TIP）0 ～ 6s(0 % ～ 50 % 吸气时间)</w:t>
      </w:r>
    </w:p>
    <w:p>
      <w:pPr>
        <w:rPr>
          <w:rFonts w:hint="eastAsia" w:ascii="宋体" w:hAnsi="宋体" w:eastAsia="宋体" w:cs="宋体"/>
          <w:sz w:val="22"/>
          <w:szCs w:val="22"/>
        </w:rPr>
      </w:pPr>
      <w:r>
        <w:rPr>
          <w:rFonts w:hint="eastAsia" w:ascii="宋体" w:hAnsi="宋体" w:eastAsia="宋体" w:cs="宋体"/>
          <w:sz w:val="22"/>
          <w:szCs w:val="22"/>
        </w:rPr>
        <w:t xml:space="preserve">12.叹息通气（SIGH）： 0（OFF）,1 ～ 5 (/100)                </w:t>
      </w:r>
    </w:p>
    <w:p>
      <w:pPr>
        <w:rPr>
          <w:rFonts w:hint="eastAsia" w:ascii="宋体" w:hAnsi="宋体" w:eastAsia="宋体" w:cs="宋体"/>
          <w:sz w:val="22"/>
          <w:szCs w:val="22"/>
        </w:rPr>
      </w:pPr>
      <w:r>
        <w:rPr>
          <w:rFonts w:hint="eastAsia" w:ascii="宋体" w:hAnsi="宋体" w:eastAsia="宋体" w:cs="宋体"/>
          <w:sz w:val="22"/>
          <w:szCs w:val="22"/>
        </w:rPr>
        <w:t>13.窒息通气： OFF，5 s　～ 60 s</w:t>
      </w:r>
    </w:p>
    <w:p>
      <w:pPr>
        <w:rPr>
          <w:rFonts w:hint="eastAsia" w:ascii="宋体" w:hAnsi="宋体" w:eastAsia="宋体" w:cs="宋体"/>
          <w:sz w:val="22"/>
          <w:szCs w:val="22"/>
        </w:rPr>
      </w:pPr>
      <w:r>
        <w:rPr>
          <w:rFonts w:hint="eastAsia" w:ascii="宋体" w:hAnsi="宋体" w:eastAsia="宋体" w:cs="宋体"/>
          <w:sz w:val="22"/>
          <w:szCs w:val="22"/>
        </w:rPr>
        <w:t xml:space="preserve">14.压力限制： </w:t>
      </w:r>
      <w:r>
        <w:rPr>
          <w:rFonts w:hint="eastAsia" w:ascii="宋体" w:hAnsi="宋体"/>
          <w:sz w:val="24"/>
          <w:lang w:val="pt-PT"/>
        </w:rPr>
        <w:t>20 cmH</w:t>
      </w:r>
      <w:r>
        <w:rPr>
          <w:rFonts w:hint="eastAsia" w:ascii="宋体" w:hAnsi="宋体"/>
          <w:sz w:val="24"/>
          <w:vertAlign w:val="subscript"/>
          <w:lang w:val="pt-PT"/>
        </w:rPr>
        <w:t>2</w:t>
      </w:r>
      <w:r>
        <w:rPr>
          <w:rFonts w:hint="eastAsia" w:ascii="宋体" w:hAnsi="宋体"/>
          <w:sz w:val="24"/>
          <w:lang w:val="pt-PT"/>
        </w:rPr>
        <w:t>O ～ 100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p>
    <w:p>
      <w:pPr>
        <w:rPr>
          <w:rFonts w:hint="eastAsia" w:ascii="宋体" w:hAnsi="宋体" w:eastAsia="宋体" w:cs="宋体"/>
          <w:sz w:val="22"/>
          <w:szCs w:val="22"/>
        </w:rPr>
      </w:pPr>
      <w:r>
        <w:rPr>
          <w:rFonts w:hint="eastAsia" w:ascii="宋体" w:hAnsi="宋体" w:eastAsia="宋体" w:cs="宋体"/>
          <w:sz w:val="22"/>
          <w:szCs w:val="22"/>
        </w:rPr>
        <w:t>监测参数</w:t>
      </w:r>
    </w:p>
    <w:p>
      <w:pPr>
        <w:rPr>
          <w:rFonts w:hint="eastAsia" w:ascii="宋体" w:hAnsi="宋体" w:eastAsia="宋体" w:cs="宋体"/>
          <w:sz w:val="22"/>
          <w:szCs w:val="22"/>
        </w:rPr>
      </w:pPr>
      <w:r>
        <w:rPr>
          <w:rFonts w:hint="eastAsia" w:ascii="宋体" w:hAnsi="宋体" w:eastAsia="宋体" w:cs="宋体"/>
          <w:sz w:val="22"/>
          <w:szCs w:val="22"/>
        </w:rPr>
        <w:t>1.频率（Freq）： 0 /min ～ 100 /min</w:t>
      </w:r>
    </w:p>
    <w:p>
      <w:pPr>
        <w:rPr>
          <w:rFonts w:hint="eastAsia" w:ascii="宋体" w:hAnsi="宋体" w:eastAsia="宋体" w:cs="宋体"/>
          <w:sz w:val="22"/>
          <w:szCs w:val="22"/>
        </w:rPr>
      </w:pPr>
      <w:r>
        <w:rPr>
          <w:rFonts w:hint="eastAsia" w:ascii="宋体" w:hAnsi="宋体" w:eastAsia="宋体" w:cs="宋体"/>
          <w:sz w:val="22"/>
          <w:szCs w:val="22"/>
        </w:rPr>
        <w:t>2.潮气量（VT）：0 mL ～ 2000 mL</w:t>
      </w:r>
    </w:p>
    <w:p>
      <w:pPr>
        <w:rPr>
          <w:rFonts w:hint="eastAsia" w:ascii="宋体" w:hAnsi="宋体" w:eastAsia="宋体" w:cs="宋体"/>
          <w:sz w:val="22"/>
          <w:szCs w:val="22"/>
        </w:rPr>
      </w:pPr>
      <w:r>
        <w:rPr>
          <w:rFonts w:hint="eastAsia" w:ascii="宋体" w:hAnsi="宋体" w:eastAsia="宋体" w:cs="宋体"/>
          <w:sz w:val="22"/>
          <w:szCs w:val="22"/>
        </w:rPr>
        <w:t xml:space="preserve">3.分钟通气量（MV）：0 L/min ～ 100 L/min                                                                        </w:t>
      </w:r>
    </w:p>
    <w:p>
      <w:pPr>
        <w:rPr>
          <w:rFonts w:hint="eastAsia" w:ascii="宋体" w:hAnsi="宋体" w:eastAsia="宋体" w:cs="宋体"/>
          <w:sz w:val="22"/>
          <w:szCs w:val="22"/>
        </w:rPr>
      </w:pPr>
      <w:r>
        <w:rPr>
          <w:rFonts w:hint="eastAsia" w:ascii="宋体" w:hAnsi="宋体" w:eastAsia="宋体" w:cs="宋体"/>
          <w:sz w:val="22"/>
          <w:szCs w:val="22"/>
        </w:rPr>
        <w:t>4.气道压力： 0 cmH2O ～ 100 cmH2O</w:t>
      </w:r>
    </w:p>
    <w:p>
      <w:pPr>
        <w:rPr>
          <w:rFonts w:hint="eastAsia" w:ascii="宋体" w:hAnsi="宋体" w:eastAsia="宋体" w:cs="宋体"/>
          <w:sz w:val="22"/>
          <w:szCs w:val="22"/>
        </w:rPr>
      </w:pPr>
      <w:r>
        <w:rPr>
          <w:rFonts w:hint="eastAsia" w:ascii="宋体" w:hAnsi="宋体" w:eastAsia="宋体" w:cs="宋体"/>
          <w:sz w:val="22"/>
          <w:szCs w:val="22"/>
        </w:rPr>
        <w:t xml:space="preserve">5.患者动态肺顺应性监测 ：1mL/cmH2O ～ 1000 mL/cmH2O </w:t>
      </w:r>
    </w:p>
    <w:p>
      <w:pPr>
        <w:rPr>
          <w:rFonts w:hint="eastAsia" w:ascii="宋体" w:hAnsi="宋体" w:eastAsia="宋体" w:cs="宋体"/>
          <w:sz w:val="22"/>
          <w:szCs w:val="22"/>
        </w:rPr>
      </w:pPr>
      <w:r>
        <w:rPr>
          <w:rFonts w:hint="eastAsia" w:ascii="宋体" w:hAnsi="宋体" w:eastAsia="宋体" w:cs="宋体"/>
          <w:sz w:val="22"/>
          <w:szCs w:val="22"/>
        </w:rPr>
        <w:t xml:space="preserve"> ★6.吸入氧浓度： 15 % ～ 100 %</w:t>
      </w:r>
    </w:p>
    <w:p>
      <w:pPr>
        <w:rPr>
          <w:rFonts w:hint="eastAsia" w:ascii="宋体" w:hAnsi="宋体" w:eastAsia="宋体" w:cs="宋体"/>
          <w:sz w:val="22"/>
          <w:szCs w:val="22"/>
        </w:rPr>
      </w:pPr>
      <w:r>
        <w:rPr>
          <w:rFonts w:hint="eastAsia" w:ascii="宋体" w:hAnsi="宋体" w:eastAsia="宋体" w:cs="宋体"/>
          <w:sz w:val="22"/>
          <w:szCs w:val="22"/>
        </w:rPr>
        <w:t xml:space="preserve"> ★图形显示：</w:t>
      </w:r>
    </w:p>
    <w:p>
      <w:pPr>
        <w:rPr>
          <w:rFonts w:hint="eastAsia" w:ascii="宋体" w:hAnsi="宋体" w:eastAsia="宋体" w:cs="宋体"/>
          <w:sz w:val="22"/>
          <w:szCs w:val="22"/>
        </w:rPr>
      </w:pPr>
      <w:r>
        <w:rPr>
          <w:rFonts w:hint="eastAsia" w:ascii="宋体" w:hAnsi="宋体" w:eastAsia="宋体" w:cs="宋体"/>
          <w:sz w:val="22"/>
          <w:szCs w:val="22"/>
        </w:rPr>
        <w:t>1.气道压力—时间波形图</w:t>
      </w:r>
    </w:p>
    <w:p>
      <w:pPr>
        <w:rPr>
          <w:rFonts w:hint="eastAsia" w:ascii="宋体" w:hAnsi="宋体" w:eastAsia="宋体" w:cs="宋体"/>
          <w:sz w:val="22"/>
          <w:szCs w:val="22"/>
        </w:rPr>
      </w:pPr>
      <w:r>
        <w:rPr>
          <w:rFonts w:hint="eastAsia" w:ascii="宋体" w:hAnsi="宋体" w:eastAsia="宋体" w:cs="宋体"/>
          <w:sz w:val="22"/>
          <w:szCs w:val="22"/>
        </w:rPr>
        <w:t>2.流量—时间波形图</w:t>
      </w:r>
    </w:p>
    <w:p>
      <w:pPr>
        <w:rPr>
          <w:rFonts w:hint="eastAsia" w:ascii="宋体" w:hAnsi="宋体" w:eastAsia="宋体" w:cs="宋体"/>
          <w:sz w:val="22"/>
          <w:szCs w:val="22"/>
        </w:rPr>
      </w:pPr>
      <w:r>
        <w:rPr>
          <w:rFonts w:hint="eastAsia" w:ascii="宋体" w:hAnsi="宋体" w:eastAsia="宋体" w:cs="宋体"/>
          <w:sz w:val="22"/>
          <w:szCs w:val="22"/>
        </w:rPr>
        <w:t>3.压力容量环</w:t>
      </w:r>
    </w:p>
    <w:p>
      <w:pPr>
        <w:rPr>
          <w:rFonts w:hint="eastAsia" w:ascii="宋体" w:hAnsi="宋体" w:eastAsia="宋体" w:cs="宋体"/>
          <w:sz w:val="22"/>
          <w:szCs w:val="22"/>
        </w:rPr>
      </w:pPr>
      <w:r>
        <w:rPr>
          <w:rFonts w:hint="eastAsia" w:ascii="宋体" w:hAnsi="宋体" w:eastAsia="宋体" w:cs="宋体"/>
          <w:sz w:val="22"/>
          <w:szCs w:val="22"/>
        </w:rPr>
        <w:t xml:space="preserve">报警及保护 </w:t>
      </w:r>
    </w:p>
    <w:p>
      <w:pPr>
        <w:rPr>
          <w:rFonts w:hint="eastAsia" w:ascii="宋体" w:hAnsi="宋体" w:eastAsia="宋体" w:cs="宋体"/>
          <w:sz w:val="22"/>
          <w:szCs w:val="22"/>
        </w:rPr>
      </w:pPr>
      <w:r>
        <w:rPr>
          <w:rFonts w:hint="eastAsia" w:ascii="宋体" w:hAnsi="宋体" w:eastAsia="宋体" w:cs="宋体"/>
          <w:sz w:val="22"/>
          <w:szCs w:val="22"/>
        </w:rPr>
        <w:t>1.交流电源断电报警</w:t>
      </w:r>
    </w:p>
    <w:p>
      <w:pPr>
        <w:rPr>
          <w:rFonts w:hint="eastAsia" w:ascii="宋体" w:hAnsi="宋体" w:eastAsia="宋体" w:cs="宋体"/>
          <w:sz w:val="22"/>
          <w:szCs w:val="22"/>
        </w:rPr>
      </w:pPr>
      <w:r>
        <w:rPr>
          <w:rFonts w:hint="eastAsia" w:ascii="宋体" w:hAnsi="宋体" w:eastAsia="宋体" w:cs="宋体"/>
          <w:sz w:val="22"/>
          <w:szCs w:val="22"/>
        </w:rPr>
        <w:t>2.内部备用电源电池电压欠压报警</w:t>
      </w:r>
    </w:p>
    <w:p>
      <w:pPr>
        <w:rPr>
          <w:rFonts w:hint="eastAsia" w:ascii="宋体" w:hAnsi="宋体" w:eastAsia="宋体" w:cs="宋体"/>
          <w:sz w:val="22"/>
          <w:szCs w:val="22"/>
        </w:rPr>
      </w:pPr>
      <w:r>
        <w:rPr>
          <w:rFonts w:hint="eastAsia" w:ascii="宋体" w:hAnsi="宋体" w:eastAsia="宋体" w:cs="宋体"/>
          <w:sz w:val="22"/>
          <w:szCs w:val="22"/>
        </w:rPr>
        <w:t>3.无潮气量报警</w:t>
      </w:r>
    </w:p>
    <w:p>
      <w:pPr>
        <w:rPr>
          <w:rFonts w:hint="eastAsia" w:ascii="宋体" w:hAnsi="宋体" w:eastAsia="宋体" w:cs="宋体"/>
          <w:sz w:val="22"/>
          <w:szCs w:val="22"/>
        </w:rPr>
      </w:pPr>
      <w:r>
        <w:rPr>
          <w:rFonts w:hint="eastAsia" w:ascii="宋体" w:hAnsi="宋体" w:eastAsia="宋体" w:cs="宋体"/>
          <w:sz w:val="22"/>
          <w:szCs w:val="22"/>
        </w:rPr>
        <w:t>4.高（低）通气量报警</w:t>
      </w:r>
    </w:p>
    <w:p>
      <w:pPr>
        <w:rPr>
          <w:rFonts w:hint="eastAsia" w:ascii="宋体" w:hAnsi="宋体" w:eastAsia="宋体" w:cs="宋体"/>
          <w:sz w:val="22"/>
          <w:szCs w:val="22"/>
        </w:rPr>
      </w:pPr>
      <w:r>
        <w:rPr>
          <w:rFonts w:hint="eastAsia" w:ascii="宋体" w:hAnsi="宋体" w:eastAsia="宋体" w:cs="宋体"/>
          <w:sz w:val="22"/>
          <w:szCs w:val="22"/>
        </w:rPr>
        <w:t>5.气道高（低）压报警</w:t>
      </w:r>
    </w:p>
    <w:p>
      <w:pPr>
        <w:rPr>
          <w:rFonts w:hint="eastAsia" w:ascii="宋体" w:hAnsi="宋体" w:eastAsia="宋体" w:cs="宋体"/>
          <w:sz w:val="22"/>
          <w:szCs w:val="22"/>
        </w:rPr>
      </w:pPr>
      <w:r>
        <w:rPr>
          <w:rFonts w:hint="eastAsia" w:ascii="宋体" w:hAnsi="宋体" w:eastAsia="宋体" w:cs="宋体"/>
          <w:sz w:val="22"/>
          <w:szCs w:val="22"/>
        </w:rPr>
        <w:t>6.压力限制</w:t>
      </w:r>
    </w:p>
    <w:p>
      <w:pPr>
        <w:rPr>
          <w:rFonts w:hint="eastAsia" w:ascii="宋体" w:hAnsi="宋体" w:eastAsia="宋体" w:cs="宋体"/>
          <w:sz w:val="22"/>
          <w:szCs w:val="22"/>
        </w:rPr>
      </w:pPr>
      <w:r>
        <w:rPr>
          <w:rFonts w:hint="eastAsia" w:ascii="宋体" w:hAnsi="宋体" w:eastAsia="宋体" w:cs="宋体"/>
          <w:sz w:val="22"/>
          <w:szCs w:val="22"/>
        </w:rPr>
        <w:t xml:space="preserve">7.持续压力报警  </w:t>
      </w:r>
    </w:p>
    <w:p>
      <w:pPr>
        <w:rPr>
          <w:rFonts w:hint="eastAsia" w:ascii="宋体" w:hAnsi="宋体" w:eastAsia="宋体" w:cs="宋体"/>
          <w:sz w:val="22"/>
          <w:szCs w:val="22"/>
        </w:rPr>
      </w:pPr>
      <w:r>
        <w:rPr>
          <w:rFonts w:hint="eastAsia" w:ascii="宋体" w:hAnsi="宋体" w:eastAsia="宋体" w:cs="宋体"/>
          <w:sz w:val="22"/>
          <w:szCs w:val="22"/>
        </w:rPr>
        <w:t>8.高（低）氧浓度报警</w:t>
      </w:r>
    </w:p>
    <w:p>
      <w:pPr>
        <w:rPr>
          <w:rFonts w:hint="eastAsia" w:ascii="宋体" w:hAnsi="宋体" w:eastAsia="宋体" w:cs="宋体"/>
          <w:sz w:val="22"/>
          <w:szCs w:val="22"/>
        </w:rPr>
      </w:pPr>
      <w:r>
        <w:rPr>
          <w:rFonts w:hint="eastAsia" w:ascii="宋体" w:hAnsi="宋体" w:eastAsia="宋体" w:cs="宋体"/>
          <w:sz w:val="22"/>
          <w:szCs w:val="22"/>
        </w:rPr>
        <w:t>9.窒息报警</w:t>
      </w:r>
    </w:p>
    <w:p>
      <w:pPr>
        <w:rPr>
          <w:rFonts w:hint="eastAsia" w:ascii="宋体" w:hAnsi="宋体" w:eastAsia="宋体" w:cs="宋体"/>
          <w:sz w:val="22"/>
          <w:szCs w:val="22"/>
        </w:rPr>
      </w:pPr>
      <w:r>
        <w:rPr>
          <w:rFonts w:hint="eastAsia" w:ascii="宋体" w:hAnsi="宋体" w:eastAsia="宋体" w:cs="宋体"/>
          <w:sz w:val="22"/>
          <w:szCs w:val="22"/>
        </w:rPr>
        <w:t>10.最大极限压力  ＜12.5 kPa 报警</w:t>
      </w: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G</w:t>
      </w:r>
      <w:r>
        <w:rPr>
          <w:rFonts w:hint="eastAsia" w:asciiTheme="minorEastAsia" w:hAnsiTheme="minorEastAsia" w:eastAsiaTheme="minorEastAsia" w:cstheme="minorEastAsia"/>
          <w:b/>
          <w:bCs/>
          <w:sz w:val="28"/>
          <w:szCs w:val="32"/>
          <w:lang w:eastAsia="zh-CN"/>
        </w:rPr>
        <w:t>包</w:t>
      </w:r>
      <w:r>
        <w:rPr>
          <w:rFonts w:hint="eastAsia" w:asciiTheme="minorEastAsia" w:hAnsiTheme="minorEastAsia" w:eastAsiaTheme="minorEastAsia" w:cstheme="minorEastAsia"/>
          <w:b/>
          <w:bCs/>
          <w:sz w:val="28"/>
          <w:szCs w:val="32"/>
          <w:lang w:val="en-US" w:eastAsia="zh-CN"/>
        </w:rPr>
        <w:t>：电动移位机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r>
        <w:rPr>
          <w:rFonts w:hint="eastAsia" w:ascii="宋体" w:hAnsi="宋体" w:eastAsia="宋体" w:cs="宋体"/>
          <w:sz w:val="22"/>
          <w:szCs w:val="22"/>
        </w:rPr>
        <w:t xml:space="preserve">1.1安全工作承重：标准吊臂 227 kg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整机通过高度：1402 – 2213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可通过门廊最小宽度：717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提升行程：1348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最小提升高度（中号DPS吊架）：227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最大提升高度（中号DPS吊架）：1575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7</w:t>
      </w:r>
      <w:r>
        <w:rPr>
          <w:rFonts w:hint="eastAsia" w:ascii="宋体" w:hAnsi="宋体" w:eastAsia="宋体" w:cs="宋体"/>
          <w:sz w:val="22"/>
          <w:szCs w:val="22"/>
        </w:rPr>
        <w:t xml:space="preserve">底盘高度（标准底座）：115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底盘下方高度：25 mm </w:t>
      </w:r>
    </w:p>
    <w:p>
      <w:pPr>
        <w:rPr>
          <w:rFonts w:hint="eastAsia" w:ascii="宋体" w:hAnsi="宋体" w:eastAsia="宋体" w:cs="宋体"/>
          <w:sz w:val="22"/>
          <w:szCs w:val="22"/>
        </w:rPr>
      </w:pPr>
      <w:r>
        <w:rPr>
          <w:rFonts w:hint="eastAsia" w:ascii="宋体" w:hAnsi="宋体" w:eastAsia="宋体" w:cs="宋体"/>
          <w:sz w:val="22"/>
          <w:szCs w:val="22"/>
          <w:lang w:val="en-US" w:eastAsia="zh-CN"/>
        </w:rPr>
        <w:t>1.9</w:t>
      </w:r>
      <w:r>
        <w:rPr>
          <w:rFonts w:hint="eastAsia" w:ascii="宋体" w:hAnsi="宋体" w:eastAsia="宋体" w:cs="宋体"/>
          <w:sz w:val="22"/>
          <w:szCs w:val="22"/>
        </w:rPr>
        <w:t xml:space="preserve">底盘宽度（外边缘）：718 - 1196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底盘宽度（内边缘）：578 – 1074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转弯直径：1222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控制装置操作力：2.5 - 3N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Maxi Move防护等级：IP24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手持控制器防护等级：IPX7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电击防护等级：BF 类，符合 IEC 60601-1 的防电击保护标准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电池类型：可充电电池（密封铅酸电池），24 V DC，4.0 Ah - 5.5 Ah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7</w:t>
      </w:r>
      <w:r>
        <w:rPr>
          <w:rFonts w:hint="eastAsia" w:ascii="宋体" w:hAnsi="宋体" w:eastAsia="宋体" w:cs="宋体"/>
          <w:sz w:val="22"/>
          <w:szCs w:val="22"/>
        </w:rPr>
        <w:t>手持控制器显示屏：称重重量显示，电池电量显示，执行器状态显示</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 稳定垂直系统SVS：确保移位机升降时患者的稳定（抵抗摇摆）。 </w:t>
      </w:r>
    </w:p>
    <w:p>
      <w:pPr>
        <w:rPr>
          <w:rFonts w:hint="eastAsia" w:ascii="宋体" w:hAnsi="宋体" w:eastAsia="宋体" w:cs="宋体"/>
          <w:sz w:val="22"/>
          <w:szCs w:val="22"/>
        </w:rPr>
      </w:pPr>
      <w:r>
        <w:rPr>
          <w:rFonts w:hint="eastAsia" w:ascii="宋体" w:hAnsi="宋体" w:eastAsia="宋体" w:cs="宋体"/>
          <w:sz w:val="22"/>
          <w:szCs w:val="22"/>
          <w:lang w:val="en-US" w:eastAsia="zh-CN"/>
        </w:rPr>
        <w:t>2.9</w:t>
      </w:r>
      <w:r>
        <w:rPr>
          <w:rFonts w:hint="eastAsia" w:ascii="宋体" w:hAnsi="宋体" w:eastAsia="宋体" w:cs="宋体"/>
          <w:sz w:val="22"/>
          <w:szCs w:val="22"/>
        </w:rPr>
        <w:t xml:space="preserve">动态定位系统DPS：方便调节患者提升时的体位（坐立或后倾）。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电动动态定位系统PDPS：双控制器均可操控患者提升时的体位（坐立或后倾）。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吊架更换系统（Combi快速释放系统）：快速更换不同的吊架，满足不同的护理需求。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 障碍物识别自动暂停系统：下降过程中遇障碍物自动暂停。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3</w:t>
      </w:r>
      <w:r>
        <w:rPr>
          <w:rFonts w:hint="eastAsia" w:ascii="宋体" w:hAnsi="宋体" w:eastAsia="宋体" w:cs="宋体"/>
          <w:sz w:val="22"/>
          <w:szCs w:val="22"/>
        </w:rPr>
        <w:t>称重系统：最大227 kg，精度显示0.1 kg，LCD液晶显示，称重结果存储，支持基于纬度和海拔的重力参数调节。</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双重电动控制系统：手持控制器；立柱控制面板。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5</w:t>
      </w:r>
      <w:r>
        <w:rPr>
          <w:rFonts w:hint="eastAsia" w:ascii="宋体" w:hAnsi="宋体" w:eastAsia="宋体" w:cs="宋体"/>
          <w:sz w:val="22"/>
          <w:szCs w:val="22"/>
        </w:rPr>
        <w:t>可选配最多8种吊架，160个以上吊兜，以适应不同体形、体重患者的多种护理需求</w:t>
      </w: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ascii="宋体" w:hAnsi="宋体" w:eastAsia="宋体" w:cs="宋体"/>
          <w:sz w:val="21"/>
          <w:szCs w:val="21"/>
        </w:rPr>
      </w:pP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rPr>
      </w:pPr>
    </w:p>
    <w:p>
      <w:pPr>
        <w:pStyle w:val="17"/>
        <w:rPr>
          <w:rFonts w:hint="eastAsia"/>
        </w:rPr>
      </w:pPr>
      <w:r>
        <w:rPr>
          <w:rFonts w:hint="eastAsia"/>
          <w:lang w:val="en-US" w:eastAsia="zh-CN"/>
        </w:rPr>
        <w:t xml:space="preserve">              </w:t>
      </w: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191" w:name="_Toc3086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191"/>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72"/>
          <w:szCs w:val="72"/>
          <w:lang w:eastAsia="zh-CN"/>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72"/>
          <w:szCs w:val="72"/>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192"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193" w:name="_Toc19884"/>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192"/>
      <w:bookmarkEnd w:id="193"/>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194" w:name="_Toc331"/>
      <w:bookmarkStart w:id="195" w:name="_Toc88447540"/>
      <w:bookmarkStart w:id="196" w:name="_Toc12808"/>
      <w:bookmarkStart w:id="197" w:name="_Toc7535"/>
      <w:bookmarkStart w:id="198" w:name="_Toc27412"/>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194"/>
      <w:bookmarkEnd w:id="195"/>
      <w:bookmarkEnd w:id="196"/>
      <w:bookmarkEnd w:id="197"/>
      <w:bookmarkEnd w:id="198"/>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199" w:name="_Toc88447541"/>
      <w:bookmarkStart w:id="200" w:name="_Toc9725"/>
      <w:bookmarkStart w:id="201" w:name="_Toc13444"/>
      <w:bookmarkStart w:id="202" w:name="_Toc2622"/>
      <w:bookmarkStart w:id="203" w:name="_Toc20180"/>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199"/>
      <w:bookmarkEnd w:id="200"/>
      <w:bookmarkEnd w:id="201"/>
      <w:bookmarkEnd w:id="202"/>
      <w:bookmarkEnd w:id="203"/>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04" w:name="_Toc88447542"/>
      <w:bookmarkStart w:id="205" w:name="_Toc8215"/>
      <w:bookmarkStart w:id="206" w:name="_Toc23216"/>
      <w:bookmarkStart w:id="207" w:name="_Toc16859"/>
      <w:bookmarkStart w:id="208" w:name="_Toc27935"/>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204"/>
      <w:bookmarkEnd w:id="205"/>
      <w:bookmarkEnd w:id="206"/>
      <w:bookmarkEnd w:id="207"/>
      <w:bookmarkEnd w:id="208"/>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09" w:name="_Toc1959"/>
      <w:bookmarkStart w:id="210" w:name="_Toc12545"/>
      <w:bookmarkStart w:id="211" w:name="_Toc367"/>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209"/>
      <w:bookmarkEnd w:id="210"/>
      <w:bookmarkEnd w:id="211"/>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212" w:name="_Toc5960174"/>
      <w:bookmarkStart w:id="213" w:name="_Toc24964"/>
      <w:bookmarkStart w:id="214" w:name="_Toc5956061"/>
      <w:bookmarkStart w:id="215" w:name="_Toc17887169"/>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212"/>
      <w:bookmarkEnd w:id="213"/>
      <w:bookmarkEnd w:id="214"/>
      <w:bookmarkEnd w:id="215"/>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16" w:name="_Toc12605"/>
      <w:bookmarkStart w:id="217" w:name="_Toc7547"/>
      <w:bookmarkStart w:id="218" w:name="_Toc6385"/>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216"/>
      <w:bookmarkEnd w:id="217"/>
      <w:bookmarkEnd w:id="218"/>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8"/>
        <w:tblW w:w="4903" w:type="pct"/>
        <w:tblInd w:w="-171" w:type="dxa"/>
        <w:tblLayout w:type="autofit"/>
        <w:tblCellMar>
          <w:top w:w="0" w:type="dxa"/>
          <w:left w:w="0" w:type="dxa"/>
          <w:bottom w:w="0" w:type="dxa"/>
          <w:right w:w="0" w:type="dxa"/>
        </w:tblCellMar>
      </w:tblPr>
      <w:tblGrid>
        <w:gridCol w:w="3424"/>
        <w:gridCol w:w="6313"/>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3241" w:type="pct"/>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质保期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219"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219"/>
    </w:p>
    <w:p>
      <w:pPr>
        <w:kinsoku w:val="0"/>
        <w:overflowPunct w:val="0"/>
        <w:autoSpaceDE w:val="0"/>
        <w:autoSpaceDN w:val="0"/>
        <w:adjustRightInd w:val="0"/>
        <w:spacing w:line="378" w:lineRule="exact"/>
        <w:ind w:left="558"/>
        <w:jc w:val="center"/>
        <w:outlineLvl w:val="0"/>
        <w:rPr>
          <w:rFonts w:hint="eastAsia" w:ascii="Times New Roman" w:hAnsi="Times New Roman" w:eastAsia="宋体" w:cs="Times New Roman"/>
          <w:color w:val="000000" w:themeColor="text1"/>
          <w:kern w:val="0"/>
          <w:sz w:val="24"/>
          <w:szCs w:val="24"/>
          <w:lang w:eastAsia="zh-CN"/>
          <w14:textFill>
            <w14:solidFill>
              <w14:schemeClr w14:val="tx1"/>
            </w14:solidFill>
          </w14:textFill>
        </w:rPr>
      </w:pPr>
      <w:bookmarkStart w:id="220" w:name="_Toc5956062"/>
      <w:r>
        <w:rPr>
          <w:color w:val="000000" w:themeColor="text1"/>
          <w14:textFill>
            <w14:solidFill>
              <w14:schemeClr w14:val="tx1"/>
            </w14:solidFill>
          </w14:textFill>
        </w:rPr>
        <w:br w:type="page"/>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3.3</w:t>
      </w:r>
      <w:r>
        <w:rPr>
          <w:rFonts w:hint="eastAsia" w:ascii="Times New Roman" w:hAnsi="Times New Roman" w:eastAsia="宋体" w:cs="Times New Roman"/>
          <w:color w:val="000000" w:themeColor="text1"/>
          <w:kern w:val="0"/>
          <w:sz w:val="24"/>
          <w:szCs w:val="24"/>
          <w14:textFill>
            <w14:solidFill>
              <w14:schemeClr w14:val="tx1"/>
            </w14:solidFill>
          </w14:textFill>
        </w:rPr>
        <w:t>制造商授权书</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进口产品适用</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p>
    <w:p>
      <w:pPr>
        <w:pStyle w:val="6"/>
        <w:ind w:firstLine="0"/>
        <w:jc w:val="center"/>
        <w:rPr>
          <w:rFonts w:asciiTheme="minorEastAsia" w:hAnsiTheme="minorEastAsia" w:eastAsiaTheme="minorEastAsia"/>
          <w:color w:val="auto"/>
          <w:szCs w:val="21"/>
          <w:highlight w:val="none"/>
        </w:rPr>
      </w:pPr>
    </w:p>
    <w:p>
      <w:pPr>
        <w:pStyle w:val="6"/>
        <w:spacing w:line="420" w:lineRule="auto"/>
        <w:ind w:firstLine="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敬启者：</w:t>
      </w:r>
    </w:p>
    <w:p>
      <w:pPr>
        <w:pStyle w:val="6"/>
        <w:spacing w:line="420" w:lineRule="auto"/>
        <w:ind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w:t>
      </w:r>
      <w:r>
        <w:rPr>
          <w:rFonts w:hint="eastAsia" w:asciiTheme="minorEastAsia" w:hAnsiTheme="minorEastAsia" w:eastAsiaTheme="minorEastAsia"/>
          <w:i/>
          <w:iCs/>
          <w:color w:val="auto"/>
          <w:szCs w:val="21"/>
          <w:highlight w:val="none"/>
          <w:u w:val="single"/>
        </w:rPr>
        <w:t>生产厂家</w:t>
      </w:r>
      <w:r>
        <w:rPr>
          <w:rFonts w:asciiTheme="minorEastAsia" w:hAnsiTheme="minorEastAsia" w:eastAsiaTheme="minorEastAsia"/>
          <w:i/>
          <w:iCs/>
          <w:color w:val="auto"/>
          <w:szCs w:val="21"/>
          <w:highlight w:val="none"/>
          <w:u w:val="single"/>
        </w:rPr>
        <w:t>/</w:t>
      </w:r>
      <w:r>
        <w:rPr>
          <w:rFonts w:hint="eastAsia" w:asciiTheme="minorEastAsia" w:hAnsiTheme="minorEastAsia" w:eastAsiaTheme="minorEastAsia"/>
          <w:i/>
          <w:iCs/>
          <w:color w:val="auto"/>
          <w:szCs w:val="21"/>
          <w:highlight w:val="none"/>
          <w:u w:val="single"/>
        </w:rPr>
        <w:t>公司或指定代理名称</w:t>
      </w:r>
      <w:r>
        <w:rPr>
          <w:rFonts w:hint="eastAsia" w:asciiTheme="minorEastAsia" w:hAnsiTheme="minorEastAsia" w:eastAsiaTheme="minorEastAsia"/>
          <w:color w:val="auto"/>
          <w:szCs w:val="21"/>
          <w:highlight w:val="none"/>
        </w:rPr>
        <w:t>）是</w:t>
      </w:r>
      <w:r>
        <w:rPr>
          <w:rFonts w:hint="eastAsia" w:asciiTheme="minorEastAsia" w:hAnsiTheme="minorEastAsia" w:eastAsiaTheme="minorEastAsia"/>
          <w:i/>
          <w:iCs/>
          <w:color w:val="auto"/>
          <w:szCs w:val="21"/>
          <w:highlight w:val="none"/>
          <w:u w:val="single"/>
        </w:rPr>
        <w:t>（国家名称）</w:t>
      </w:r>
      <w:r>
        <w:rPr>
          <w:rFonts w:hint="eastAsia" w:asciiTheme="minorEastAsia" w:hAnsiTheme="minorEastAsia" w:eastAsiaTheme="minorEastAsia"/>
          <w:color w:val="auto"/>
          <w:szCs w:val="21"/>
          <w:highlight w:val="none"/>
        </w:rPr>
        <w:t>的法定制造</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总代理商，商业总部设在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，委托依国法律设立的商业总部设在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的</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，作为我方真实的合法代理人进行下列有效活动：</w:t>
      </w:r>
    </w:p>
    <w:p>
      <w:pPr>
        <w:pStyle w:val="6"/>
        <w:numPr>
          <w:ilvl w:val="0"/>
          <w:numId w:val="5"/>
        </w:numPr>
        <w:tabs>
          <w:tab w:val="left" w:pos="0"/>
          <w:tab w:val="left" w:pos="90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代表我方应招标编号号招标文件要求，用我方提供的</w:t>
      </w:r>
      <w:r>
        <w:rPr>
          <w:rFonts w:hint="eastAsia" w:asciiTheme="minorEastAsia" w:hAnsiTheme="minorEastAsia" w:eastAsiaTheme="minorEastAsia"/>
          <w:i/>
          <w:iCs/>
          <w:color w:val="auto"/>
          <w:szCs w:val="21"/>
          <w:highlight w:val="none"/>
          <w:u w:val="single"/>
        </w:rPr>
        <w:t>（货物名称）</w:t>
      </w:r>
      <w:r>
        <w:rPr>
          <w:rFonts w:hint="eastAsia" w:asciiTheme="minorEastAsia" w:hAnsiTheme="minorEastAsia" w:eastAsiaTheme="minorEastAsia"/>
          <w:color w:val="auto"/>
          <w:szCs w:val="21"/>
          <w:highlight w:val="none"/>
        </w:rPr>
        <w:t>参加投标，并对我方具有约束力。</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作为制造商</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指定总代理，我方保证以投标合作者来约束自己，并对该次投标共同和分别承担招标文件中所规定的义务。</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我们兹授予</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全权办理和履行上述我方为完成上述各所必须的事宜，具有撤消或替换的全权。兹确认</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或其正式授权代表依此合法地办理一切事宜。</w:t>
      </w:r>
    </w:p>
    <w:p>
      <w:pPr>
        <w:pStyle w:val="6"/>
        <w:spacing w:line="420" w:lineRule="auto"/>
        <w:rPr>
          <w:rFonts w:asciiTheme="minorEastAsia" w:hAnsiTheme="minorEastAsia" w:eastAsiaTheme="minorEastAsia"/>
          <w:color w:val="auto"/>
          <w:szCs w:val="21"/>
          <w:highlight w:val="none"/>
        </w:rPr>
      </w:pPr>
    </w:p>
    <w:p>
      <w:pPr>
        <w:pStyle w:val="6"/>
        <w:spacing w:line="4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我们于年月日签署本文以资证明。</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授权方名称（盖章）</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被授权方名称（盖章）</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法人或授权代表人姓名（签字）</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xml:space="preserve">    法人或授权代表人姓名（签字）</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注：本授权书可采用投标单位自有的既定格式，不受规定格式限制。</w:t>
      </w:r>
    </w:p>
    <w:p>
      <w:pPr>
        <w:widowControl/>
        <w:jc w:val="left"/>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pPr>
    </w:p>
    <w:p>
      <w:pPr>
        <w:kinsoku w:val="0"/>
        <w:overflowPunct w:val="0"/>
        <w:autoSpaceDE w:val="0"/>
        <w:autoSpaceDN w:val="0"/>
        <w:adjustRightInd w:val="0"/>
        <w:spacing w:line="353" w:lineRule="exact"/>
        <w:ind w:left="3317"/>
        <w:jc w:val="left"/>
        <w:outlineLvl w:val="0"/>
        <w:rPr>
          <w:rFonts w:hint="eastAsia" w:ascii="宋体" w:hAnsi="Times New Roman" w:eastAsia="宋体" w:cs="宋体"/>
          <w:color w:val="000000" w:themeColor="text1"/>
          <w:kern w:val="0"/>
          <w:sz w:val="28"/>
          <w:szCs w:val="28"/>
          <w14:textFill>
            <w14:solidFill>
              <w14:schemeClr w14:val="tx1"/>
            </w14:solidFill>
          </w14:textFill>
        </w:rPr>
      </w:pPr>
      <w:bookmarkStart w:id="221" w:name="_Toc19494"/>
      <w:bookmarkStart w:id="222" w:name="_Toc19950"/>
      <w:bookmarkStart w:id="223" w:name="_Toc10743"/>
      <w:bookmarkStart w:id="224" w:name="_Toc88447544"/>
      <w:bookmarkStart w:id="225" w:name="_Toc32423"/>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220"/>
      <w:bookmarkEnd w:id="221"/>
      <w:bookmarkEnd w:id="222"/>
      <w:bookmarkEnd w:id="223"/>
      <w:bookmarkEnd w:id="224"/>
      <w:bookmarkEnd w:id="225"/>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8"/>
        <w:tblW w:w="0" w:type="auto"/>
        <w:tblInd w:w="-11" w:type="dxa"/>
        <w:tblLayout w:type="fixed"/>
        <w:tblCellMar>
          <w:top w:w="0" w:type="dxa"/>
          <w:left w:w="0" w:type="dxa"/>
          <w:bottom w:w="0" w:type="dxa"/>
          <w:right w:w="0" w:type="dxa"/>
        </w:tblCellMar>
      </w:tblPr>
      <w:tblGrid>
        <w:gridCol w:w="559"/>
        <w:gridCol w:w="1017"/>
        <w:gridCol w:w="992"/>
        <w:gridCol w:w="597"/>
        <w:gridCol w:w="67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9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67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67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26"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226"/>
      <w:bookmarkStart w:id="227" w:name="_Toc5956068"/>
      <w:bookmarkStart w:id="228" w:name="_Toc19551"/>
      <w:bookmarkStart w:id="229" w:name="_Toc3407"/>
      <w:bookmarkStart w:id="230" w:name="_Toc20061"/>
      <w:bookmarkStart w:id="231" w:name="_Toc88447545"/>
      <w:bookmarkStart w:id="232" w:name="_Toc31185"/>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227"/>
      <w:bookmarkEnd w:id="228"/>
      <w:bookmarkEnd w:id="229"/>
      <w:bookmarkEnd w:id="230"/>
      <w:bookmarkEnd w:id="231"/>
      <w:bookmarkEnd w:id="23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33" w:name="_Toc3435"/>
      <w:bookmarkStart w:id="234" w:name="_Toc607"/>
      <w:bookmarkStart w:id="235" w:name="_Toc20097"/>
      <w:bookmarkStart w:id="236" w:name="_Toc16641"/>
      <w:bookmarkStart w:id="237" w:name="_Toc88447546"/>
      <w:bookmarkStart w:id="238" w:name="_Toc5956069"/>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233"/>
      <w:bookmarkEnd w:id="234"/>
      <w:bookmarkEnd w:id="235"/>
      <w:bookmarkEnd w:id="23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39" w:name="_Toc20845"/>
      <w:bookmarkStart w:id="240" w:name="_Toc7593"/>
      <w:bookmarkStart w:id="241" w:name="_Toc19967"/>
      <w:bookmarkStart w:id="242" w:name="_Toc10076"/>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237"/>
      <w:bookmarkEnd w:id="238"/>
      <w:bookmarkEnd w:id="239"/>
      <w:bookmarkEnd w:id="240"/>
      <w:bookmarkEnd w:id="241"/>
      <w:bookmarkEnd w:id="24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243" w:name="_Toc19390"/>
      <w:bookmarkStart w:id="244" w:name="_Toc10891"/>
      <w:bookmarkStart w:id="245" w:name="_Toc8624"/>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243"/>
      <w:bookmarkEnd w:id="244"/>
      <w:bookmarkEnd w:id="245"/>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hint="eastAsia" w:ascii="宋体" w:hAnsi="Times New Roman" w:eastAsia="宋体" w:cs="宋体"/>
          <w:color w:val="000000" w:themeColor="text1"/>
          <w:spacing w:val="-4"/>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bookmarkStart w:id="246" w:name="_Toc11175"/>
      <w:bookmarkStart w:id="247" w:name="_Toc7950"/>
      <w:bookmarkStart w:id="248" w:name="_Toc30141"/>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246"/>
      <w:bookmarkEnd w:id="247"/>
      <w:bookmarkEnd w:id="248"/>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49" w:name="_Toc224"/>
      <w:bookmarkStart w:id="250" w:name="_Toc15035"/>
      <w:bookmarkStart w:id="251" w:name="_Toc28535"/>
      <w:bookmarkStart w:id="252" w:name="_Toc31148"/>
      <w:bookmarkStart w:id="253" w:name="_Toc88447547"/>
      <w:bookmarkStart w:id="254" w:name="_Toc5956070"/>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249"/>
      <w:bookmarkEnd w:id="250"/>
      <w:bookmarkEnd w:id="251"/>
      <w:bookmarkEnd w:id="252"/>
      <w:bookmarkEnd w:id="253"/>
      <w:bookmarkEnd w:id="254"/>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center"/>
        <w:outlineLvl w:val="0"/>
        <w:rPr>
          <w:rFonts w:ascii="宋体" w:hAnsi="Times New Roman" w:eastAsia="宋体" w:cs="宋体"/>
          <w:color w:val="000000" w:themeColor="text1"/>
          <w:kern w:val="0"/>
          <w:sz w:val="25"/>
          <w:szCs w:val="25"/>
          <w14:textFill>
            <w14:solidFill>
              <w14:schemeClr w14:val="tx1"/>
            </w14:solidFill>
          </w14:textFill>
        </w:rPr>
      </w:pPr>
      <w:bookmarkStart w:id="255" w:name="_Toc1522"/>
      <w:bookmarkStart w:id="256" w:name="_Toc5003"/>
      <w:bookmarkStart w:id="257" w:name="_Toc1937"/>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255"/>
      <w:bookmarkEnd w:id="256"/>
      <w:bookmarkEnd w:id="257"/>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258" w:name="_Toc9324"/>
      <w:bookmarkStart w:id="259" w:name="_Toc18935"/>
      <w:bookmarkStart w:id="260" w:name="_Toc88447548"/>
      <w:bookmarkStart w:id="261" w:name="_Toc5956073"/>
      <w:bookmarkStart w:id="262" w:name="_Toc29302"/>
      <w:bookmarkStart w:id="263" w:name="_Toc11603"/>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258"/>
      <w:bookmarkEnd w:id="259"/>
      <w:bookmarkEnd w:id="260"/>
      <w:bookmarkEnd w:id="261"/>
      <w:bookmarkEnd w:id="262"/>
      <w:bookmarkEnd w:id="263"/>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4" w:name="_Toc16060"/>
      <w:r>
        <w:rPr>
          <w:rFonts w:hint="eastAsia" w:ascii="宋体" w:hAnsi="Times New Roman" w:eastAsia="宋体" w:cs="宋体"/>
          <w:color w:val="000000" w:themeColor="text1"/>
          <w:kern w:val="0"/>
          <w:sz w:val="28"/>
          <w:szCs w:val="28"/>
          <w14:textFill>
            <w14:solidFill>
              <w14:schemeClr w14:val="tx1"/>
            </w14:solidFill>
          </w14:textFill>
        </w:rPr>
        <w:t>十、中小企业声明函</w:t>
      </w:r>
      <w:bookmarkEnd w:id="264"/>
      <w:r>
        <w:rPr>
          <w:rFonts w:ascii="宋体" w:hAnsi="Times New Roman" w:eastAsia="宋体" w:cs="宋体"/>
          <w:color w:val="000000" w:themeColor="text1"/>
          <w:kern w:val="0"/>
          <w:sz w:val="28"/>
          <w:szCs w:val="28"/>
          <w14:textFill>
            <w14:solidFill>
              <w14:schemeClr w14:val="tx1"/>
            </w14:solidFill>
          </w14:textFill>
        </w:rPr>
        <w:t xml:space="preserve"> </w:t>
      </w:r>
    </w:p>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5" w:name="_Toc2904"/>
      <w:bookmarkStart w:id="266" w:name="_Toc5956076"/>
      <w:bookmarkStart w:id="267" w:name="_Toc7684"/>
      <w:bookmarkStart w:id="268" w:name="_Toc22457"/>
      <w:bookmarkStart w:id="269" w:name="_Toc10653"/>
      <w:bookmarkStart w:id="270" w:name="_Toc88447551"/>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265"/>
      <w:bookmarkEnd w:id="266"/>
      <w:bookmarkEnd w:id="267"/>
      <w:bookmarkEnd w:id="268"/>
      <w:bookmarkEnd w:id="269"/>
      <w:bookmarkEnd w:id="270"/>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1" w:name="_Toc88447552"/>
      <w:bookmarkStart w:id="272" w:name="_Toc9620"/>
      <w:bookmarkStart w:id="273" w:name="_Toc5956077"/>
      <w:bookmarkStart w:id="274" w:name="_Toc8816"/>
      <w:bookmarkStart w:id="275" w:name="_Toc1068"/>
      <w:bookmarkStart w:id="276" w:name="_Toc28578"/>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271"/>
      <w:bookmarkEnd w:id="272"/>
      <w:bookmarkEnd w:id="273"/>
      <w:bookmarkEnd w:id="274"/>
      <w:bookmarkEnd w:id="275"/>
      <w:bookmarkEnd w:id="27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7" w:name="_Toc25922"/>
      <w:bookmarkStart w:id="278" w:name="_Toc1439"/>
      <w:bookmarkStart w:id="279" w:name="_Toc13084"/>
      <w:bookmarkStart w:id="280" w:name="_Toc7703"/>
      <w:bookmarkStart w:id="281" w:name="_Toc24419"/>
      <w:bookmarkStart w:id="282" w:name="_Toc32291"/>
      <w:bookmarkStart w:id="283" w:name="_Toc88447553"/>
      <w:bookmarkStart w:id="284"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277"/>
      <w:bookmarkEnd w:id="278"/>
      <w:bookmarkEnd w:id="279"/>
      <w:bookmarkEnd w:id="280"/>
      <w:bookmarkEnd w:id="281"/>
      <w:bookmarkEnd w:id="282"/>
      <w:bookmarkEnd w:id="283"/>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85" w:name="_Toc15512"/>
      <w:bookmarkStart w:id="286" w:name="_Toc88447554"/>
      <w:bookmarkStart w:id="287" w:name="_Toc25355"/>
      <w:bookmarkStart w:id="288" w:name="_Toc15454"/>
      <w:bookmarkStart w:id="289" w:name="_Toc2797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284"/>
      <w:r>
        <w:rPr>
          <w:rFonts w:hint="eastAsia" w:ascii="宋体" w:hAnsi="Times New Roman" w:eastAsia="宋体" w:cs="宋体"/>
          <w:color w:val="000000" w:themeColor="text1"/>
          <w:kern w:val="0"/>
          <w:sz w:val="28"/>
          <w:szCs w:val="28"/>
          <w14:textFill>
            <w14:solidFill>
              <w14:schemeClr w14:val="tx1"/>
            </w14:solidFill>
          </w14:textFill>
        </w:rPr>
        <w:t>资料</w:t>
      </w:r>
      <w:bookmarkEnd w:id="285"/>
      <w:bookmarkEnd w:id="286"/>
      <w:bookmarkEnd w:id="287"/>
      <w:bookmarkEnd w:id="288"/>
      <w:bookmarkEnd w:id="289"/>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90" w:name="_Toc32180"/>
      <w:bookmarkStart w:id="291" w:name="_Toc31611"/>
      <w:bookmarkStart w:id="292" w:name="_Toc27105"/>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290"/>
      <w:bookmarkEnd w:id="291"/>
      <w:bookmarkEnd w:id="292"/>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293" w:name="_Toc8962"/>
      <w:bookmarkStart w:id="294" w:name="_Toc3870"/>
      <w:bookmarkStart w:id="295" w:name="_Toc88447556"/>
      <w:bookmarkStart w:id="296" w:name="_Toc6851"/>
      <w:bookmarkStart w:id="297" w:name="_Toc1396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293"/>
      <w:bookmarkEnd w:id="294"/>
      <w:bookmarkEnd w:id="295"/>
      <w:bookmarkEnd w:id="296"/>
      <w:bookmarkEnd w:id="297"/>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41"/>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FangSong_GB2312">
    <w:altName w:val="仿宋"/>
    <w:panose1 w:val="02010609060101010101"/>
    <w:charset w:val="00"/>
    <w:family w:val="roman"/>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7"/>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7"/>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7"/>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7"/>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7"/>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7"/>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5A905"/>
    <w:multiLevelType w:val="singleLevel"/>
    <w:tmpl w:val="AEF5A905"/>
    <w:lvl w:ilvl="0" w:tentative="0">
      <w:start w:val="7"/>
      <w:numFmt w:val="chineseCounting"/>
      <w:suff w:val="nothing"/>
      <w:lvlText w:val="%1、"/>
      <w:lvlJc w:val="left"/>
      <w:rPr>
        <w:rFonts w:hint="eastAsia"/>
      </w:rPr>
    </w:lvl>
  </w:abstractNum>
  <w:abstractNum w:abstractNumId="1">
    <w:nsid w:val="FFFFFFFB"/>
    <w:multiLevelType w:val="multilevel"/>
    <w:tmpl w:val="FFFFFFFB"/>
    <w:lvl w:ilvl="0" w:tentative="0">
      <w:start w:val="1"/>
      <w:numFmt w:val="chineseCountingThousand"/>
      <w:lvlText w:val="%1."/>
      <w:legacy w:legacy="1" w:legacySpace="113" w:legacyIndent="425"/>
      <w:lvlJc w:val="left"/>
      <w:pPr>
        <w:ind w:left="425" w:hanging="425"/>
      </w:pPr>
      <w:rPr>
        <w:rFonts w:cs="Times New Roman"/>
      </w:rPr>
    </w:lvl>
    <w:lvl w:ilvl="1" w:tentative="0">
      <w:start w:val="1"/>
      <w:numFmt w:val="decimal"/>
      <w:lvlText w:val="%2."/>
      <w:legacy w:legacy="1" w:legacySpace="0" w:legacyIndent="425"/>
      <w:lvlJc w:val="left"/>
      <w:pPr>
        <w:ind w:left="851" w:hanging="425"/>
      </w:pPr>
      <w:rPr>
        <w:rFonts w:cs="Times New Roman"/>
      </w:rPr>
    </w:lvl>
    <w:lvl w:ilvl="2" w:tentative="0">
      <w:start w:val="1"/>
      <w:numFmt w:val="none"/>
      <w:pStyle w:val="4"/>
      <w:suff w:val="nothing"/>
      <w:lvlText w:val=""/>
      <w:lvlJc w:val="left"/>
      <w:pPr>
        <w:ind w:left="851" w:hanging="425"/>
      </w:pPr>
      <w:rPr>
        <w:rFonts w:cs="Times New Roman"/>
      </w:rPr>
    </w:lvl>
    <w:lvl w:ilvl="3" w:tentative="0">
      <w:start w:val="1"/>
      <w:numFmt w:val="lowerLetter"/>
      <w:lvlText w:val="%4)"/>
      <w:legacy w:legacy="1" w:legacySpace="0" w:legacyIndent="425"/>
      <w:lvlJc w:val="left"/>
      <w:pPr>
        <w:ind w:left="1700" w:hanging="425"/>
      </w:pPr>
      <w:rPr>
        <w:rFonts w:cs="Times New Roman"/>
      </w:rPr>
    </w:lvl>
    <w:lvl w:ilvl="4" w:tentative="0">
      <w:start w:val="1"/>
      <w:numFmt w:val="decimal"/>
      <w:lvlText w:val="(%5)"/>
      <w:legacy w:legacy="1" w:legacySpace="0" w:legacyIndent="425"/>
      <w:lvlJc w:val="left"/>
      <w:pPr>
        <w:ind w:left="2125" w:hanging="425"/>
      </w:pPr>
      <w:rPr>
        <w:rFonts w:cs="Times New Roman"/>
      </w:rPr>
    </w:lvl>
    <w:lvl w:ilvl="5" w:tentative="0">
      <w:start w:val="1"/>
      <w:numFmt w:val="lowerLetter"/>
      <w:lvlText w:val="(%6)"/>
      <w:legacy w:legacy="1" w:legacySpace="0" w:legacyIndent="425"/>
      <w:lvlJc w:val="left"/>
      <w:pPr>
        <w:ind w:left="2550" w:hanging="425"/>
      </w:pPr>
      <w:rPr>
        <w:rFonts w:cs="Times New Roman"/>
      </w:rPr>
    </w:lvl>
    <w:lvl w:ilvl="6" w:tentative="0">
      <w:start w:val="1"/>
      <w:numFmt w:val="lowerRoman"/>
      <w:lvlText w:val="(%7)"/>
      <w:legacy w:legacy="1" w:legacySpace="0" w:legacyIndent="425"/>
      <w:lvlJc w:val="left"/>
      <w:pPr>
        <w:ind w:left="2975" w:hanging="425"/>
      </w:pPr>
      <w:rPr>
        <w:rFonts w:cs="Times New Roman"/>
      </w:rPr>
    </w:lvl>
    <w:lvl w:ilvl="7" w:tentative="0">
      <w:start w:val="1"/>
      <w:numFmt w:val="lowerLetter"/>
      <w:lvlText w:val="(%8)"/>
      <w:legacy w:legacy="1" w:legacySpace="0" w:legacyIndent="425"/>
      <w:lvlJc w:val="left"/>
      <w:pPr>
        <w:ind w:left="3400" w:hanging="425"/>
      </w:pPr>
      <w:rPr>
        <w:rFonts w:cs="Times New Roman"/>
      </w:rPr>
    </w:lvl>
    <w:lvl w:ilvl="8" w:tentative="0">
      <w:start w:val="1"/>
      <w:numFmt w:val="lowerRoman"/>
      <w:lvlText w:val="(%9)"/>
      <w:legacy w:legacy="1" w:legacySpace="0" w:legacyIndent="425"/>
      <w:lvlJc w:val="left"/>
      <w:pPr>
        <w:ind w:left="3825" w:hanging="425"/>
      </w:pPr>
      <w:rPr>
        <w:rFonts w:cs="Times New Roman"/>
      </w:rPr>
    </w:lvl>
  </w:abstractNum>
  <w:abstractNum w:abstractNumId="2">
    <w:nsid w:val="0000001E"/>
    <w:multiLevelType w:val="multilevel"/>
    <w:tmpl w:val="0000001E"/>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FdUhio2z1MJBib4gExOfDEqwGDI=" w:salt="UhRG8JBNL+dBaMudiv0Mt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lYjI0OGJkZDc1YjQ5ZWQzOTAxZThjMDBiMGY5ZmIifQ=="/>
  </w:docVars>
  <w:rsids>
    <w:rsidRoot w:val="18543CF9"/>
    <w:rsid w:val="00520897"/>
    <w:rsid w:val="01A826CA"/>
    <w:rsid w:val="02247ACE"/>
    <w:rsid w:val="023F0464"/>
    <w:rsid w:val="028535FF"/>
    <w:rsid w:val="033743E6"/>
    <w:rsid w:val="037E320E"/>
    <w:rsid w:val="04256A3D"/>
    <w:rsid w:val="04425FE9"/>
    <w:rsid w:val="055D1F0C"/>
    <w:rsid w:val="064500CB"/>
    <w:rsid w:val="069420D1"/>
    <w:rsid w:val="06C537BD"/>
    <w:rsid w:val="0850534E"/>
    <w:rsid w:val="093E76C7"/>
    <w:rsid w:val="094B1DE4"/>
    <w:rsid w:val="09DB6ABC"/>
    <w:rsid w:val="0B071D3B"/>
    <w:rsid w:val="0B1D330C"/>
    <w:rsid w:val="0B385646"/>
    <w:rsid w:val="0BA42D25"/>
    <w:rsid w:val="0C9037D2"/>
    <w:rsid w:val="0CA83C7C"/>
    <w:rsid w:val="0CD43ED0"/>
    <w:rsid w:val="0D047E23"/>
    <w:rsid w:val="0D3A44CA"/>
    <w:rsid w:val="0D3F3B5F"/>
    <w:rsid w:val="0D4465FA"/>
    <w:rsid w:val="0DF34C7D"/>
    <w:rsid w:val="0E0B16CD"/>
    <w:rsid w:val="0E336944"/>
    <w:rsid w:val="0EAC51E1"/>
    <w:rsid w:val="0EC20452"/>
    <w:rsid w:val="0EC637FF"/>
    <w:rsid w:val="0EEA6492"/>
    <w:rsid w:val="1068003A"/>
    <w:rsid w:val="1097317E"/>
    <w:rsid w:val="11220530"/>
    <w:rsid w:val="1163111B"/>
    <w:rsid w:val="11BE63FD"/>
    <w:rsid w:val="124935A2"/>
    <w:rsid w:val="12AE19A1"/>
    <w:rsid w:val="145558C5"/>
    <w:rsid w:val="15281AB4"/>
    <w:rsid w:val="15B42ABF"/>
    <w:rsid w:val="16441A33"/>
    <w:rsid w:val="16516E47"/>
    <w:rsid w:val="17A65C95"/>
    <w:rsid w:val="18074383"/>
    <w:rsid w:val="183B3DB9"/>
    <w:rsid w:val="18543CF9"/>
    <w:rsid w:val="193208CA"/>
    <w:rsid w:val="1978289E"/>
    <w:rsid w:val="19AD7F51"/>
    <w:rsid w:val="1A0B4BE5"/>
    <w:rsid w:val="1A2553F4"/>
    <w:rsid w:val="1AC567CB"/>
    <w:rsid w:val="1AF63056"/>
    <w:rsid w:val="1BBE4697"/>
    <w:rsid w:val="1C2C01A7"/>
    <w:rsid w:val="1C2E6D29"/>
    <w:rsid w:val="1D644857"/>
    <w:rsid w:val="1E0565AE"/>
    <w:rsid w:val="1F1541C9"/>
    <w:rsid w:val="20223EB6"/>
    <w:rsid w:val="20717F2A"/>
    <w:rsid w:val="211B0D02"/>
    <w:rsid w:val="22245940"/>
    <w:rsid w:val="22851A6B"/>
    <w:rsid w:val="23C45AE8"/>
    <w:rsid w:val="24612064"/>
    <w:rsid w:val="247500F5"/>
    <w:rsid w:val="24B71C84"/>
    <w:rsid w:val="26F3599D"/>
    <w:rsid w:val="270E6820"/>
    <w:rsid w:val="2744655C"/>
    <w:rsid w:val="275306F2"/>
    <w:rsid w:val="277F2F2D"/>
    <w:rsid w:val="2815563F"/>
    <w:rsid w:val="284866D5"/>
    <w:rsid w:val="2852036A"/>
    <w:rsid w:val="28C876FF"/>
    <w:rsid w:val="28DD78B1"/>
    <w:rsid w:val="29FD079E"/>
    <w:rsid w:val="2A2715E7"/>
    <w:rsid w:val="2A9574E7"/>
    <w:rsid w:val="2B3640E7"/>
    <w:rsid w:val="2B593A95"/>
    <w:rsid w:val="2CA07F1F"/>
    <w:rsid w:val="2D4C3F3D"/>
    <w:rsid w:val="2DA22888"/>
    <w:rsid w:val="2E345C0F"/>
    <w:rsid w:val="2EA72D69"/>
    <w:rsid w:val="2F5702EB"/>
    <w:rsid w:val="2FB03EC7"/>
    <w:rsid w:val="30655F67"/>
    <w:rsid w:val="307456F4"/>
    <w:rsid w:val="30F93D50"/>
    <w:rsid w:val="316C3231"/>
    <w:rsid w:val="31712CAC"/>
    <w:rsid w:val="31B41A25"/>
    <w:rsid w:val="31EE17C3"/>
    <w:rsid w:val="320D376A"/>
    <w:rsid w:val="32166D38"/>
    <w:rsid w:val="322F67FD"/>
    <w:rsid w:val="32D21D23"/>
    <w:rsid w:val="32E25E06"/>
    <w:rsid w:val="33AB2AE8"/>
    <w:rsid w:val="33C57F19"/>
    <w:rsid w:val="33C64EFA"/>
    <w:rsid w:val="35F21280"/>
    <w:rsid w:val="37D50947"/>
    <w:rsid w:val="37E27046"/>
    <w:rsid w:val="38161961"/>
    <w:rsid w:val="38994A3E"/>
    <w:rsid w:val="38E218F0"/>
    <w:rsid w:val="38E90DE3"/>
    <w:rsid w:val="38F10B41"/>
    <w:rsid w:val="3928462D"/>
    <w:rsid w:val="39294E38"/>
    <w:rsid w:val="39462B58"/>
    <w:rsid w:val="396F5377"/>
    <w:rsid w:val="39A369DF"/>
    <w:rsid w:val="39E457B5"/>
    <w:rsid w:val="3AD924FC"/>
    <w:rsid w:val="3B914B85"/>
    <w:rsid w:val="3BAB4D14"/>
    <w:rsid w:val="3BC60CD2"/>
    <w:rsid w:val="3C5B34B7"/>
    <w:rsid w:val="3D311C7C"/>
    <w:rsid w:val="3DFE7834"/>
    <w:rsid w:val="3E0D2BA2"/>
    <w:rsid w:val="3E3A062B"/>
    <w:rsid w:val="3F220916"/>
    <w:rsid w:val="40D20119"/>
    <w:rsid w:val="41080632"/>
    <w:rsid w:val="414C2F42"/>
    <w:rsid w:val="4198271B"/>
    <w:rsid w:val="42004812"/>
    <w:rsid w:val="42254FE2"/>
    <w:rsid w:val="4276163D"/>
    <w:rsid w:val="42CE281C"/>
    <w:rsid w:val="43B23314"/>
    <w:rsid w:val="43D61CCF"/>
    <w:rsid w:val="43E73A30"/>
    <w:rsid w:val="4404721B"/>
    <w:rsid w:val="447F5266"/>
    <w:rsid w:val="449052F8"/>
    <w:rsid w:val="44E623E5"/>
    <w:rsid w:val="45B24076"/>
    <w:rsid w:val="46017364"/>
    <w:rsid w:val="4650235F"/>
    <w:rsid w:val="47681CB9"/>
    <w:rsid w:val="478B183F"/>
    <w:rsid w:val="47975F91"/>
    <w:rsid w:val="47F17FF6"/>
    <w:rsid w:val="481039C2"/>
    <w:rsid w:val="495C73DE"/>
    <w:rsid w:val="4A631398"/>
    <w:rsid w:val="4AF764A2"/>
    <w:rsid w:val="4B085B79"/>
    <w:rsid w:val="4D1F45CA"/>
    <w:rsid w:val="4D3F08E5"/>
    <w:rsid w:val="4DCB088C"/>
    <w:rsid w:val="4F6C607F"/>
    <w:rsid w:val="4F9C19A5"/>
    <w:rsid w:val="4FD32219"/>
    <w:rsid w:val="50FE637F"/>
    <w:rsid w:val="5232691D"/>
    <w:rsid w:val="52B725FD"/>
    <w:rsid w:val="52D41ACF"/>
    <w:rsid w:val="53265008"/>
    <w:rsid w:val="53C83F02"/>
    <w:rsid w:val="54B8170F"/>
    <w:rsid w:val="553E5B78"/>
    <w:rsid w:val="557C6AFB"/>
    <w:rsid w:val="55825812"/>
    <w:rsid w:val="568466E1"/>
    <w:rsid w:val="569C7E2B"/>
    <w:rsid w:val="57D1564F"/>
    <w:rsid w:val="583848AE"/>
    <w:rsid w:val="58D47E44"/>
    <w:rsid w:val="596F3EF7"/>
    <w:rsid w:val="597B0EF6"/>
    <w:rsid w:val="5A2E693B"/>
    <w:rsid w:val="5ACE04AA"/>
    <w:rsid w:val="5C640FA6"/>
    <w:rsid w:val="5CE837F7"/>
    <w:rsid w:val="5EFE7E17"/>
    <w:rsid w:val="5F014952"/>
    <w:rsid w:val="600F393E"/>
    <w:rsid w:val="60611410"/>
    <w:rsid w:val="60700B70"/>
    <w:rsid w:val="61216DC9"/>
    <w:rsid w:val="614608E4"/>
    <w:rsid w:val="61870133"/>
    <w:rsid w:val="61CC6B2B"/>
    <w:rsid w:val="61CD35B4"/>
    <w:rsid w:val="62561D7F"/>
    <w:rsid w:val="625B6CA3"/>
    <w:rsid w:val="62D33B51"/>
    <w:rsid w:val="636776DF"/>
    <w:rsid w:val="63AA3121"/>
    <w:rsid w:val="63AA40CB"/>
    <w:rsid w:val="64F5495F"/>
    <w:rsid w:val="65B75E9B"/>
    <w:rsid w:val="65C5024C"/>
    <w:rsid w:val="67237B54"/>
    <w:rsid w:val="67626648"/>
    <w:rsid w:val="68CC6FFB"/>
    <w:rsid w:val="68EF4B15"/>
    <w:rsid w:val="69076FCD"/>
    <w:rsid w:val="69101BD4"/>
    <w:rsid w:val="69A22C77"/>
    <w:rsid w:val="69ED6D3E"/>
    <w:rsid w:val="69EE74C3"/>
    <w:rsid w:val="69EE7667"/>
    <w:rsid w:val="6A7554F1"/>
    <w:rsid w:val="6C587073"/>
    <w:rsid w:val="6C910638"/>
    <w:rsid w:val="6E907F65"/>
    <w:rsid w:val="70113542"/>
    <w:rsid w:val="7083374F"/>
    <w:rsid w:val="71F51912"/>
    <w:rsid w:val="729C539E"/>
    <w:rsid w:val="72CE5BF7"/>
    <w:rsid w:val="72DE77C2"/>
    <w:rsid w:val="733C4C78"/>
    <w:rsid w:val="7363682B"/>
    <w:rsid w:val="73A143B8"/>
    <w:rsid w:val="73CF562F"/>
    <w:rsid w:val="746D5229"/>
    <w:rsid w:val="749D7B1B"/>
    <w:rsid w:val="74EE65C9"/>
    <w:rsid w:val="7554465E"/>
    <w:rsid w:val="771A0A72"/>
    <w:rsid w:val="79054FA9"/>
    <w:rsid w:val="792D69AB"/>
    <w:rsid w:val="79A953E1"/>
    <w:rsid w:val="7A1B3742"/>
    <w:rsid w:val="7A1C7FC7"/>
    <w:rsid w:val="7AA1149B"/>
    <w:rsid w:val="7AA66432"/>
    <w:rsid w:val="7AF378B6"/>
    <w:rsid w:val="7B171426"/>
    <w:rsid w:val="7B442487"/>
    <w:rsid w:val="7BF13703"/>
    <w:rsid w:val="7C35622C"/>
    <w:rsid w:val="7CBA047A"/>
    <w:rsid w:val="7CFE2601"/>
    <w:rsid w:val="7D20578D"/>
    <w:rsid w:val="7DB155FF"/>
    <w:rsid w:val="7DC47E4E"/>
    <w:rsid w:val="7E6478FC"/>
    <w:rsid w:val="7E693997"/>
    <w:rsid w:val="7EBD7483"/>
    <w:rsid w:val="7F20292A"/>
    <w:rsid w:val="7F2D19D9"/>
    <w:rsid w:val="7F392227"/>
    <w:rsid w:val="7FCC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2">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paragraph" w:styleId="4">
    <w:name w:val="heading 3"/>
    <w:basedOn w:val="1"/>
    <w:next w:val="5"/>
    <w:qFormat/>
    <w:uiPriority w:val="99"/>
    <w:pPr>
      <w:keepNext/>
      <w:keepLines/>
      <w:numPr>
        <w:ilvl w:val="2"/>
        <w:numId w:val="1"/>
      </w:numPr>
      <w:adjustRightInd w:val="0"/>
      <w:spacing w:before="160" w:after="160" w:line="160" w:lineRule="atLeast"/>
      <w:textAlignment w:val="baseline"/>
      <w:outlineLvl w:val="2"/>
    </w:pPr>
    <w:rPr>
      <w:rFonts w:ascii="黑体" w:eastAsia="黑体"/>
      <w:kern w:val="0"/>
      <w:sz w:val="28"/>
      <w:szCs w:val="20"/>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5">
    <w:name w:val="文档正文"/>
    <w:basedOn w:val="1"/>
    <w:qFormat/>
    <w:uiPriority w:val="99"/>
    <w:pPr>
      <w:adjustRightInd w:val="0"/>
      <w:spacing w:line="480" w:lineRule="atLeast"/>
      <w:ind w:firstLine="567"/>
      <w:textAlignment w:val="baseline"/>
    </w:pPr>
    <w:rPr>
      <w:rFonts w:ascii="FangSong_GB2312" w:eastAsia="FangSong_GB2312"/>
      <w:kern w:val="0"/>
      <w:sz w:val="28"/>
      <w:szCs w:val="20"/>
    </w:rPr>
  </w:style>
  <w:style w:type="paragraph" w:styleId="6">
    <w:name w:val="Normal Indent"/>
    <w:basedOn w:val="1"/>
    <w:qFormat/>
    <w:uiPriority w:val="0"/>
    <w:pPr>
      <w:ind w:firstLine="420"/>
    </w:pPr>
    <w:rPr>
      <w:rFonts w:ascii="Times New Roman" w:hAnsi="Times New Roman" w:eastAsia="宋体" w:cs="Times New Roman"/>
      <w:szCs w:val="20"/>
    </w:rPr>
  </w:style>
  <w:style w:type="paragraph" w:styleId="7">
    <w:name w:val="Body Text"/>
    <w:basedOn w:val="1"/>
    <w:next w:val="1"/>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styleId="8">
    <w:name w:val="Body Text Indent"/>
    <w:basedOn w:val="1"/>
    <w:next w:val="9"/>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9">
    <w:name w:val="envelope return"/>
    <w:basedOn w:val="1"/>
    <w:qFormat/>
    <w:uiPriority w:val="0"/>
    <w:pPr>
      <w:autoSpaceDE w:val="0"/>
      <w:autoSpaceDN w:val="0"/>
      <w:adjustRightInd w:val="0"/>
      <w:snapToGrid w:val="0"/>
      <w:jc w:val="left"/>
    </w:pPr>
    <w:rPr>
      <w:rFonts w:ascii="Arial" w:hAnsi="Arial" w:eastAsia="宋体" w:cs="Times New Roman"/>
      <w:kern w:val="0"/>
      <w:sz w:val="24"/>
      <w:szCs w:val="24"/>
    </w:rPr>
  </w:style>
  <w:style w:type="paragraph" w:styleId="10">
    <w:name w:val="Plain Text"/>
    <w:basedOn w:val="1"/>
    <w:qFormat/>
    <w:uiPriority w:val="0"/>
    <w:pPr>
      <w:ind w:firstLine="200" w:firstLineChars="200"/>
    </w:pPr>
    <w:rPr>
      <w:rFonts w:ascii="宋体" w:hAnsi="Courier New"/>
      <w:szCs w:val="20"/>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Body Text 2"/>
    <w:basedOn w:val="1"/>
    <w:qFormat/>
    <w:uiPriority w:val="0"/>
    <w:pPr>
      <w:spacing w:after="120" w:line="480" w:lineRule="auto"/>
    </w:pPr>
    <w:rPr>
      <w:szCs w:val="20"/>
    </w:rPr>
  </w:style>
  <w:style w:type="paragraph" w:styleId="15">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6">
    <w:name w:val="Body Text First Indent"/>
    <w:basedOn w:val="7"/>
    <w:next w:val="17"/>
    <w:qFormat/>
    <w:uiPriority w:val="0"/>
    <w:pPr>
      <w:ind w:firstLine="420" w:firstLineChars="100"/>
    </w:pPr>
  </w:style>
  <w:style w:type="paragraph" w:styleId="17">
    <w:name w:val="Body Text First Indent 2"/>
    <w:basedOn w:val="8"/>
    <w:next w:val="1"/>
    <w:qFormat/>
    <w:uiPriority w:val="0"/>
    <w:pPr>
      <w:ind w:firstLine="420" w:firstLineChars="200"/>
    </w:pPr>
    <w:rPr>
      <w:sz w:val="21"/>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style>
  <w:style w:type="character" w:styleId="22">
    <w:name w:val="FollowedHyperlink"/>
    <w:basedOn w:val="20"/>
    <w:qFormat/>
    <w:uiPriority w:val="0"/>
    <w:rPr>
      <w:color w:val="800080"/>
      <w:u w:val="none"/>
    </w:rPr>
  </w:style>
  <w:style w:type="character" w:styleId="23">
    <w:name w:val="Emphasis"/>
    <w:basedOn w:val="20"/>
    <w:qFormat/>
    <w:uiPriority w:val="0"/>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style>
  <w:style w:type="character" w:styleId="28">
    <w:name w:val="Hyperlink"/>
    <w:basedOn w:val="20"/>
    <w:qFormat/>
    <w:uiPriority w:val="0"/>
    <w:rPr>
      <w:color w:val="0000FF"/>
      <w:u w:val="non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ascii="monospace" w:hAnsi="monospace" w:eastAsia="monospace" w:cs="monospace"/>
      <w:sz w:val="20"/>
    </w:rPr>
  </w:style>
  <w:style w:type="character" w:styleId="32">
    <w:name w:val="HTML Sample"/>
    <w:basedOn w:val="20"/>
    <w:qFormat/>
    <w:uiPriority w:val="0"/>
    <w:rPr>
      <w:rFonts w:hint="default" w:ascii="monospace" w:hAnsi="monospace" w:eastAsia="monospace" w:cs="monospace"/>
    </w:rPr>
  </w:style>
  <w:style w:type="paragraph" w:customStyle="1" w:styleId="33">
    <w:name w:val="style4"/>
    <w:basedOn w:val="1"/>
    <w:next w:val="34"/>
    <w:qFormat/>
    <w:uiPriority w:val="0"/>
    <w:pPr>
      <w:widowControl/>
      <w:autoSpaceDE/>
      <w:autoSpaceDN/>
      <w:spacing w:before="280" w:after="280"/>
      <w:jc w:val="both"/>
    </w:pPr>
    <w:rPr>
      <w:sz w:val="18"/>
    </w:rPr>
  </w:style>
  <w:style w:type="paragraph" w:customStyle="1" w:styleId="34">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
    <w:name w:val="无间隔1"/>
    <w:next w:val="36"/>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6">
    <w:name w:val="TOC Heading1"/>
    <w:next w:val="1"/>
    <w:qFormat/>
    <w:uiPriority w:val="0"/>
    <w:pPr>
      <w:wordWrap w:val="0"/>
    </w:pPr>
    <w:rPr>
      <w:rFonts w:ascii="Calibri" w:hAnsi="Calibri" w:eastAsia="宋体" w:cs="Times New Roman"/>
      <w:sz w:val="32"/>
      <w:szCs w:val="22"/>
      <w:lang w:val="en-US" w:eastAsia="zh-CN" w:bidi="ar-SA"/>
    </w:rPr>
  </w:style>
  <w:style w:type="paragraph" w:customStyle="1" w:styleId="37">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38">
    <w:name w:val="WPSOffice手动目录 1"/>
    <w:qFormat/>
    <w:uiPriority w:val="99"/>
    <w:rPr>
      <w:rFonts w:ascii="Times New Roman" w:hAnsi="Times New Roman" w:eastAsia="宋体" w:cs="Times New Roman"/>
      <w:lang w:val="en-US" w:eastAsia="zh-CN" w:bidi="ar-SA"/>
    </w:rPr>
  </w:style>
  <w:style w:type="paragraph" w:styleId="39">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40">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41">
    <w:name w:val="**正文"/>
    <w:basedOn w:val="1"/>
    <w:qFormat/>
    <w:uiPriority w:val="0"/>
    <w:pPr>
      <w:spacing w:line="360" w:lineRule="auto"/>
      <w:ind w:firstLine="482"/>
    </w:pPr>
    <w:rPr>
      <w:rFonts w:ascii="宋体" w:hAnsi="宋体" w:eastAsia="宋体" w:cs="Times New Roman"/>
      <w:sz w:val="24"/>
      <w:szCs w:val="24"/>
    </w:rPr>
  </w:style>
  <w:style w:type="paragraph" w:customStyle="1" w:styleId="42">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43">
    <w:name w:val="引文目录标题1"/>
    <w:basedOn w:val="1"/>
    <w:next w:val="1"/>
    <w:qFormat/>
    <w:uiPriority w:val="0"/>
    <w:pPr>
      <w:spacing w:before="120" w:after="100" w:afterAutospacing="1"/>
    </w:pPr>
    <w:rPr>
      <w:rFonts w:ascii="Cambria" w:hAnsi="Cambria"/>
      <w:sz w:val="24"/>
    </w:rPr>
  </w:style>
  <w:style w:type="table" w:customStyle="1" w:styleId="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35521</Words>
  <Characters>39530</Characters>
  <Lines>0</Lines>
  <Paragraphs>0</Paragraphs>
  <TotalTime>13</TotalTime>
  <ScaleCrop>false</ScaleCrop>
  <LinksUpToDate>false</LinksUpToDate>
  <CharactersWithSpaces>41684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2023-05-24T08:59:00Z</dcterms:created>
  <dc:creator>王富祯</dc:creator>
  <cp:lastModifiedBy>王恺</cp:lastModifiedBy>
  <dcterms:modified xsi:type="dcterms:W3CDTF">2023-11-08T09:16:33Z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7BA2FE1EC41C46FDA843B5F72B192CB2_13</vt:lpwstr>
  </property>
</Properties>
</file>