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insoku w:val="0"/>
        <w:overflowPunct w:val="0"/>
        <w:autoSpaceDE w:val="0"/>
        <w:autoSpaceDN w:val="0"/>
        <w:adjustRightInd w:val="0"/>
        <w:spacing w:line="626" w:lineRule="exact"/>
        <w:ind w:left="820"/>
        <w:jc w:val="center"/>
        <w:rPr>
          <w:rFonts w:ascii="Times New Roman" w:hAnsi="Times New Roman" w:eastAsia="宋体" w:cs="Times New Roman"/>
          <w:color w:val="000000" w:themeColor="text1"/>
          <w:kern w:val="0"/>
          <w:sz w:val="48"/>
          <w:szCs w:val="48"/>
          <w14:textFill>
            <w14:solidFill>
              <w14:schemeClr w14:val="tx1"/>
            </w14:solidFill>
          </w14:textFill>
        </w:rPr>
      </w:pPr>
      <w:r>
        <w:rPr>
          <w:rFonts w:hint="eastAsia" w:ascii="Times New Roman" w:hAnsi="Times New Roman" w:eastAsia="宋体" w:cs="Times New Roman"/>
          <w:b/>
          <w:bCs/>
          <w:color w:val="000000" w:themeColor="text1"/>
          <w:kern w:val="0"/>
          <w:sz w:val="48"/>
          <w:szCs w:val="48"/>
          <w:lang w:eastAsia="zh-CN"/>
          <w14:textFill>
            <w14:solidFill>
              <w14:schemeClr w14:val="tx1"/>
            </w14:solidFill>
          </w14:textFill>
        </w:rPr>
        <w:t>郑州市第九人民医院医疗设备采购项目</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before="1"/>
        <w:jc w:val="left"/>
        <w:rPr>
          <w:rFonts w:ascii="Times New Roman" w:hAnsi="Times New Roman" w:eastAsia="宋体" w:cs="Times New Roman"/>
          <w:b/>
          <w:bCs/>
          <w:color w:val="000000" w:themeColor="text1"/>
          <w:kern w:val="0"/>
          <w:sz w:val="68"/>
          <w:szCs w:val="68"/>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hint="eastAsia" w:ascii="Times New Roman" w:hAnsi="Times New Roman" w:eastAsia="宋体" w:cs="Times New Roman"/>
          <w:b/>
          <w:bCs/>
          <w:color w:val="000000" w:themeColor="text1"/>
          <w:kern w:val="0"/>
          <w:sz w:val="84"/>
          <w:szCs w:val="84"/>
          <w14:textFill>
            <w14:solidFill>
              <w14:schemeClr w14:val="tx1"/>
            </w14:solidFill>
          </w14:textFill>
        </w:rPr>
      </w:pPr>
    </w:p>
    <w:p>
      <w:pPr>
        <w:kinsoku w:val="0"/>
        <w:overflowPunct w:val="0"/>
        <w:autoSpaceDE w:val="0"/>
        <w:autoSpaceDN w:val="0"/>
        <w:adjustRightInd w:val="0"/>
        <w:spacing w:line="300" w:lineRule="auto"/>
        <w:jc w:val="center"/>
        <w:rPr>
          <w:rFonts w:ascii="Times New Roman" w:hAnsi="Times New Roman" w:eastAsia="宋体" w:cs="Times New Roman"/>
          <w:color w:val="000000" w:themeColor="text1"/>
          <w:kern w:val="0"/>
          <w:sz w:val="84"/>
          <w:szCs w:val="84"/>
          <w14:textFill>
            <w14:solidFill>
              <w14:schemeClr w14:val="tx1"/>
            </w14:solidFill>
          </w14:textFill>
        </w:rPr>
      </w:pPr>
      <w:r>
        <w:rPr>
          <w:rFonts w:hint="eastAsia" w:ascii="Times New Roman" w:hAnsi="Times New Roman" w:eastAsia="宋体" w:cs="Times New Roman"/>
          <w:b/>
          <w:bCs/>
          <w:color w:val="000000" w:themeColor="text1"/>
          <w:kern w:val="0"/>
          <w:sz w:val="84"/>
          <w:szCs w:val="84"/>
          <w14:textFill>
            <w14:solidFill>
              <w14:schemeClr w14:val="tx1"/>
            </w14:solidFill>
          </w14:textFill>
        </w:rPr>
        <w:t>招</w:t>
      </w:r>
      <w:r>
        <w:rPr>
          <w:rFonts w:hint="eastAsia" w:ascii="Times New Roman" w:hAnsi="Times New Roman" w:eastAsia="宋体" w:cs="Times New Roman"/>
          <w:b/>
          <w:bCs/>
          <w:color w:val="000000" w:themeColor="text1"/>
          <w:spacing w:val="4"/>
          <w:kern w:val="0"/>
          <w:sz w:val="84"/>
          <w:szCs w:val="84"/>
          <w14:textFill>
            <w14:solidFill>
              <w14:schemeClr w14:val="tx1"/>
            </w14:solidFill>
          </w14:textFill>
        </w:rPr>
        <w:t>标</w:t>
      </w:r>
      <w:r>
        <w:rPr>
          <w:rFonts w:hint="eastAsia" w:ascii="Times New Roman" w:hAnsi="Times New Roman" w:eastAsia="宋体" w:cs="Times New Roman"/>
          <w:b/>
          <w:bCs/>
          <w:color w:val="000000" w:themeColor="text1"/>
          <w:kern w:val="0"/>
          <w:sz w:val="84"/>
          <w:szCs w:val="84"/>
          <w14:textFill>
            <w14:solidFill>
              <w14:schemeClr w14:val="tx1"/>
            </w14:solidFill>
          </w14:textFill>
        </w:rPr>
        <w:t>文</w:t>
      </w:r>
      <w:r>
        <w:rPr>
          <w:rFonts w:hint="eastAsia" w:ascii="Times New Roman" w:hAnsi="Times New Roman" w:eastAsia="宋体" w:cs="Times New Roman"/>
          <w:b/>
          <w:bCs/>
          <w:color w:val="000000" w:themeColor="text1"/>
          <w:spacing w:val="3"/>
          <w:kern w:val="0"/>
          <w:sz w:val="84"/>
          <w:szCs w:val="84"/>
          <w14:textFill>
            <w14:solidFill>
              <w14:schemeClr w14:val="tx1"/>
            </w14:solidFill>
          </w14:textFill>
        </w:rPr>
        <w:t>件</w:t>
      </w:r>
    </w:p>
    <w:p>
      <w:pPr>
        <w:kinsoku w:val="0"/>
        <w:overflowPunct w:val="0"/>
        <w:autoSpaceDE w:val="0"/>
        <w:autoSpaceDN w:val="0"/>
        <w:adjustRightInd w:val="0"/>
        <w:spacing w:before="90"/>
        <w:ind w:right="843"/>
        <w:jc w:val="center"/>
        <w:rPr>
          <w:rFonts w:hint="default" w:ascii="Times New Roman" w:hAnsi="Times New Roman" w:eastAsia="宋体" w:cs="Times New Roman"/>
          <w:color w:val="auto"/>
          <w:kern w:val="0"/>
          <w:sz w:val="28"/>
          <w:szCs w:val="28"/>
          <w:highlight w:val="none"/>
          <w:lang w:val="en-US" w:eastAsia="zh-CN"/>
        </w:rPr>
      </w:pPr>
      <w:r>
        <w:rPr>
          <w:rFonts w:hint="eastAsia" w:ascii="Times New Roman" w:hAnsi="Times New Roman" w:eastAsia="宋体" w:cs="Times New Roman"/>
          <w:b/>
          <w:bCs/>
          <w:color w:val="auto"/>
          <w:kern w:val="0"/>
          <w:sz w:val="28"/>
          <w:szCs w:val="28"/>
          <w:highlight w:val="none"/>
          <w:lang w:val="en-US" w:eastAsia="zh-CN"/>
        </w:rPr>
        <w:t xml:space="preserve">       </w:t>
      </w:r>
      <w:r>
        <w:rPr>
          <w:rFonts w:hint="eastAsia" w:ascii="Times New Roman" w:hAnsi="Times New Roman" w:eastAsia="宋体" w:cs="Times New Roman"/>
          <w:b/>
          <w:bCs/>
          <w:color w:val="auto"/>
          <w:kern w:val="0"/>
          <w:sz w:val="28"/>
          <w:szCs w:val="28"/>
          <w:highlight w:val="none"/>
          <w:lang w:eastAsia="zh-CN"/>
        </w:rPr>
        <w:t>项目</w:t>
      </w:r>
      <w:r>
        <w:rPr>
          <w:rFonts w:hint="eastAsia" w:ascii="Times New Roman" w:hAnsi="Times New Roman" w:eastAsia="宋体" w:cs="Times New Roman"/>
          <w:b/>
          <w:bCs/>
          <w:color w:val="auto"/>
          <w:kern w:val="0"/>
          <w:sz w:val="28"/>
          <w:szCs w:val="28"/>
          <w:highlight w:val="none"/>
        </w:rPr>
        <w:t>编号：</w:t>
      </w:r>
      <w:r>
        <w:rPr>
          <w:rFonts w:hint="eastAsia" w:ascii="Times New Roman" w:hAnsi="Times New Roman" w:eastAsia="宋体" w:cs="Times New Roman"/>
          <w:b/>
          <w:bCs/>
          <w:color w:val="auto"/>
          <w:kern w:val="0"/>
          <w:sz w:val="28"/>
          <w:szCs w:val="28"/>
          <w:highlight w:val="none"/>
          <w:lang w:val="en-US" w:eastAsia="zh-CN"/>
        </w:rPr>
        <w:t>郑财招标采购-2023-278</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rPr>
          <w:rFonts w:ascii="Times New Roman" w:hAnsi="Times New Roman" w:eastAsia="宋体" w:cs="Times New Roman"/>
          <w:b/>
          <w:bCs/>
          <w:color w:val="000000" w:themeColor="text1"/>
          <w:kern w:val="0"/>
          <w:sz w:val="28"/>
          <w:szCs w:val="28"/>
          <w14:textFill>
            <w14:solidFill>
              <w14:schemeClr w14:val="tx1"/>
            </w14:solidFill>
          </w14:textFill>
        </w:rPr>
      </w:pPr>
    </w:p>
    <w:p>
      <w:pPr>
        <w:pStyle w:val="17"/>
        <w:ind w:firstLine="562"/>
        <w:rPr>
          <w:b/>
          <w:bCs/>
          <w:color w:val="000000" w:themeColor="text1"/>
          <w:sz w:val="28"/>
          <w:szCs w:val="28"/>
          <w14:textFill>
            <w14:solidFill>
              <w14:schemeClr w14:val="tx1"/>
            </w14:solidFill>
          </w14:textFill>
        </w:rPr>
      </w:pPr>
    </w:p>
    <w:p>
      <w:pPr>
        <w:pStyle w:val="37"/>
        <w:ind w:firstLine="480"/>
        <w:rPr>
          <w:color w:val="000000" w:themeColor="text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tabs>
          <w:tab w:val="left" w:pos="2356"/>
          <w:tab w:val="left" w:pos="2848"/>
        </w:tabs>
        <w:kinsoku w:val="0"/>
        <w:overflowPunct w:val="0"/>
        <w:autoSpaceDE w:val="0"/>
        <w:autoSpaceDN w:val="0"/>
        <w:adjustRightInd w:val="0"/>
        <w:spacing w:line="336" w:lineRule="auto"/>
        <w:ind w:left="1860" w:right="845"/>
        <w:jc w:val="left"/>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采</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购</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人：</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郑州市第九人民医院</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b/>
          <w:bCs/>
          <w:color w:val="000000" w:themeColor="text1"/>
          <w:w w:val="98"/>
          <w:kern w:val="0"/>
          <w:sz w:val="30"/>
          <w:szCs w:val="30"/>
          <w14:textFill>
            <w14:solidFill>
              <w14:schemeClr w14:val="tx1"/>
            </w14:solidFill>
          </w14:textFill>
        </w:rPr>
      </w:pPr>
      <w:r>
        <w:rPr>
          <w:rFonts w:hint="eastAsia" w:ascii="Times New Roman" w:hAnsi="Times New Roman" w:eastAsia="宋体" w:cs="Times New Roman"/>
          <w:b/>
          <w:bCs/>
          <w:color w:val="000000" w:themeColor="text1"/>
          <w:kern w:val="0"/>
          <w:sz w:val="30"/>
          <w:szCs w:val="30"/>
          <w14:textFill>
            <w14:solidFill>
              <w14:schemeClr w14:val="tx1"/>
            </w14:solidFill>
          </w14:textFill>
        </w:rPr>
        <w:t>代理机构：河南省机电设备国际招标有限</w:t>
      </w:r>
      <w:r>
        <w:rPr>
          <w:rFonts w:hint="eastAsia" w:ascii="Times New Roman" w:hAnsi="Times New Roman" w:eastAsia="宋体" w:cs="Times New Roman"/>
          <w:b/>
          <w:bCs/>
          <w:color w:val="000000" w:themeColor="text1"/>
          <w:spacing w:val="2"/>
          <w:kern w:val="0"/>
          <w:sz w:val="30"/>
          <w:szCs w:val="30"/>
          <w14:textFill>
            <w14:solidFill>
              <w14:schemeClr w14:val="tx1"/>
            </w14:solidFill>
          </w14:textFill>
        </w:rPr>
        <w:t>公司</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2848"/>
        </w:tabs>
        <w:kinsoku w:val="0"/>
        <w:overflowPunct w:val="0"/>
        <w:autoSpaceDE w:val="0"/>
        <w:autoSpaceDN w:val="0"/>
        <w:adjustRightInd w:val="0"/>
        <w:spacing w:line="336" w:lineRule="auto"/>
        <w:ind w:left="1860" w:right="845"/>
        <w:jc w:val="left"/>
        <w:rPr>
          <w:rFonts w:ascii="Times New Roman" w:hAnsi="Times New Roman" w:eastAsia="宋体" w:cs="Times New Roman"/>
          <w:color w:val="000000" w:themeColor="text1"/>
          <w:kern w:val="0"/>
          <w:sz w:val="30"/>
          <w:szCs w:val="30"/>
          <w14:textFill>
            <w14:solidFill>
              <w14:schemeClr w14:val="tx1"/>
            </w14:solidFill>
          </w14:textFill>
        </w:rPr>
      </w:pPr>
      <w:r>
        <w:rPr>
          <w:rFonts w:hint="eastAsia" w:ascii="Times New Roman" w:hAnsi="Times New Roman" w:eastAsia="宋体" w:cs="Times New Roman"/>
          <w:b/>
          <w:bCs/>
          <w:color w:val="000000" w:themeColor="text1"/>
          <w:w w:val="95"/>
          <w:kern w:val="0"/>
          <w:sz w:val="30"/>
          <w:szCs w:val="30"/>
          <w14:textFill>
            <w14:solidFill>
              <w14:schemeClr w14:val="tx1"/>
            </w14:solidFill>
          </w14:textFill>
        </w:rPr>
        <w:t>日</w:t>
      </w:r>
      <w:r>
        <w:rPr>
          <w:rFonts w:ascii="Times New Roman" w:hAnsi="Times New Roman" w:eastAsia="宋体" w:cs="Times New Roman"/>
          <w:b/>
          <w:bCs/>
          <w:color w:val="000000" w:themeColor="text1"/>
          <w:w w:val="95"/>
          <w:kern w:val="0"/>
          <w:sz w:val="30"/>
          <w:szCs w:val="30"/>
          <w14:textFill>
            <w14:solidFill>
              <w14:schemeClr w14:val="tx1"/>
            </w14:solidFill>
          </w14:textFill>
        </w:rPr>
        <w:tab/>
      </w:r>
      <w:r>
        <w:rPr>
          <w:rFonts w:hint="eastAsia" w:ascii="Times New Roman" w:hAnsi="Times New Roman" w:eastAsia="宋体" w:cs="Times New Roman"/>
          <w:b/>
          <w:bCs/>
          <w:color w:val="000000" w:themeColor="text1"/>
          <w:kern w:val="0"/>
          <w:sz w:val="30"/>
          <w:szCs w:val="30"/>
          <w14:textFill>
            <w14:solidFill>
              <w14:schemeClr w14:val="tx1"/>
            </w14:solidFill>
          </w14:textFill>
        </w:rPr>
        <w:t>期：二〇二</w:t>
      </w:r>
      <w:r>
        <w:rPr>
          <w:rFonts w:hint="eastAsia" w:ascii="Times New Roman" w:hAnsi="Times New Roman" w:eastAsia="宋体" w:cs="Times New Roman"/>
          <w:b/>
          <w:bCs/>
          <w:color w:val="000000" w:themeColor="text1"/>
          <w:kern w:val="0"/>
          <w:sz w:val="30"/>
          <w:szCs w:val="30"/>
          <w:lang w:val="en-US" w:eastAsia="zh-CN"/>
          <w14:textFill>
            <w14:solidFill>
              <w14:schemeClr w14:val="tx1"/>
            </w14:solidFill>
          </w14:textFill>
        </w:rPr>
        <w:t>三</w:t>
      </w:r>
      <w:r>
        <w:rPr>
          <w:rFonts w:hint="eastAsia" w:ascii="Times New Roman" w:hAnsi="Times New Roman" w:eastAsia="宋体" w:cs="Times New Roman"/>
          <w:b/>
          <w:bCs/>
          <w:color w:val="000000" w:themeColor="text1"/>
          <w:kern w:val="0"/>
          <w:sz w:val="30"/>
          <w:szCs w:val="30"/>
          <w14:textFill>
            <w14:solidFill>
              <w14:schemeClr w14:val="tx1"/>
            </w14:solidFill>
          </w14:textFill>
        </w:rPr>
        <w:t>年</w:t>
      </w:r>
      <w:r>
        <w:rPr>
          <w:rFonts w:hint="eastAsia" w:ascii="Times New Roman" w:hAnsi="Times New Roman" w:eastAsia="宋体" w:cs="Times New Roman"/>
          <w:b/>
          <w:bCs/>
          <w:color w:val="000000" w:themeColor="text1"/>
          <w:kern w:val="0"/>
          <w:sz w:val="30"/>
          <w:szCs w:val="30"/>
          <w:lang w:eastAsia="zh-CN"/>
          <w14:textFill>
            <w14:solidFill>
              <w14:schemeClr w14:val="tx1"/>
            </w14:solidFill>
          </w14:textFill>
        </w:rPr>
        <w:t>九</w:t>
      </w:r>
      <w:r>
        <w:rPr>
          <w:rFonts w:hint="eastAsia" w:ascii="Times New Roman" w:hAnsi="Times New Roman" w:eastAsia="宋体" w:cs="Times New Roman"/>
          <w:b/>
          <w:bCs/>
          <w:color w:val="000000" w:themeColor="text1"/>
          <w:kern w:val="0"/>
          <w:sz w:val="30"/>
          <w:szCs w:val="30"/>
          <w14:textFill>
            <w14:solidFill>
              <w14:schemeClr w14:val="tx1"/>
            </w14:solidFill>
          </w14:textFill>
        </w:rPr>
        <w:t>月</w:t>
      </w:r>
      <w:r>
        <w:rPr>
          <w:rFonts w:ascii="Times New Roman" w:hAnsi="Times New Roman" w:eastAsia="宋体" w:cs="Times New Roman"/>
          <w:b/>
          <w:bCs/>
          <w:color w:val="000000" w:themeColor="text1"/>
          <w:w w:val="98"/>
          <w:kern w:val="0"/>
          <w:sz w:val="30"/>
          <w:szCs w:val="30"/>
          <w14:textFill>
            <w14:solidFill>
              <w14:schemeClr w14:val="tx1"/>
            </w14:solidFill>
          </w14:textFill>
        </w:rPr>
        <w:t xml:space="preserve"> </w:t>
      </w:r>
    </w:p>
    <w:p>
      <w:pPr>
        <w:tabs>
          <w:tab w:val="left" w:pos="3470"/>
        </w:tabs>
        <w:kinsoku w:val="0"/>
        <w:overflowPunct w:val="0"/>
        <w:autoSpaceDE w:val="0"/>
        <w:autoSpaceDN w:val="0"/>
        <w:adjustRightInd w:val="0"/>
        <w:spacing w:before="266"/>
        <w:ind w:left="1862" w:right="843"/>
        <w:jc w:val="left"/>
        <w:rPr>
          <w:rFonts w:ascii="Times New Roman" w:hAnsi="Times New Roman" w:eastAsia="宋体" w:cs="Times New Roman"/>
          <w:color w:val="000000" w:themeColor="text1"/>
          <w:kern w:val="0"/>
          <w:sz w:val="32"/>
          <w:szCs w:val="32"/>
          <w14:textFill>
            <w14:solidFill>
              <w14:schemeClr w14:val="tx1"/>
            </w14:solidFill>
          </w14:textFill>
        </w:rPr>
        <w:sectPr>
          <w:footerReference r:id="rId5" w:type="first"/>
          <w:headerReference r:id="rId3" w:type="default"/>
          <w:footerReference r:id="rId4" w:type="default"/>
          <w:pgSz w:w="11907" w:h="16840"/>
          <w:pgMar w:top="1599" w:right="1678" w:bottom="1202" w:left="1100" w:header="0" w:footer="1009" w:gutter="0"/>
          <w:pgNumType w:start="0"/>
          <w:cols w:space="720" w:num="1"/>
          <w:docGrid w:linePitch="326" w:charSpace="0"/>
        </w:sectPr>
      </w:pPr>
    </w:p>
    <w:p>
      <w:bookmarkStart w:id="0" w:name="_Hlk88133842"/>
    </w:p>
    <w:p>
      <w:pPr>
        <w:keepNext w:val="0"/>
        <w:keepLines w:val="0"/>
        <w:pageBreakBefore w:val="0"/>
        <w:widowControl w:val="0"/>
        <w:tabs>
          <w:tab w:val="right" w:leader="dot" w:pos="9720"/>
        </w:tabs>
        <w:kinsoku w:val="0"/>
        <w:wordWrap/>
        <w:overflowPunct w:val="0"/>
        <w:topLinePunct w:val="0"/>
        <w:autoSpaceDE w:val="0"/>
        <w:autoSpaceDN w:val="0"/>
        <w:bidi w:val="0"/>
        <w:adjustRightInd w:val="0"/>
        <w:snapToGrid/>
        <w:spacing w:line="240" w:lineRule="auto"/>
        <w:ind w:left="3583" w:right="3719"/>
        <w:jc w:val="center"/>
        <w:textAlignment w:val="auto"/>
        <w:rPr>
          <w:rFonts w:ascii="Times New Roman" w:hAnsi="宋体" w:eastAsia="宋体" w:cs="Times New Roman"/>
          <w:color w:val="000000" w:themeColor="text1"/>
          <w:w w:val="98"/>
          <w:kern w:val="0"/>
          <w:sz w:val="52"/>
          <w:szCs w:val="52"/>
          <w14:textFill>
            <w14:solidFill>
              <w14:schemeClr w14:val="tx1"/>
            </w14:solidFill>
          </w14:textFill>
        </w:rPr>
      </w:pPr>
      <w:r>
        <w:rPr>
          <w:rFonts w:hint="eastAsia" w:ascii="Times New Roman" w:hAnsi="宋体" w:eastAsia="宋体" w:cs="Times New Roman"/>
          <w:color w:val="000000" w:themeColor="text1"/>
          <w:kern w:val="0"/>
          <w:sz w:val="52"/>
          <w:szCs w:val="52"/>
          <w14:textFill>
            <w14:solidFill>
              <w14:schemeClr w14:val="tx1"/>
            </w14:solidFill>
          </w14:textFill>
        </w:rPr>
        <w:t>目</w:t>
      </w:r>
      <w:r>
        <w:rPr>
          <w:rFonts w:ascii="Times New Roman" w:hAnsi="宋体" w:eastAsia="宋体" w:cs="Times New Roman"/>
          <w:color w:val="000000" w:themeColor="text1"/>
          <w:spacing w:val="159"/>
          <w:kern w:val="0"/>
          <w:sz w:val="52"/>
          <w:szCs w:val="52"/>
          <w14:textFill>
            <w14:solidFill>
              <w14:schemeClr w14:val="tx1"/>
            </w14:solidFill>
          </w14:textFill>
        </w:rPr>
        <w:t xml:space="preserve"> </w:t>
      </w:r>
      <w:r>
        <w:rPr>
          <w:rFonts w:hint="eastAsia" w:ascii="Times New Roman" w:hAnsi="宋体" w:eastAsia="宋体" w:cs="Times New Roman"/>
          <w:color w:val="000000" w:themeColor="text1"/>
          <w:kern w:val="0"/>
          <w:sz w:val="52"/>
          <w:szCs w:val="52"/>
          <w14:textFill>
            <w14:solidFill>
              <w14:schemeClr w14:val="tx1"/>
            </w14:solidFill>
          </w14:textFill>
        </w:rPr>
        <w:t>录</w:t>
      </w:r>
      <w:r>
        <w:rPr>
          <w:rFonts w:ascii="Times New Roman" w:hAnsi="宋体" w:eastAsia="宋体" w:cs="Times New Roman"/>
          <w:color w:val="000000" w:themeColor="text1"/>
          <w:w w:val="98"/>
          <w:kern w:val="0"/>
          <w:sz w:val="52"/>
          <w:szCs w:val="52"/>
          <w14:textFill>
            <w14:solidFill>
              <w14:schemeClr w14:val="tx1"/>
            </w14:solidFill>
          </w14:textFill>
        </w:rPr>
        <w:t xml:space="preserve"> </w:t>
      </w:r>
    </w:p>
    <w:sdt>
      <w:sdtPr>
        <w:rPr>
          <w:rFonts w:ascii="宋体" w:hAnsi="宋体" w:eastAsia="宋体" w:cstheme="minorBidi"/>
          <w:kern w:val="2"/>
          <w:sz w:val="21"/>
          <w:szCs w:val="21"/>
          <w:lang w:val="en-US" w:eastAsia="zh-CN" w:bidi="ar-SA"/>
        </w:rPr>
        <w:id w:val="147451634"/>
        <w15:color w:val="DBDBDB"/>
        <w:docPartObj>
          <w:docPartGallery w:val="Table of Contents"/>
          <w:docPartUnique/>
        </w:docPartObj>
      </w:sdtPr>
      <w:sdtEndPr>
        <w:rPr>
          <w:rFonts w:ascii="宋体" w:hAnsi="宋体" w:eastAsia="宋体" w:cstheme="minorBidi"/>
          <w:kern w:val="2"/>
          <w:sz w:val="21"/>
          <w:szCs w:val="22"/>
          <w:lang w:val="en-US" w:eastAsia="zh-CN" w:bidi="ar-SA"/>
        </w:rPr>
      </w:sdtEndPr>
      <w:sdtContent>
        <w:p>
          <w:pPr>
            <w:spacing w:before="0" w:beforeLines="0" w:after="0" w:afterLines="0" w:line="360" w:lineRule="auto"/>
            <w:ind w:left="0" w:leftChars="0" w:right="0" w:rightChars="0" w:firstLine="0" w:firstLineChars="0"/>
            <w:jc w:val="center"/>
            <w:rPr>
              <w:szCs w:val="21"/>
            </w:rPr>
          </w:pP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 w:val="21"/>
              <w:szCs w:val="21"/>
            </w:rPr>
            <w:fldChar w:fldCharType="begin"/>
          </w:r>
          <w:r>
            <w:rPr>
              <w:sz w:val="21"/>
              <w:szCs w:val="21"/>
            </w:rPr>
            <w:instrText xml:space="preserve">TOC \o "1-1" \h \u </w:instrText>
          </w:r>
          <w:r>
            <w:rPr>
              <w:sz w:val="21"/>
              <w:szCs w:val="21"/>
            </w:rPr>
            <w:fldChar w:fldCharType="separate"/>
          </w:r>
          <w:r>
            <w:rPr>
              <w:szCs w:val="21"/>
            </w:rPr>
            <w:fldChar w:fldCharType="begin"/>
          </w:r>
          <w:r>
            <w:rPr>
              <w:szCs w:val="21"/>
            </w:rPr>
            <w:instrText xml:space="preserve"> HYPERLINK \l _Toc31057 </w:instrText>
          </w:r>
          <w:r>
            <w:rPr>
              <w:szCs w:val="21"/>
            </w:rPr>
            <w:fldChar w:fldCharType="separate"/>
          </w:r>
          <w:r>
            <w:rPr>
              <w:rFonts w:hint="eastAsia" w:ascii="宋体" w:hAnsi="Times New Roman" w:eastAsia="宋体" w:cs="宋体"/>
              <w:bCs/>
              <w:spacing w:val="-9"/>
              <w:kern w:val="0"/>
              <w:szCs w:val="32"/>
            </w:rPr>
            <w:t xml:space="preserve">第一章 </w:t>
          </w:r>
          <w:r>
            <w:rPr>
              <w:rFonts w:hint="eastAsia" w:ascii="宋体" w:hAnsi="Times New Roman" w:eastAsia="宋体" w:cs="宋体"/>
              <w:bCs/>
              <w:kern w:val="0"/>
              <w:szCs w:val="32"/>
            </w:rPr>
            <w:t>招标公告</w:t>
          </w:r>
          <w:r>
            <w:tab/>
          </w:r>
          <w:r>
            <w:fldChar w:fldCharType="begin"/>
          </w:r>
          <w:r>
            <w:instrText xml:space="preserve"> PAGEREF _Toc31057 \h </w:instrText>
          </w:r>
          <w:r>
            <w:fldChar w:fldCharType="separate"/>
          </w:r>
          <w:r>
            <w:t>- 2 -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_Toc28656 </w:instrText>
          </w:r>
          <w:r>
            <w:rPr>
              <w:szCs w:val="21"/>
            </w:rPr>
            <w:fldChar w:fldCharType="separate"/>
          </w:r>
          <w:r>
            <w:rPr>
              <w:rFonts w:hint="eastAsia" w:ascii="宋体" w:hAnsi="Times New Roman" w:eastAsia="宋体" w:cs="宋体"/>
              <w:bCs/>
              <w:spacing w:val="2"/>
              <w:kern w:val="0"/>
              <w:szCs w:val="32"/>
            </w:rPr>
            <w:t>第二章</w:t>
          </w:r>
          <w:r>
            <w:rPr>
              <w:rFonts w:ascii="宋体" w:hAnsi="Times New Roman" w:eastAsia="宋体" w:cs="宋体"/>
              <w:bCs/>
              <w:spacing w:val="-11"/>
              <w:kern w:val="0"/>
              <w:szCs w:val="32"/>
            </w:rPr>
            <w:t xml:space="preserve"> </w:t>
          </w:r>
          <w:r>
            <w:rPr>
              <w:rFonts w:hint="eastAsia" w:ascii="宋体" w:hAnsi="Times New Roman" w:eastAsia="宋体" w:cs="宋体"/>
              <w:bCs/>
              <w:kern w:val="0"/>
              <w:szCs w:val="32"/>
            </w:rPr>
            <w:t>供应商须知供应商须知前附表</w:t>
          </w:r>
          <w:r>
            <w:tab/>
          </w:r>
          <w:r>
            <w:fldChar w:fldCharType="begin"/>
          </w:r>
          <w:r>
            <w:instrText xml:space="preserve"> PAGEREF _Toc28656 \h </w:instrText>
          </w:r>
          <w:r>
            <w:fldChar w:fldCharType="separate"/>
          </w:r>
          <w:r>
            <w:t>- 6 -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_Toc29087 </w:instrText>
          </w:r>
          <w:r>
            <w:rPr>
              <w:szCs w:val="21"/>
            </w:rPr>
            <w:fldChar w:fldCharType="separate"/>
          </w:r>
          <w:r>
            <w:rPr>
              <w:rFonts w:hint="eastAsia" w:ascii="宋体" w:hAnsi="Times New Roman" w:eastAsia="宋体" w:cs="宋体"/>
              <w:bCs/>
              <w:spacing w:val="2"/>
              <w:kern w:val="0"/>
              <w:szCs w:val="32"/>
            </w:rPr>
            <w:t>第三章</w:t>
          </w:r>
          <w:r>
            <w:rPr>
              <w:rFonts w:ascii="宋体" w:hAnsi="Times New Roman" w:eastAsia="宋体" w:cs="宋体"/>
              <w:bCs/>
              <w:spacing w:val="-8"/>
              <w:kern w:val="0"/>
              <w:szCs w:val="32"/>
            </w:rPr>
            <w:t xml:space="preserve"> </w:t>
          </w:r>
          <w:r>
            <w:rPr>
              <w:rFonts w:hint="eastAsia" w:ascii="宋体" w:hAnsi="Times New Roman" w:eastAsia="宋体" w:cs="宋体"/>
              <w:bCs/>
              <w:kern w:val="0"/>
              <w:szCs w:val="32"/>
            </w:rPr>
            <w:t>评标方法和标准</w:t>
          </w:r>
          <w:r>
            <w:tab/>
          </w:r>
          <w:r>
            <w:fldChar w:fldCharType="begin"/>
          </w:r>
          <w:r>
            <w:instrText xml:space="preserve"> PAGEREF _Toc29087 \h </w:instrText>
          </w:r>
          <w:r>
            <w:fldChar w:fldCharType="separate"/>
          </w:r>
          <w:r>
            <w:t>- 24 -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_Toc657 </w:instrText>
          </w:r>
          <w:r>
            <w:rPr>
              <w:szCs w:val="21"/>
            </w:rPr>
            <w:fldChar w:fldCharType="separate"/>
          </w:r>
          <w:r>
            <w:rPr>
              <w:rFonts w:hint="eastAsia" w:ascii="宋体" w:hAnsi="宋体" w:eastAsia="宋体" w:cs="宋体"/>
              <w:bCs/>
              <w:spacing w:val="2"/>
              <w:kern w:val="0"/>
              <w:szCs w:val="32"/>
            </w:rPr>
            <w:t>第四章</w:t>
          </w:r>
          <w:r>
            <w:rPr>
              <w:rFonts w:hint="eastAsia" w:ascii="宋体" w:hAnsi="宋体" w:cs="宋体"/>
              <w:bCs/>
              <w:spacing w:val="2"/>
              <w:kern w:val="0"/>
              <w:szCs w:val="32"/>
              <w:lang w:val="en-US" w:eastAsia="zh-CN"/>
            </w:rPr>
            <w:t xml:space="preserve"> </w:t>
          </w:r>
          <w:r>
            <w:rPr>
              <w:rFonts w:hint="eastAsia" w:ascii="宋体" w:hAnsi="宋体" w:eastAsia="宋体" w:cs="宋体"/>
              <w:bCs/>
              <w:kern w:val="0"/>
              <w:szCs w:val="32"/>
            </w:rPr>
            <w:t>合同条款</w:t>
          </w:r>
          <w:r>
            <w:tab/>
          </w:r>
          <w:r>
            <w:fldChar w:fldCharType="begin"/>
          </w:r>
          <w:r>
            <w:instrText xml:space="preserve"> PAGEREF _Toc657 \h </w:instrText>
          </w:r>
          <w:r>
            <w:fldChar w:fldCharType="separate"/>
          </w:r>
          <w:r>
            <w:t>- 29 -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_Toc16593 </w:instrText>
          </w:r>
          <w:r>
            <w:rPr>
              <w:szCs w:val="21"/>
            </w:rPr>
            <w:fldChar w:fldCharType="separate"/>
          </w:r>
          <w:r>
            <w:rPr>
              <w:rFonts w:hint="eastAsia" w:ascii="Times New Roman" w:hAnsi="Times New Roman" w:eastAsia="宋体" w:cs="Times New Roman"/>
              <w:bCs/>
              <w:spacing w:val="2"/>
              <w:kern w:val="0"/>
              <w:szCs w:val="32"/>
              <w:lang w:eastAsia="zh-CN"/>
            </w:rPr>
            <w:t>第五章</w:t>
          </w:r>
          <w:r>
            <w:rPr>
              <w:rFonts w:hint="eastAsia" w:cs="Times New Roman"/>
              <w:bCs/>
              <w:spacing w:val="2"/>
              <w:kern w:val="0"/>
              <w:szCs w:val="32"/>
              <w:lang w:val="en-US" w:eastAsia="zh-CN"/>
            </w:rPr>
            <w:t xml:space="preserve"> </w:t>
          </w:r>
          <w:r>
            <w:rPr>
              <w:rFonts w:hint="eastAsia" w:ascii="Times New Roman" w:hAnsi="Times New Roman" w:eastAsia="宋体" w:cs="Times New Roman"/>
              <w:bCs/>
              <w:spacing w:val="2"/>
              <w:kern w:val="0"/>
              <w:szCs w:val="32"/>
            </w:rPr>
            <w:t>技术标准和要求</w:t>
          </w:r>
          <w:r>
            <w:tab/>
          </w:r>
          <w:r>
            <w:fldChar w:fldCharType="begin"/>
          </w:r>
          <w:r>
            <w:instrText xml:space="preserve"> PAGEREF _Toc16593 \h </w:instrText>
          </w:r>
          <w:r>
            <w:fldChar w:fldCharType="separate"/>
          </w:r>
          <w:r>
            <w:t>- 33 -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_Toc30869 </w:instrText>
          </w:r>
          <w:r>
            <w:rPr>
              <w:szCs w:val="21"/>
            </w:rPr>
            <w:fldChar w:fldCharType="separate"/>
          </w:r>
          <w:r>
            <w:rPr>
              <w:rFonts w:hint="eastAsia" w:ascii="Times New Roman" w:hAnsi="Times New Roman" w:eastAsia="宋体" w:cs="Times New Roman"/>
              <w:bCs/>
              <w:spacing w:val="2"/>
              <w:kern w:val="0"/>
              <w:szCs w:val="32"/>
            </w:rPr>
            <w:t>第六章</w:t>
          </w:r>
          <w:r>
            <w:rPr>
              <w:rFonts w:ascii="Times New Roman" w:hAnsi="Times New Roman" w:eastAsia="宋体" w:cs="Times New Roman"/>
              <w:bCs/>
              <w:spacing w:val="-9"/>
              <w:kern w:val="0"/>
              <w:szCs w:val="32"/>
            </w:rPr>
            <w:t xml:space="preserve"> </w:t>
          </w:r>
          <w:r>
            <w:rPr>
              <w:rFonts w:hint="eastAsia" w:ascii="Times New Roman" w:hAnsi="Times New Roman" w:eastAsia="宋体" w:cs="Times New Roman"/>
              <w:bCs/>
              <w:kern w:val="0"/>
              <w:szCs w:val="32"/>
            </w:rPr>
            <w:t>投标文件格式</w:t>
          </w:r>
          <w:r>
            <w:tab/>
          </w:r>
          <w:r>
            <w:fldChar w:fldCharType="begin"/>
          </w:r>
          <w:r>
            <w:instrText xml:space="preserve"> PAGEREF _Toc30869 \h </w:instrText>
          </w:r>
          <w:r>
            <w:fldChar w:fldCharType="separate"/>
          </w:r>
          <w:r>
            <w:t>- 45 -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_Toc7535 </w:instrText>
          </w:r>
          <w:r>
            <w:rPr>
              <w:szCs w:val="21"/>
            </w:rPr>
            <w:fldChar w:fldCharType="separate"/>
          </w:r>
          <w:r>
            <w:rPr>
              <w:rFonts w:hint="eastAsia" w:ascii="宋体" w:hAnsi="Times New Roman" w:eastAsia="宋体" w:cs="宋体"/>
              <w:kern w:val="0"/>
              <w:szCs w:val="28"/>
            </w:rPr>
            <w:t>一、法定代表人身份证明</w:t>
          </w:r>
          <w:r>
            <w:tab/>
          </w:r>
          <w:r>
            <w:fldChar w:fldCharType="begin"/>
          </w:r>
          <w:r>
            <w:instrText xml:space="preserve"> PAGEREF _Toc7535 \h </w:instrText>
          </w:r>
          <w:r>
            <w:fldChar w:fldCharType="separate"/>
          </w:r>
          <w:r>
            <w:t>- 46 -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_Toc13444 </w:instrText>
          </w:r>
          <w:r>
            <w:rPr>
              <w:szCs w:val="21"/>
            </w:rPr>
            <w:fldChar w:fldCharType="separate"/>
          </w:r>
          <w:r>
            <w:rPr>
              <w:rFonts w:hint="eastAsia" w:ascii="宋体" w:hAnsi="Times New Roman" w:eastAsia="宋体" w:cs="宋体"/>
              <w:kern w:val="0"/>
              <w:szCs w:val="28"/>
            </w:rPr>
            <w:t>二、授权委托书</w:t>
          </w:r>
          <w:r>
            <w:tab/>
          </w:r>
          <w:r>
            <w:fldChar w:fldCharType="begin"/>
          </w:r>
          <w:r>
            <w:instrText xml:space="preserve"> PAGEREF _Toc13444 \h </w:instrText>
          </w:r>
          <w:r>
            <w:fldChar w:fldCharType="separate"/>
          </w:r>
          <w:r>
            <w:t>- 47 -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_Toc16859 </w:instrText>
          </w:r>
          <w:r>
            <w:rPr>
              <w:szCs w:val="21"/>
            </w:rPr>
            <w:fldChar w:fldCharType="separate"/>
          </w:r>
          <w:r>
            <w:rPr>
              <w:rFonts w:hint="eastAsia" w:ascii="宋体" w:hAnsi="Times New Roman" w:eastAsia="宋体" w:cs="宋体"/>
              <w:kern w:val="0"/>
              <w:szCs w:val="28"/>
            </w:rPr>
            <w:t>三、投标函及投标函附录</w:t>
          </w:r>
          <w:r>
            <w:tab/>
          </w:r>
          <w:r>
            <w:fldChar w:fldCharType="begin"/>
          </w:r>
          <w:r>
            <w:instrText xml:space="preserve"> PAGEREF _Toc16859 \h </w:instrText>
          </w:r>
          <w:r>
            <w:fldChar w:fldCharType="separate"/>
          </w:r>
          <w:r>
            <w:t>- 48 -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_Toc19950 </w:instrText>
          </w:r>
          <w:r>
            <w:rPr>
              <w:szCs w:val="21"/>
            </w:rPr>
            <w:fldChar w:fldCharType="separate"/>
          </w:r>
          <w:r>
            <w:rPr>
              <w:rFonts w:hint="eastAsia" w:ascii="宋体" w:hAnsi="Times New Roman" w:eastAsia="宋体" w:cs="宋体"/>
              <w:kern w:val="0"/>
              <w:szCs w:val="28"/>
            </w:rPr>
            <w:t>四、投标报价明细表</w:t>
          </w:r>
          <w:r>
            <w:tab/>
          </w:r>
          <w:r>
            <w:fldChar w:fldCharType="begin"/>
          </w:r>
          <w:r>
            <w:instrText xml:space="preserve"> PAGEREF _Toc19950 \h </w:instrText>
          </w:r>
          <w:r>
            <w:fldChar w:fldCharType="separate"/>
          </w:r>
          <w:r>
            <w:t>- 51 -</w:t>
          </w:r>
          <w:r>
            <w:fldChar w:fldCharType="end"/>
          </w:r>
          <w:r>
            <w:rPr>
              <w:szCs w:val="21"/>
            </w:rPr>
            <w:fldChar w:fldCharType="end"/>
          </w:r>
          <w:bookmarkStart w:id="298" w:name="_GoBack"/>
          <w:bookmarkEnd w:id="298"/>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_Toc19551 </w:instrText>
          </w:r>
          <w:r>
            <w:rPr>
              <w:szCs w:val="21"/>
            </w:rPr>
            <w:fldChar w:fldCharType="separate"/>
          </w:r>
          <w:r>
            <w:rPr>
              <w:rFonts w:hint="eastAsia" w:ascii="宋体" w:hAnsi="Times New Roman" w:eastAsia="宋体" w:cs="宋体"/>
              <w:kern w:val="0"/>
              <w:szCs w:val="28"/>
            </w:rPr>
            <w:t>五、商务条款偏差表</w:t>
          </w:r>
          <w:r>
            <w:tab/>
          </w:r>
          <w:r>
            <w:fldChar w:fldCharType="begin"/>
          </w:r>
          <w:r>
            <w:instrText xml:space="preserve"> PAGEREF _Toc19551 \h </w:instrText>
          </w:r>
          <w:r>
            <w:fldChar w:fldCharType="separate"/>
          </w:r>
          <w:r>
            <w:t>- 52 -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_Toc3435 </w:instrText>
          </w:r>
          <w:r>
            <w:rPr>
              <w:szCs w:val="21"/>
            </w:rPr>
            <w:fldChar w:fldCharType="separate"/>
          </w:r>
          <w:r>
            <w:rPr>
              <w:rFonts w:hint="eastAsia" w:ascii="宋体" w:hAnsi="Times New Roman" w:eastAsia="宋体" w:cs="宋体"/>
              <w:kern w:val="0"/>
              <w:szCs w:val="28"/>
            </w:rPr>
            <w:t>六、技术条款偏差表</w:t>
          </w:r>
          <w:r>
            <w:tab/>
          </w:r>
          <w:r>
            <w:fldChar w:fldCharType="begin"/>
          </w:r>
          <w:r>
            <w:instrText xml:space="preserve"> PAGEREF _Toc3435 \h </w:instrText>
          </w:r>
          <w:r>
            <w:fldChar w:fldCharType="separate"/>
          </w:r>
          <w:r>
            <w:t>- 53 -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_Toc10076 </w:instrText>
          </w:r>
          <w:r>
            <w:rPr>
              <w:szCs w:val="21"/>
            </w:rPr>
            <w:fldChar w:fldCharType="separate"/>
          </w:r>
          <w:r>
            <w:rPr>
              <w:rFonts w:hint="eastAsia" w:ascii="宋体" w:hAnsi="Times New Roman" w:eastAsia="宋体" w:cs="宋体"/>
              <w:kern w:val="0"/>
              <w:szCs w:val="28"/>
            </w:rPr>
            <w:t>七、资格证明文件</w:t>
          </w:r>
          <w:r>
            <w:tab/>
          </w:r>
          <w:r>
            <w:fldChar w:fldCharType="begin"/>
          </w:r>
          <w:r>
            <w:instrText xml:space="preserve"> PAGEREF _Toc10076 \h </w:instrText>
          </w:r>
          <w:r>
            <w:fldChar w:fldCharType="separate"/>
          </w:r>
          <w:r>
            <w:t>- 54 -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_Toc31148 </w:instrText>
          </w:r>
          <w:r>
            <w:rPr>
              <w:szCs w:val="21"/>
            </w:rPr>
            <w:fldChar w:fldCharType="separate"/>
          </w:r>
          <w:r>
            <w:rPr>
              <w:rFonts w:hint="eastAsia" w:ascii="宋体" w:hAnsi="Times New Roman" w:eastAsia="宋体" w:cs="宋体"/>
              <w:kern w:val="0"/>
              <w:szCs w:val="28"/>
            </w:rPr>
            <w:t>八、供应商综合能力证明文件</w:t>
          </w:r>
          <w:r>
            <w:tab/>
          </w:r>
          <w:r>
            <w:fldChar w:fldCharType="begin"/>
          </w:r>
          <w:r>
            <w:instrText xml:space="preserve"> PAGEREF _Toc31148 \h </w:instrText>
          </w:r>
          <w:r>
            <w:fldChar w:fldCharType="separate"/>
          </w:r>
          <w:r>
            <w:t>- 56 -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_Toc29302 </w:instrText>
          </w:r>
          <w:r>
            <w:rPr>
              <w:szCs w:val="21"/>
            </w:rPr>
            <w:fldChar w:fldCharType="separate"/>
          </w:r>
          <w:r>
            <w:rPr>
              <w:rFonts w:hint="eastAsia" w:ascii="Times New Roman" w:hAnsi="Times New Roman" w:eastAsia="宋体" w:cs="Times New Roman"/>
              <w:kern w:val="0"/>
              <w:szCs w:val="28"/>
            </w:rPr>
            <w:t>九、供应商反商业贿赂承诺书</w:t>
          </w:r>
          <w:r>
            <w:tab/>
          </w:r>
          <w:r>
            <w:fldChar w:fldCharType="begin"/>
          </w:r>
          <w:r>
            <w:instrText xml:space="preserve"> PAGEREF _Toc29302 \h </w:instrText>
          </w:r>
          <w:r>
            <w:fldChar w:fldCharType="separate"/>
          </w:r>
          <w:r>
            <w:t>- 57 -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_Toc16060 </w:instrText>
          </w:r>
          <w:r>
            <w:rPr>
              <w:szCs w:val="21"/>
            </w:rPr>
            <w:fldChar w:fldCharType="separate"/>
          </w:r>
          <w:r>
            <w:rPr>
              <w:rFonts w:hint="eastAsia" w:ascii="宋体" w:hAnsi="Times New Roman" w:eastAsia="宋体" w:cs="宋体"/>
              <w:kern w:val="0"/>
              <w:szCs w:val="28"/>
            </w:rPr>
            <w:t>十、中小企业声明函</w:t>
          </w:r>
          <w:r>
            <w:tab/>
          </w:r>
          <w:r>
            <w:fldChar w:fldCharType="begin"/>
          </w:r>
          <w:r>
            <w:instrText xml:space="preserve"> PAGEREF _Toc16060 \h </w:instrText>
          </w:r>
          <w:r>
            <w:fldChar w:fldCharType="separate"/>
          </w:r>
          <w:r>
            <w:t>- 58 -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_Toc2904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一</w:t>
          </w:r>
          <w:r>
            <w:rPr>
              <w:rFonts w:hint="eastAsia" w:ascii="宋体" w:hAnsi="Times New Roman" w:eastAsia="宋体" w:cs="宋体"/>
              <w:kern w:val="0"/>
              <w:szCs w:val="28"/>
            </w:rPr>
            <w:t>、监狱企业证明材料（如有）</w:t>
          </w:r>
          <w:r>
            <w:tab/>
          </w:r>
          <w:r>
            <w:fldChar w:fldCharType="begin"/>
          </w:r>
          <w:r>
            <w:instrText xml:space="preserve"> PAGEREF _Toc2904 \h </w:instrText>
          </w:r>
          <w:r>
            <w:fldChar w:fldCharType="separate"/>
          </w:r>
          <w:r>
            <w:t>- 59 -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_Toc8816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二</w:t>
          </w:r>
          <w:r>
            <w:rPr>
              <w:rFonts w:hint="eastAsia" w:ascii="宋体" w:hAnsi="Times New Roman" w:eastAsia="宋体" w:cs="宋体"/>
              <w:kern w:val="0"/>
              <w:szCs w:val="28"/>
            </w:rPr>
            <w:t>、残疾人福利性单位声明函（如有）</w:t>
          </w:r>
          <w:r>
            <w:tab/>
          </w:r>
          <w:r>
            <w:fldChar w:fldCharType="begin"/>
          </w:r>
          <w:r>
            <w:instrText xml:space="preserve"> PAGEREF _Toc8816 \h </w:instrText>
          </w:r>
          <w:r>
            <w:fldChar w:fldCharType="separate"/>
          </w:r>
          <w:r>
            <w:t>- 60 -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_Toc32291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三</w:t>
          </w:r>
          <w:r>
            <w:rPr>
              <w:rFonts w:hint="eastAsia" w:ascii="宋体" w:hAnsi="Times New Roman" w:eastAsia="宋体" w:cs="宋体"/>
              <w:kern w:val="0"/>
              <w:szCs w:val="28"/>
            </w:rPr>
            <w:t>、节能产品、环境标志产品明细表</w:t>
          </w:r>
          <w:r>
            <w:tab/>
          </w:r>
          <w:r>
            <w:fldChar w:fldCharType="begin"/>
          </w:r>
          <w:r>
            <w:instrText xml:space="preserve"> PAGEREF _Toc32291 \h </w:instrText>
          </w:r>
          <w:r>
            <w:fldChar w:fldCharType="separate"/>
          </w:r>
          <w:r>
            <w:t>- 61 -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_Toc25355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四</w:t>
          </w:r>
          <w:r>
            <w:rPr>
              <w:rFonts w:hint="eastAsia" w:ascii="宋体" w:hAnsi="Times New Roman" w:eastAsia="宋体" w:cs="宋体"/>
              <w:kern w:val="0"/>
              <w:szCs w:val="28"/>
            </w:rPr>
            <w:t>、技术支持资料</w:t>
          </w:r>
          <w:r>
            <w:tab/>
          </w:r>
          <w:r>
            <w:fldChar w:fldCharType="begin"/>
          </w:r>
          <w:r>
            <w:instrText xml:space="preserve"> PAGEREF _Toc25355 \h </w:instrText>
          </w:r>
          <w:r>
            <w:fldChar w:fldCharType="separate"/>
          </w:r>
          <w:r>
            <w:t>- 62 -</w:t>
          </w:r>
          <w:r>
            <w:fldChar w:fldCharType="end"/>
          </w:r>
          <w:r>
            <w:rPr>
              <w:szCs w:val="21"/>
            </w:rPr>
            <w:fldChar w:fldCharType="end"/>
          </w:r>
        </w:p>
        <w:p>
          <w:pPr>
            <w:pStyle w:val="13"/>
            <w:keepNext w:val="0"/>
            <w:keepLines w:val="0"/>
            <w:pageBreakBefore w:val="0"/>
            <w:widowControl w:val="0"/>
            <w:tabs>
              <w:tab w:val="right" w:leader="dot" w:pos="9720"/>
            </w:tabs>
            <w:kinsoku/>
            <w:wordWrap/>
            <w:overflowPunct/>
            <w:topLinePunct w:val="0"/>
            <w:bidi w:val="0"/>
            <w:snapToGrid/>
            <w:spacing w:line="360" w:lineRule="auto"/>
            <w:textAlignment w:val="auto"/>
          </w:pPr>
          <w:r>
            <w:rPr>
              <w:szCs w:val="21"/>
            </w:rPr>
            <w:fldChar w:fldCharType="begin"/>
          </w:r>
          <w:r>
            <w:rPr>
              <w:szCs w:val="21"/>
            </w:rPr>
            <w:instrText xml:space="preserve"> HYPERLINK \l _Toc3870 </w:instrText>
          </w:r>
          <w:r>
            <w:rPr>
              <w:szCs w:val="21"/>
            </w:rPr>
            <w:fldChar w:fldCharType="separate"/>
          </w:r>
          <w:r>
            <w:rPr>
              <w:rFonts w:hint="eastAsia" w:ascii="宋体" w:hAnsi="Times New Roman" w:eastAsia="宋体" w:cs="宋体"/>
              <w:kern w:val="0"/>
              <w:szCs w:val="28"/>
            </w:rPr>
            <w:t>十</w:t>
          </w:r>
          <w:r>
            <w:rPr>
              <w:rFonts w:hint="eastAsia" w:ascii="宋体" w:hAnsi="Times New Roman" w:eastAsia="宋体" w:cs="宋体"/>
              <w:kern w:val="0"/>
              <w:szCs w:val="28"/>
              <w:lang w:eastAsia="zh-CN"/>
            </w:rPr>
            <w:t>五</w:t>
          </w:r>
          <w:r>
            <w:rPr>
              <w:rFonts w:hint="eastAsia" w:ascii="宋体" w:hAnsi="Times New Roman" w:eastAsia="宋体" w:cs="宋体"/>
              <w:kern w:val="0"/>
              <w:szCs w:val="28"/>
            </w:rPr>
            <w:t>、供应商认为需要加以说明的其他内容</w:t>
          </w:r>
          <w:r>
            <w:tab/>
          </w:r>
          <w:r>
            <w:fldChar w:fldCharType="begin"/>
          </w:r>
          <w:r>
            <w:instrText xml:space="preserve"> PAGEREF _Toc3870 \h </w:instrText>
          </w:r>
          <w:r>
            <w:fldChar w:fldCharType="separate"/>
          </w:r>
          <w:r>
            <w:t>- 63 -</w:t>
          </w:r>
          <w:r>
            <w:fldChar w:fldCharType="end"/>
          </w:r>
          <w:r>
            <w:rPr>
              <w:szCs w:val="21"/>
            </w:rPr>
            <w:fldChar w:fldCharType="end"/>
          </w:r>
        </w:p>
        <w:p>
          <w:pPr>
            <w:keepNext w:val="0"/>
            <w:keepLines w:val="0"/>
            <w:pageBreakBefore w:val="0"/>
            <w:widowControl w:val="0"/>
            <w:kinsoku/>
            <w:wordWrap/>
            <w:overflowPunct/>
            <w:topLinePunct w:val="0"/>
            <w:bidi w:val="0"/>
            <w:snapToGrid/>
            <w:spacing w:line="360" w:lineRule="auto"/>
            <w:textAlignment w:val="auto"/>
          </w:pPr>
          <w:r>
            <w:rPr>
              <w:szCs w:val="21"/>
            </w:rPr>
            <w:fldChar w:fldCharType="end"/>
          </w:r>
        </w:p>
      </w:sdtContent>
    </w:sdt>
    <w:p>
      <w:pPr>
        <w:tabs>
          <w:tab w:val="right" w:leader="dot" w:pos="9720"/>
        </w:tabs>
        <w:kinsoku w:val="0"/>
        <w:overflowPunct w:val="0"/>
        <w:autoSpaceDE w:val="0"/>
        <w:autoSpaceDN w:val="0"/>
        <w:adjustRightInd w:val="0"/>
        <w:spacing w:after="240" w:afterLines="100" w:line="360" w:lineRule="auto"/>
        <w:ind w:left="3583" w:right="3720"/>
        <w:jc w:val="center"/>
        <w:rPr>
          <w:rFonts w:ascii="宋体" w:hAnsi="宋体" w:eastAsia="宋体" w:cs="宋体"/>
          <w:color w:val="000000" w:themeColor="text1"/>
          <w:kern w:val="0"/>
          <w:sz w:val="21"/>
          <w:szCs w:val="21"/>
          <w:lang w:val="en-US" w:eastAsia="zh-CN" w:bidi="ar-SA"/>
          <w14:textFill>
            <w14:solidFill>
              <w14:schemeClr w14:val="tx1"/>
            </w14:solidFill>
          </w14:textFill>
        </w:rPr>
      </w:pPr>
      <w:r>
        <w:rPr>
          <w:rFonts w:ascii="宋体" w:hAnsi="宋体" w:cs="宋体"/>
          <w:color w:val="000000" w:themeColor="text1"/>
          <w:sz w:val="24"/>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w:instrText>
      </w:r>
      <w:r>
        <w:rPr>
          <w:rFonts w:hint="eastAsia" w:ascii="宋体" w:hAnsi="宋体" w:cs="宋体"/>
          <w:color w:val="000000" w:themeColor="text1"/>
          <w:szCs w:val="21"/>
          <w14:textFill>
            <w14:solidFill>
              <w14:schemeClr w14:val="tx1"/>
            </w14:solidFill>
          </w14:textFill>
        </w:rPr>
        <w:instrText xml:space="preserve">TOC \o "1-1" \h \z \u</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 w:val="24"/>
          <w:szCs w:val="21"/>
          <w14:textFill>
            <w14:solidFill>
              <w14:schemeClr w14:val="tx1"/>
            </w14:solidFill>
          </w14:textFill>
        </w:rPr>
        <w:fldChar w:fldCharType="separate"/>
      </w:r>
    </w:p>
    <w:p>
      <w:pPr>
        <w:pStyle w:val="13"/>
        <w:tabs>
          <w:tab w:val="right" w:leader="dot" w:pos="9720"/>
        </w:tabs>
      </w:pPr>
    </w:p>
    <w:p/>
    <w:p>
      <w:pPr>
        <w:pStyle w:val="2"/>
      </w:pPr>
    </w:p>
    <w:p/>
    <w:p>
      <w:pPr>
        <w:pStyle w:val="2"/>
      </w:pPr>
    </w:p>
    <w:p>
      <w:pPr>
        <w:tabs>
          <w:tab w:val="right" w:leader="dot" w:pos="9720"/>
        </w:tabs>
        <w:kinsoku w:val="0"/>
        <w:overflowPunct w:val="0"/>
        <w:autoSpaceDE w:val="0"/>
        <w:autoSpaceDN w:val="0"/>
        <w:adjustRightInd w:val="0"/>
        <w:spacing w:after="240" w:afterLines="100" w:line="401" w:lineRule="exact"/>
        <w:ind w:left="3583" w:right="3720"/>
        <w:jc w:val="center"/>
        <w:rPr>
          <w:rFonts w:ascii="宋体" w:hAnsi="宋体" w:eastAsia="宋体" w:cs="宋体"/>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fldChar w:fldCharType="end"/>
      </w:r>
    </w:p>
    <w:bookmarkEnd w:id="0"/>
    <w:p>
      <w:pPr>
        <w:kinsoku w:val="0"/>
        <w:overflowPunct w:val="0"/>
        <w:autoSpaceDE w:val="0"/>
        <w:autoSpaceDN w:val="0"/>
        <w:adjustRightInd w:val="0"/>
        <w:spacing w:line="360" w:lineRule="auto"/>
        <w:ind w:right="11"/>
        <w:jc w:val="center"/>
        <w:outlineLvl w:val="0"/>
        <w:rPr>
          <w:rFonts w:ascii="宋体" w:hAnsi="Times New Roman" w:eastAsia="宋体" w:cs="宋体"/>
          <w:color w:val="000000" w:themeColor="text1"/>
          <w:kern w:val="0"/>
          <w:sz w:val="32"/>
          <w:szCs w:val="32"/>
          <w14:textFill>
            <w14:solidFill>
              <w14:schemeClr w14:val="tx1"/>
            </w14:solidFill>
          </w14:textFill>
        </w:rPr>
      </w:pPr>
      <w:bookmarkStart w:id="1" w:name="_Toc16554"/>
      <w:bookmarkStart w:id="2" w:name="_Toc5982"/>
      <w:bookmarkStart w:id="3" w:name="_Toc31057"/>
      <w:r>
        <w:rPr>
          <w:rFonts w:hint="eastAsia" w:ascii="宋体" w:hAnsi="Times New Roman" w:eastAsia="宋体" w:cs="宋体"/>
          <w:b/>
          <w:bCs/>
          <w:color w:val="000000" w:themeColor="text1"/>
          <w:spacing w:val="-9"/>
          <w:kern w:val="0"/>
          <w:sz w:val="32"/>
          <w:szCs w:val="32"/>
          <w14:textFill>
            <w14:solidFill>
              <w14:schemeClr w14:val="tx1"/>
            </w14:solidFill>
          </w14:textFill>
        </w:rPr>
        <w:t xml:space="preserve">第一章 </w:t>
      </w:r>
      <w:r>
        <w:rPr>
          <w:rFonts w:hint="eastAsia" w:ascii="宋体" w:hAnsi="Times New Roman" w:eastAsia="宋体" w:cs="宋体"/>
          <w:b/>
          <w:bCs/>
          <w:color w:val="000000" w:themeColor="text1"/>
          <w:kern w:val="0"/>
          <w:sz w:val="32"/>
          <w:szCs w:val="32"/>
          <w14:textFill>
            <w14:solidFill>
              <w14:schemeClr w14:val="tx1"/>
            </w14:solidFill>
          </w14:textFill>
        </w:rPr>
        <w:t>招标公告</w:t>
      </w:r>
      <w:bookmarkEnd w:id="1"/>
      <w:bookmarkEnd w:id="2"/>
      <w:bookmarkEnd w:id="3"/>
    </w:p>
    <w:p>
      <w:pPr>
        <w:widowControl/>
        <w:shd w:val="clear" w:color="auto" w:fill="FFFFFF"/>
        <w:autoSpaceDE w:val="0"/>
        <w:autoSpaceDN w:val="0"/>
        <w:adjustRightInd w:val="0"/>
        <w:spacing w:before="96" w:after="96" w:line="360" w:lineRule="auto"/>
        <w:ind w:firstLine="420"/>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4" w:name="_Toc21804"/>
      <w:bookmarkStart w:id="5" w:name="_Toc5816"/>
      <w:bookmarkStart w:id="6" w:name="_Toc14926"/>
      <w:bookmarkStart w:id="7" w:name="_Toc5517"/>
      <w:r>
        <w:rPr>
          <w:rFonts w:hint="eastAsia" w:ascii="宋体" w:hAnsi="宋体" w:eastAsia="宋体" w:cs="宋体"/>
          <w:b/>
          <w:bCs/>
          <w:color w:val="000000" w:themeColor="text1"/>
          <w:spacing w:val="6"/>
          <w:kern w:val="0"/>
          <w:szCs w:val="21"/>
          <w14:textFill>
            <w14:solidFill>
              <w14:schemeClr w14:val="tx1"/>
            </w14:solidFill>
          </w14:textFill>
        </w:rPr>
        <w:t>项目概况</w:t>
      </w:r>
      <w:bookmarkEnd w:id="4"/>
      <w:bookmarkEnd w:id="5"/>
      <w:bookmarkEnd w:id="6"/>
      <w:bookmarkEnd w:id="7"/>
    </w:p>
    <w:p>
      <w:pPr>
        <w:wordWrap w:val="0"/>
        <w:spacing w:line="360" w:lineRule="auto"/>
        <w:ind w:firstLine="444" w:firstLineChars="200"/>
        <w:jc w:val="left"/>
        <w:rPr>
          <w:rFonts w:hint="eastAsia" w:ascii="宋体" w:hAnsi="宋体" w:eastAsia="宋体" w:cs="宋体"/>
          <w:color w:val="auto"/>
          <w:spacing w:val="6"/>
          <w:kern w:val="0"/>
          <w:szCs w:val="21"/>
          <w:lang w:eastAsia="zh-CN"/>
        </w:rPr>
      </w:pPr>
      <w:bookmarkStart w:id="8" w:name="_Toc20470"/>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的潜在投标人应在登录“郑州市公共资源交易中心网（http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://zzggzy.zhengzhou.gov.cn/）”，凭企业身份认证锁下载招标文件。</w:t>
      </w:r>
      <w:r>
        <w:rPr>
          <w:rFonts w:hint="eastAsia" w:ascii="宋体" w:hAnsi="宋体" w:eastAsia="宋体" w:cs="宋体"/>
          <w:i w:val="0"/>
          <w:iCs w:val="0"/>
          <w:caps w:val="0"/>
          <w:color w:val="auto"/>
          <w:spacing w:val="6"/>
          <w:kern w:val="0"/>
          <w:sz w:val="21"/>
          <w:szCs w:val="21"/>
          <w:shd w:val="clear" w:fill="auto"/>
        </w:rPr>
        <w:t>获取招标文件，并于</w:t>
      </w:r>
      <w:r>
        <w:rPr>
          <w:rFonts w:hint="eastAsia" w:ascii="宋体" w:hAnsi="宋体" w:eastAsia="宋体" w:cs="宋体"/>
          <w:i w:val="0"/>
          <w:iCs w:val="0"/>
          <w:caps w:val="0"/>
          <w:color w:val="auto"/>
          <w:spacing w:val="6"/>
          <w:kern w:val="0"/>
          <w:sz w:val="21"/>
          <w:szCs w:val="21"/>
          <w:highlight w:val="none"/>
          <w:shd w:val="clear" w:fill="auto"/>
        </w:rPr>
        <w:t>2023年</w:t>
      </w:r>
      <w:r>
        <w:rPr>
          <w:rFonts w:hint="eastAsia" w:ascii="宋体" w:hAnsi="宋体" w:eastAsia="宋体" w:cs="宋体"/>
          <w:i w:val="0"/>
          <w:iCs w:val="0"/>
          <w:caps w:val="0"/>
          <w:color w:val="auto"/>
          <w:spacing w:val="6"/>
          <w:kern w:val="0"/>
          <w:sz w:val="21"/>
          <w:szCs w:val="21"/>
          <w:highlight w:val="none"/>
          <w:shd w:val="clear" w:fill="auto"/>
          <w:lang w:val="en-US" w:eastAsia="zh-CN"/>
        </w:rPr>
        <w:t>11</w:t>
      </w:r>
      <w:r>
        <w:rPr>
          <w:rFonts w:hint="eastAsia" w:ascii="宋体" w:hAnsi="宋体" w:eastAsia="宋体" w:cs="宋体"/>
          <w:i w:val="0"/>
          <w:iCs w:val="0"/>
          <w:caps w:val="0"/>
          <w:color w:val="auto"/>
          <w:spacing w:val="6"/>
          <w:kern w:val="0"/>
          <w:sz w:val="21"/>
          <w:szCs w:val="21"/>
          <w:highlight w:val="none"/>
          <w:shd w:val="clear" w:fill="auto"/>
        </w:rPr>
        <w:t>月</w:t>
      </w:r>
      <w:r>
        <w:rPr>
          <w:rFonts w:hint="eastAsia" w:ascii="宋体" w:hAnsi="宋体" w:eastAsia="宋体" w:cs="宋体"/>
          <w:i w:val="0"/>
          <w:iCs w:val="0"/>
          <w:caps w:val="0"/>
          <w:color w:val="auto"/>
          <w:spacing w:val="6"/>
          <w:kern w:val="0"/>
          <w:sz w:val="21"/>
          <w:szCs w:val="21"/>
          <w:highlight w:val="none"/>
          <w:shd w:val="clear" w:fill="auto"/>
          <w:lang w:val="en-US" w:eastAsia="zh-CN"/>
        </w:rPr>
        <w:t>29</w:t>
      </w:r>
      <w:r>
        <w:rPr>
          <w:rFonts w:hint="eastAsia" w:ascii="宋体" w:hAnsi="宋体" w:eastAsia="宋体" w:cs="宋体"/>
          <w:i w:val="0"/>
          <w:iCs w:val="0"/>
          <w:caps w:val="0"/>
          <w:color w:val="auto"/>
          <w:spacing w:val="6"/>
          <w:kern w:val="0"/>
          <w:sz w:val="21"/>
          <w:szCs w:val="21"/>
          <w:highlight w:val="none"/>
          <w:shd w:val="clear" w:fill="auto"/>
        </w:rPr>
        <w:t>日10时00分</w:t>
      </w:r>
      <w:r>
        <w:rPr>
          <w:rFonts w:hint="eastAsia" w:ascii="宋体" w:hAnsi="宋体" w:eastAsia="宋体" w:cs="宋体"/>
          <w:i w:val="0"/>
          <w:iCs w:val="0"/>
          <w:caps w:val="0"/>
          <w:color w:val="auto"/>
          <w:spacing w:val="6"/>
          <w:kern w:val="0"/>
          <w:sz w:val="21"/>
          <w:szCs w:val="21"/>
          <w:shd w:val="clear" w:fill="auto"/>
        </w:rPr>
        <w:t>（北京时间）前递交投标文件</w:t>
      </w:r>
      <w:r>
        <w:rPr>
          <w:rFonts w:hint="eastAsia" w:ascii="宋体" w:hAnsi="宋体" w:eastAsia="宋体" w:cs="宋体"/>
          <w:color w:val="auto"/>
          <w:spacing w:val="6"/>
          <w:kern w:val="0"/>
          <w:szCs w:val="21"/>
          <w:lang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9" w:name="_Toc5257"/>
      <w:bookmarkStart w:id="10" w:name="_Toc636"/>
      <w:bookmarkStart w:id="11" w:name="_Toc11334"/>
      <w:r>
        <w:rPr>
          <w:rFonts w:hint="eastAsia" w:ascii="宋体" w:hAnsi="宋体" w:eastAsia="宋体" w:cs="宋体"/>
          <w:b/>
          <w:bCs/>
          <w:color w:val="000000" w:themeColor="text1"/>
          <w:spacing w:val="6"/>
          <w:kern w:val="0"/>
          <w:szCs w:val="21"/>
          <w14:textFill>
            <w14:solidFill>
              <w14:schemeClr w14:val="tx1"/>
            </w14:solidFill>
          </w14:textFill>
        </w:rPr>
        <w:t>一、项目基本情况</w:t>
      </w:r>
      <w:bookmarkEnd w:id="8"/>
      <w:bookmarkEnd w:id="9"/>
      <w:bookmarkEnd w:id="10"/>
      <w:bookmarkEnd w:id="11"/>
    </w:p>
    <w:p>
      <w:pPr>
        <w:spacing w:line="360" w:lineRule="auto"/>
        <w:ind w:firstLine="444" w:firstLineChars="200"/>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1、</w:t>
      </w:r>
      <w:r>
        <w:rPr>
          <w:rFonts w:hint="eastAsia" w:ascii="宋体" w:hAnsi="宋体" w:eastAsia="宋体" w:cs="宋体"/>
          <w:color w:val="auto"/>
          <w:spacing w:val="6"/>
          <w:kern w:val="0"/>
          <w:szCs w:val="21"/>
          <w:highlight w:val="none"/>
        </w:rPr>
        <w:t>项目编号：</w:t>
      </w:r>
      <w:r>
        <w:rPr>
          <w:rFonts w:hint="eastAsia" w:ascii="宋体" w:hAnsi="宋体" w:eastAsia="宋体" w:cs="宋体"/>
          <w:color w:val="auto"/>
          <w:spacing w:val="6"/>
          <w:kern w:val="0"/>
          <w:szCs w:val="21"/>
          <w:highlight w:val="none"/>
          <w:lang w:val="en-US" w:eastAsia="zh-CN"/>
        </w:rPr>
        <w:t>郑财招标采购-2023-278</w:t>
      </w:r>
    </w:p>
    <w:p>
      <w:pPr>
        <w:kinsoku/>
        <w:overflowPunct/>
        <w:autoSpaceDE/>
        <w:autoSpaceDN/>
        <w:adjustRightInd/>
        <w:spacing w:line="360" w:lineRule="auto"/>
        <w:ind w:left="0" w:firstLine="444" w:firstLineChars="200"/>
        <w:jc w:val="left"/>
        <w:rPr>
          <w:rFonts w:hint="eastAsia" w:ascii="宋体" w:hAnsi="宋体" w:eastAsia="宋体" w:cs="宋体"/>
          <w:color w:val="000000" w:themeColor="text1"/>
          <w:spacing w:val="6"/>
          <w:kern w:val="0"/>
          <w:sz w:val="21"/>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2、项目名称：</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3、采购方式：公开招标</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4、项目预算金额：</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p>
      <w:pPr>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最高限价：</w:t>
      </w:r>
      <w:r>
        <w:rPr>
          <w:rFonts w:hint="eastAsia" w:ascii="宋体" w:hAnsi="宋体" w:eastAsia="宋体" w:cs="宋体"/>
          <w:color w:val="000000" w:themeColor="text1"/>
          <w:spacing w:val="6"/>
          <w:kern w:val="0"/>
          <w:szCs w:val="21"/>
          <w:lang w:val="en-US" w:eastAsia="zh-CN"/>
          <w14:textFill>
            <w14:solidFill>
              <w14:schemeClr w14:val="tx1"/>
            </w14:solidFill>
          </w14:textFill>
        </w:rPr>
        <w:t>4130000.00</w:t>
      </w:r>
      <w:r>
        <w:rPr>
          <w:rFonts w:hint="eastAsia" w:ascii="宋体" w:hAnsi="宋体" w:eastAsia="宋体" w:cs="宋体"/>
          <w:color w:val="000000" w:themeColor="text1"/>
          <w:spacing w:val="6"/>
          <w:kern w:val="0"/>
          <w:szCs w:val="21"/>
          <w14:textFill>
            <w14:solidFill>
              <w14:schemeClr w14:val="tx1"/>
            </w14:solidFill>
          </w14:textFill>
        </w:rPr>
        <w:t>元</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0"/>
        <w:gridCol w:w="694"/>
        <w:gridCol w:w="3358"/>
        <w:gridCol w:w="2028"/>
        <w:gridCol w:w="20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序号</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包号</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包名称</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包预算（元）</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eastAsia" w:ascii="宋体" w:hAnsi="宋体" w:eastAsia="宋体" w:cs="宋体"/>
                <w:color w:val="000000" w:themeColor="text1"/>
                <w:spacing w:val="6"/>
                <w:kern w:val="0"/>
                <w:szCs w:val="21"/>
                <w:vertAlign w:val="baseline"/>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1</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A包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2</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B包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便携式彩色多普勒超声系统</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980000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3</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C包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眼表综合分析仪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450000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4</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D包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1500000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5</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E包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6</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F包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200000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6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7</w:t>
            </w:r>
          </w:p>
        </w:tc>
        <w:tc>
          <w:tcPr>
            <w:tcW w:w="694"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G包</w:t>
            </w:r>
          </w:p>
        </w:tc>
        <w:tc>
          <w:tcPr>
            <w:tcW w:w="335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p>
        </w:tc>
        <w:tc>
          <w:tcPr>
            <w:tcW w:w="2028"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c>
          <w:tcPr>
            <w:tcW w:w="2029"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spacing w:val="6"/>
                <w:kern w:val="0"/>
                <w:sz w:val="21"/>
                <w:szCs w:val="21"/>
                <w:lang w:val="en-US" w:eastAsia="zh-CN" w:bidi="ar-SA"/>
                <w14:textFill>
                  <w14:solidFill>
                    <w14:schemeClr w14:val="tx1"/>
                  </w14:solidFill>
                </w14:textFill>
              </w:rPr>
            </w:pPr>
            <w:r>
              <w:rPr>
                <w:rFonts w:hint="default" w:ascii="宋体" w:hAnsi="宋体" w:eastAsia="宋体" w:cs="宋体"/>
                <w:color w:val="000000" w:themeColor="text1"/>
                <w:spacing w:val="6"/>
                <w:kern w:val="0"/>
                <w:szCs w:val="21"/>
                <w:lang w:val="en-US" w:eastAsia="zh-CN"/>
                <w14:textFill>
                  <w14:solidFill>
                    <w14:schemeClr w14:val="tx1"/>
                  </w14:solidFill>
                </w14:textFill>
              </w:rPr>
              <w:t>350000</w:t>
            </w:r>
          </w:p>
        </w:tc>
      </w:tr>
    </w:tbl>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5、采购需求</w:t>
      </w:r>
    </w:p>
    <w:p>
      <w:pPr>
        <w:spacing w:line="360" w:lineRule="auto"/>
        <w:ind w:firstLine="444" w:firstLineChars="200"/>
        <w:jc w:val="left"/>
        <w:rPr>
          <w:rFonts w:hint="eastAsia" w:ascii="宋体" w:hAnsi="宋体" w:eastAsia="宋体" w:cs="宋体"/>
          <w:color w:val="FF0000"/>
          <w:spacing w:val="6"/>
          <w:kern w:val="0"/>
          <w:szCs w:val="21"/>
          <w:lang w:eastAsia="zh-CN"/>
        </w:rPr>
      </w:pPr>
      <w:r>
        <w:rPr>
          <w:rFonts w:hint="eastAsia" w:ascii="宋体" w:hAnsi="宋体" w:eastAsia="宋体" w:cs="宋体"/>
          <w:color w:val="000000" w:themeColor="text1"/>
          <w:spacing w:val="6"/>
          <w:kern w:val="0"/>
          <w:szCs w:val="21"/>
          <w14:textFill>
            <w14:solidFill>
              <w14:schemeClr w14:val="tx1"/>
            </w14:solidFill>
          </w14:textFill>
        </w:rPr>
        <w:t>5.1项目简要说明：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郑州市第九人民医院医疗设备采购项目，其中，耳鼻喉图文工作站1套、便携式彩色多普勒超声系统1套、眼表综合分析仪</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套、心肺转流离心系统（ECMO）</w:t>
      </w:r>
      <w:r>
        <w:rPr>
          <w:rFonts w:hint="eastAsia" w:ascii="宋体" w:hAnsi="宋体" w:eastAsia="宋体" w:cs="宋体"/>
          <w:b w:val="0"/>
          <w:bCs w:val="0"/>
          <w:color w:val="000000" w:themeColor="text1"/>
          <w:spacing w:val="6"/>
          <w:kern w:val="0"/>
          <w:sz w:val="21"/>
          <w:szCs w:val="21"/>
          <w:lang w:val="en-US" w:eastAsia="zh-CN"/>
          <w14:textFill>
            <w14:solidFill>
              <w14:schemeClr w14:val="tx1"/>
            </w14:solidFill>
          </w14:textFill>
        </w:rPr>
        <w:t>1</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套、静息代谢测试仪1套、麻醉机1台、电动移</w:t>
      </w:r>
      <w:r>
        <w:rPr>
          <w:rFonts w:hint="eastAsia" w:ascii="宋体" w:hAnsi="宋体" w:eastAsia="宋体" w:cs="宋体"/>
          <w:b w:val="0"/>
          <w:bCs w:val="0"/>
          <w:color w:val="auto"/>
          <w:spacing w:val="6"/>
          <w:kern w:val="0"/>
          <w:sz w:val="21"/>
          <w:szCs w:val="21"/>
          <w:lang w:eastAsia="zh-CN"/>
        </w:rPr>
        <w:t>位机</w:t>
      </w:r>
      <w:r>
        <w:rPr>
          <w:rFonts w:hint="eastAsia" w:ascii="宋体" w:hAnsi="宋体" w:eastAsia="宋体" w:cs="宋体"/>
          <w:b w:val="0"/>
          <w:bCs w:val="0"/>
          <w:color w:val="auto"/>
          <w:spacing w:val="6"/>
          <w:kern w:val="0"/>
          <w:sz w:val="21"/>
          <w:szCs w:val="21"/>
          <w:lang w:val="en-US" w:eastAsia="zh-CN"/>
        </w:rPr>
        <w:t>1</w:t>
      </w:r>
      <w:r>
        <w:rPr>
          <w:rFonts w:hint="eastAsia" w:ascii="宋体" w:hAnsi="宋体" w:eastAsia="宋体" w:cs="宋体"/>
          <w:b w:val="0"/>
          <w:bCs w:val="0"/>
          <w:color w:val="auto"/>
          <w:spacing w:val="6"/>
          <w:kern w:val="0"/>
          <w:sz w:val="21"/>
          <w:szCs w:val="21"/>
          <w:lang w:eastAsia="zh-CN"/>
        </w:rPr>
        <w:t>台，</w:t>
      </w:r>
      <w:r>
        <w:rPr>
          <w:rFonts w:hint="eastAsia" w:ascii="宋体" w:hAnsi="宋体" w:eastAsia="宋体" w:cs="宋体"/>
          <w:color w:val="auto"/>
          <w:spacing w:val="6"/>
          <w:kern w:val="0"/>
          <w:szCs w:val="21"/>
          <w:lang w:val="en-US" w:eastAsia="zh-CN"/>
        </w:rPr>
        <w:t>详见第五章技术标准及要求</w:t>
      </w:r>
      <w:r>
        <w:rPr>
          <w:rFonts w:hint="eastAsia" w:ascii="宋体" w:hAnsi="宋体" w:eastAsia="宋体" w:cs="宋体"/>
          <w:color w:val="auto"/>
          <w:spacing w:val="6"/>
          <w:kern w:val="0"/>
          <w:szCs w:val="21"/>
        </w:rPr>
        <w:t>。</w:t>
      </w:r>
    </w:p>
    <w:p>
      <w:pPr>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5.2包段划分：</w:t>
      </w:r>
      <w:r>
        <w:rPr>
          <w:rFonts w:hint="eastAsia" w:ascii="宋体" w:hAnsi="宋体" w:eastAsia="宋体" w:cs="宋体"/>
          <w:color w:val="000000" w:themeColor="text1"/>
          <w:spacing w:val="6"/>
          <w:kern w:val="0"/>
          <w:szCs w:val="21"/>
          <w:lang w:val="en-US" w:eastAsia="zh-CN"/>
          <w14:textFill>
            <w14:solidFill>
              <w14:schemeClr w14:val="tx1"/>
            </w14:solidFill>
          </w14:textFill>
        </w:rPr>
        <w:t>本项目共划分七个包段</w:t>
      </w:r>
      <w:r>
        <w:rPr>
          <w:rFonts w:hint="eastAsia" w:ascii="宋体" w:hAnsi="宋体" w:eastAsia="宋体" w:cs="宋体"/>
          <w:color w:val="000000" w:themeColor="text1"/>
          <w:spacing w:val="6"/>
          <w:kern w:val="0"/>
          <w:szCs w:val="21"/>
          <w14:textFill>
            <w14:solidFill>
              <w14:schemeClr w14:val="tx1"/>
            </w14:solidFill>
          </w14:textFill>
        </w:rPr>
        <w:t>。</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color w:val="auto"/>
          <w:spacing w:val="6"/>
          <w:kern w:val="0"/>
          <w:szCs w:val="21"/>
        </w:rPr>
        <w:t>5.3交货期</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：90日历天。</w:t>
      </w:r>
    </w:p>
    <w:p>
      <w:pPr>
        <w:spacing w:line="360" w:lineRule="auto"/>
        <w:ind w:firstLine="444" w:firstLineChars="200"/>
        <w:jc w:val="left"/>
        <w:rPr>
          <w:rFonts w:hint="eastAsia" w:ascii="宋体" w:hAnsi="宋体" w:eastAsia="宋体" w:cs="宋体"/>
          <w:color w:val="auto"/>
          <w:spacing w:val="6"/>
          <w:kern w:val="0"/>
          <w:szCs w:val="21"/>
          <w:lang w:eastAsia="zh-CN"/>
        </w:rPr>
      </w:pPr>
      <w:r>
        <w:rPr>
          <w:rFonts w:hint="eastAsia" w:ascii="宋体" w:hAnsi="宋体" w:eastAsia="宋体" w:cs="宋体"/>
          <w:b w:val="0"/>
          <w:bCs w:val="0"/>
          <w:color w:val="auto"/>
          <w:spacing w:val="6"/>
          <w:kern w:val="0"/>
          <w:szCs w:val="21"/>
        </w:rPr>
        <w:t>5.4质保期：</w:t>
      </w:r>
      <w:r>
        <w:rPr>
          <w:rFonts w:hint="eastAsia" w:ascii="宋体" w:hAnsi="宋体" w:eastAsia="宋体" w:cs="宋体"/>
          <w:b w:val="0"/>
          <w:bCs w:val="0"/>
          <w:color w:val="auto"/>
          <w:spacing w:val="6"/>
          <w:kern w:val="0"/>
          <w:szCs w:val="21"/>
          <w:lang w:val="en-US" w:eastAsia="zh-CN"/>
        </w:rPr>
        <w:t>3年。</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5.5质量要求：合格。</w:t>
      </w:r>
    </w:p>
    <w:p>
      <w:pPr>
        <w:spacing w:line="360" w:lineRule="auto"/>
        <w:ind w:firstLine="444" w:firstLineChars="200"/>
        <w:jc w:val="left"/>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6、合同履行期限：同交货期。</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7、本项目是否接受联合体投标：否。</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8、是否接受进口产品</w:t>
      </w:r>
      <w:r>
        <w:rPr>
          <w:rFonts w:hint="eastAsia" w:ascii="宋体" w:hAnsi="宋体" w:eastAsia="宋体" w:cs="宋体"/>
          <w:color w:val="000000" w:themeColor="text1"/>
          <w:spacing w:val="6"/>
          <w:kern w:val="0"/>
          <w:szCs w:val="21"/>
          <w:lang w:eastAsia="zh-CN"/>
          <w14:textFill>
            <w14:solidFill>
              <w14:schemeClr w14:val="tx1"/>
            </w14:solidFill>
          </w14:textFill>
        </w:rPr>
        <w:t>：</w:t>
      </w:r>
      <w:r>
        <w:rPr>
          <w:rFonts w:hint="eastAsia" w:ascii="宋体" w:hAnsi="宋体" w:eastAsia="宋体" w:cs="宋体"/>
          <w:color w:val="000000" w:themeColor="text1"/>
          <w:spacing w:val="6"/>
          <w:kern w:val="0"/>
          <w:szCs w:val="21"/>
          <w:lang w:val="en-US" w:eastAsia="zh-CN"/>
          <w14:textFill>
            <w14:solidFill>
              <w14:schemeClr w14:val="tx1"/>
            </w14:solidFill>
          </w14:textFill>
        </w:rPr>
        <w:t>是</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w:t>
      </w:r>
      <w:r>
        <w:rPr>
          <w:rFonts w:hint="eastAsia" w:asciiTheme="minorHAnsi" w:hAnsiTheme="minorHAnsi" w:eastAsiaTheme="minorEastAsia" w:cstheme="minorBidi"/>
          <w:i w:val="0"/>
          <w:iCs w:val="0"/>
          <w:caps w:val="0"/>
          <w:color w:val="auto"/>
          <w:spacing w:val="0"/>
          <w:sz w:val="21"/>
          <w:szCs w:val="22"/>
          <w:shd w:val="clear" w:fill="auto"/>
        </w:rPr>
        <w:t>是否专门面向中小企业</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否</w:t>
      </w:r>
      <w:r>
        <w:rPr>
          <w:rFonts w:hint="eastAsia"/>
          <w:b w:val="0"/>
          <w:bCs w:val="0"/>
          <w:sz w:val="21"/>
          <w:szCs w:val="22"/>
          <w:lang w:val="en-US" w:eastAsia="zh-CN"/>
        </w:rPr>
        <w:t>。</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12" w:name="_Toc4841"/>
      <w:bookmarkStart w:id="13" w:name="_Toc7930"/>
      <w:bookmarkStart w:id="14" w:name="_Toc10869"/>
      <w:bookmarkStart w:id="15" w:name="_Toc2324"/>
      <w:r>
        <w:rPr>
          <w:rFonts w:hint="eastAsia" w:ascii="宋体" w:hAnsi="宋体" w:eastAsia="宋体" w:cs="宋体"/>
          <w:b/>
          <w:bCs/>
          <w:color w:val="000000" w:themeColor="text1"/>
          <w:spacing w:val="6"/>
          <w:kern w:val="0"/>
          <w:szCs w:val="21"/>
          <w14:textFill>
            <w14:solidFill>
              <w14:schemeClr w14:val="tx1"/>
            </w14:solidFill>
          </w14:textFill>
        </w:rPr>
        <w:t>二、申请人的资格要求：</w:t>
      </w:r>
      <w:bookmarkEnd w:id="12"/>
      <w:bookmarkEnd w:id="13"/>
      <w:bookmarkEnd w:id="14"/>
      <w:bookmarkEnd w:id="15"/>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bookmarkStart w:id="16" w:name="_Toc26384"/>
      <w:bookmarkStart w:id="17" w:name="_Toc10746"/>
      <w:bookmarkStart w:id="18" w:name="_Toc6020"/>
      <w:bookmarkStart w:id="19" w:name="_Toc19145"/>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ind w:firstLine="444" w:firstLineChars="200"/>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ind w:firstLine="444" w:firstLineChars="200"/>
        <w:jc w:val="left"/>
        <w:rPr>
          <w:rFonts w:ascii="楷体" w:hAnsi="楷体" w:eastAsia="楷体"/>
          <w:sz w:val="32"/>
          <w:szCs w:val="32"/>
          <w:u w:val="single"/>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r>
        <w:rPr>
          <w:rFonts w:hint="eastAsia" w:ascii="宋体" w:hAnsi="宋体" w:eastAsia="宋体" w:cs="宋体"/>
          <w:b/>
          <w:bCs/>
          <w:color w:val="000000" w:themeColor="text1"/>
          <w:spacing w:val="6"/>
          <w:kern w:val="0"/>
          <w:szCs w:val="21"/>
          <w14:textFill>
            <w14:solidFill>
              <w14:schemeClr w14:val="tx1"/>
            </w14:solidFill>
          </w14:textFill>
        </w:rPr>
        <w:t>三、获取采购文件</w:t>
      </w:r>
      <w:bookmarkEnd w:id="16"/>
      <w:bookmarkEnd w:id="17"/>
      <w:bookmarkEnd w:id="18"/>
      <w:bookmarkEnd w:id="19"/>
    </w:p>
    <w:p>
      <w:pPr>
        <w:wordWrap w:val="0"/>
        <w:spacing w:line="360" w:lineRule="auto"/>
        <w:ind w:firstLine="444" w:firstLineChars="200"/>
        <w:jc w:val="left"/>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rPr>
        <w:t>3.1、时间：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09</w:t>
      </w:r>
      <w:r>
        <w:rPr>
          <w:rFonts w:hint="eastAsia" w:ascii="宋体" w:hAnsi="宋体" w:eastAsia="宋体" w:cs="宋体"/>
          <w:color w:val="auto"/>
          <w:spacing w:val="6"/>
          <w:kern w:val="0"/>
          <w:szCs w:val="21"/>
          <w:highlight w:val="none"/>
        </w:rPr>
        <w:t>日至202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15</w:t>
      </w:r>
      <w:r>
        <w:rPr>
          <w:rFonts w:hint="eastAsia" w:ascii="宋体" w:hAnsi="宋体" w:eastAsia="宋体" w:cs="宋体"/>
          <w:color w:val="auto"/>
          <w:spacing w:val="6"/>
          <w:kern w:val="0"/>
          <w:szCs w:val="21"/>
          <w:highlight w:val="none"/>
        </w:rPr>
        <w:t>日</w:t>
      </w:r>
      <w:r>
        <w:rPr>
          <w:rFonts w:hint="eastAsia" w:ascii="宋体" w:hAnsi="宋体" w:eastAsia="宋体" w:cs="宋体"/>
          <w:color w:val="auto"/>
          <w:spacing w:val="6"/>
          <w:kern w:val="0"/>
          <w:szCs w:val="21"/>
        </w:rPr>
        <w:t>，每天上午00:00至12:00，下午12:00至23:59（北京时间，法定节假日除外</w:t>
      </w:r>
      <w:r>
        <w:rPr>
          <w:rFonts w:hint="eastAsia" w:ascii="宋体" w:hAnsi="宋体" w:eastAsia="宋体" w:cs="宋体"/>
          <w:color w:val="auto"/>
          <w:spacing w:val="6"/>
          <w:kern w:val="0"/>
          <w:szCs w:val="21"/>
          <w:lang w:eastAsia="zh-CN"/>
        </w:rPr>
        <w:t>。）</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3.2、地点：登录“郑州市公共资源交易中心网站（https://zzggzy.zhengzhou.gov.cn/）”。</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3.3、方式：各潜在投标人可通过本项目公告自行获取查阅采购（招标）文件。如有意向，可凭CA密钥登录“郑州市公共资源交易中心网”进行报名、投标（响应）等相关线上操作。</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3.4、售价：0元</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0" w:name="_Toc23361"/>
      <w:bookmarkStart w:id="21" w:name="_Toc11731"/>
      <w:bookmarkStart w:id="22" w:name="_Toc18550"/>
      <w:bookmarkStart w:id="23" w:name="_Toc16205"/>
      <w:r>
        <w:rPr>
          <w:rFonts w:hint="eastAsia" w:ascii="宋体" w:hAnsi="宋体" w:eastAsia="宋体" w:cs="宋体"/>
          <w:b/>
          <w:bCs/>
          <w:color w:val="000000" w:themeColor="text1"/>
          <w:spacing w:val="6"/>
          <w:kern w:val="0"/>
          <w:szCs w:val="21"/>
          <w14:textFill>
            <w14:solidFill>
              <w14:schemeClr w14:val="tx1"/>
            </w14:solidFill>
          </w14:textFill>
        </w:rPr>
        <w:t>四、投标截止时间及地点</w:t>
      </w:r>
      <w:bookmarkEnd w:id="20"/>
      <w:bookmarkEnd w:id="21"/>
      <w:bookmarkEnd w:id="22"/>
      <w:bookmarkEnd w:id="23"/>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4.1、时间：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4.2、地点：郑州市公共资源交易中心电子交易平台（https://zzggzy.zhengzhou.gov.cn/）</w:t>
      </w:r>
    </w:p>
    <w:p>
      <w:pPr>
        <w:keepNext/>
        <w:keepLines/>
        <w:autoSpaceDE w:val="0"/>
        <w:autoSpaceDN w:val="0"/>
        <w:adjustRightInd w:val="0"/>
        <w:spacing w:before="260" w:after="260"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4" w:name="_Toc18828"/>
      <w:bookmarkStart w:id="25" w:name="_Toc20290"/>
      <w:bookmarkStart w:id="26" w:name="_Toc30633"/>
      <w:bookmarkStart w:id="27" w:name="_Toc21670"/>
      <w:r>
        <w:rPr>
          <w:rFonts w:hint="eastAsia" w:ascii="宋体" w:hAnsi="宋体" w:eastAsia="宋体" w:cs="宋体"/>
          <w:b/>
          <w:bCs/>
          <w:color w:val="000000" w:themeColor="text1"/>
          <w:spacing w:val="6"/>
          <w:kern w:val="0"/>
          <w:szCs w:val="21"/>
          <w14:textFill>
            <w14:solidFill>
              <w14:schemeClr w14:val="tx1"/>
            </w14:solidFill>
          </w14:textFill>
        </w:rPr>
        <w:t>五、开标时间及地点</w:t>
      </w:r>
      <w:bookmarkEnd w:id="24"/>
      <w:bookmarkEnd w:id="25"/>
      <w:bookmarkEnd w:id="26"/>
      <w:bookmarkEnd w:id="27"/>
    </w:p>
    <w:p>
      <w:pPr>
        <w:wordWrap w:val="0"/>
        <w:spacing w:line="360" w:lineRule="auto"/>
        <w:ind w:firstLine="444" w:firstLineChars="200"/>
        <w:jc w:val="left"/>
        <w:rPr>
          <w:rFonts w:ascii="宋体" w:hAnsi="宋体" w:eastAsia="宋体" w:cs="宋体"/>
          <w:color w:val="auto"/>
          <w:spacing w:val="6"/>
          <w:kern w:val="0"/>
          <w:szCs w:val="21"/>
        </w:rPr>
      </w:pPr>
      <w:r>
        <w:rPr>
          <w:rFonts w:hint="eastAsia" w:ascii="宋体" w:hAnsi="宋体" w:eastAsia="宋体" w:cs="宋体"/>
          <w:color w:val="auto"/>
          <w:spacing w:val="6"/>
          <w:kern w:val="0"/>
          <w:szCs w:val="21"/>
        </w:rPr>
        <w:t>5.1、时间：</w:t>
      </w:r>
      <w:r>
        <w:rPr>
          <w:rFonts w:hint="eastAsia" w:ascii="宋体" w:hAnsi="宋体" w:eastAsia="宋体" w:cs="宋体"/>
          <w:color w:val="auto"/>
          <w:spacing w:val="6"/>
          <w:kern w:val="0"/>
          <w:szCs w:val="21"/>
          <w:highlight w:val="none"/>
        </w:rPr>
        <w:t>202</w:t>
      </w:r>
      <w:r>
        <w:rPr>
          <w:rFonts w:hint="eastAsia" w:ascii="宋体" w:hAnsi="宋体" w:eastAsia="宋体" w:cs="宋体"/>
          <w:color w:val="auto"/>
          <w:spacing w:val="6"/>
          <w:kern w:val="0"/>
          <w:szCs w:val="21"/>
          <w:highlight w:val="none"/>
          <w:lang w:val="en-US" w:eastAsia="zh-CN"/>
        </w:rPr>
        <w:t>3</w:t>
      </w:r>
      <w:r>
        <w:rPr>
          <w:rFonts w:hint="eastAsia" w:ascii="宋体" w:hAnsi="宋体" w:eastAsia="宋体" w:cs="宋体"/>
          <w:color w:val="auto"/>
          <w:spacing w:val="6"/>
          <w:kern w:val="0"/>
          <w:szCs w:val="21"/>
          <w:highlight w:val="none"/>
        </w:rPr>
        <w:t>年</w:t>
      </w:r>
      <w:r>
        <w:rPr>
          <w:rFonts w:hint="eastAsia" w:ascii="宋体" w:hAnsi="宋体" w:eastAsia="宋体" w:cs="宋体"/>
          <w:color w:val="auto"/>
          <w:spacing w:val="6"/>
          <w:kern w:val="0"/>
          <w:szCs w:val="21"/>
          <w:highlight w:val="none"/>
          <w:lang w:val="en-US" w:eastAsia="zh-CN"/>
        </w:rPr>
        <w:t>11</w:t>
      </w:r>
      <w:r>
        <w:rPr>
          <w:rFonts w:hint="eastAsia" w:ascii="宋体" w:hAnsi="宋体" w:eastAsia="宋体" w:cs="宋体"/>
          <w:color w:val="auto"/>
          <w:spacing w:val="6"/>
          <w:kern w:val="0"/>
          <w:szCs w:val="21"/>
          <w:highlight w:val="none"/>
        </w:rPr>
        <w:t>月</w:t>
      </w:r>
      <w:r>
        <w:rPr>
          <w:rFonts w:hint="eastAsia" w:ascii="宋体" w:hAnsi="宋体" w:eastAsia="宋体" w:cs="宋体"/>
          <w:color w:val="auto"/>
          <w:spacing w:val="6"/>
          <w:kern w:val="0"/>
          <w:szCs w:val="21"/>
          <w:highlight w:val="none"/>
          <w:lang w:val="en-US" w:eastAsia="zh-CN"/>
        </w:rPr>
        <w:t>29</w:t>
      </w:r>
      <w:r>
        <w:rPr>
          <w:rFonts w:hint="eastAsia" w:ascii="宋体" w:hAnsi="宋体" w:eastAsia="宋体" w:cs="宋体"/>
          <w:color w:val="auto"/>
          <w:spacing w:val="6"/>
          <w:kern w:val="0"/>
          <w:szCs w:val="21"/>
          <w:highlight w:val="none"/>
        </w:rPr>
        <w:t>日10时00分</w:t>
      </w:r>
      <w:r>
        <w:rPr>
          <w:rFonts w:hint="eastAsia" w:ascii="宋体" w:hAnsi="宋体" w:eastAsia="宋体" w:cs="宋体"/>
          <w:color w:val="auto"/>
          <w:spacing w:val="6"/>
          <w:kern w:val="0"/>
          <w:szCs w:val="21"/>
        </w:rPr>
        <w:t>（北京时间）</w:t>
      </w:r>
    </w:p>
    <w:p>
      <w:pPr>
        <w:wordWrap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5.2、地点：本项目为远程开标，投标人无需到交易中心现场参加开标会议。不见面开标操作说明详见郑州市公共资源交易中心网站-办事指南-政府采购-郑州市公共资源交易中心不见面开标大厅操作手册（供应商）。</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28" w:name="_Toc24460"/>
      <w:bookmarkStart w:id="29" w:name="_Toc23646"/>
      <w:bookmarkStart w:id="30" w:name="_Toc17567"/>
      <w:bookmarkStart w:id="31" w:name="_Toc23027"/>
      <w:r>
        <w:rPr>
          <w:rFonts w:hint="eastAsia" w:ascii="宋体" w:hAnsi="宋体" w:eastAsia="宋体" w:cs="宋体"/>
          <w:b/>
          <w:bCs/>
          <w:color w:val="000000" w:themeColor="text1"/>
          <w:spacing w:val="6"/>
          <w:kern w:val="0"/>
          <w:szCs w:val="21"/>
          <w14:textFill>
            <w14:solidFill>
              <w14:schemeClr w14:val="tx1"/>
            </w14:solidFill>
          </w14:textFill>
        </w:rPr>
        <w:t>六、发布公告的媒介及招标公告期限</w:t>
      </w:r>
      <w:bookmarkEnd w:id="28"/>
      <w:bookmarkEnd w:id="29"/>
      <w:bookmarkEnd w:id="30"/>
      <w:bookmarkEnd w:id="31"/>
    </w:p>
    <w:p>
      <w:pPr>
        <w:spacing w:line="360" w:lineRule="auto"/>
        <w:ind w:firstLine="444" w:firstLineChars="200"/>
        <w:rPr>
          <w:rFonts w:ascii="宋体" w:hAnsi="宋体" w:eastAsia="宋体" w:cs="宋体"/>
          <w:color w:val="0000FF"/>
          <w:spacing w:val="6"/>
          <w:kern w:val="0"/>
          <w:szCs w:val="21"/>
        </w:rPr>
      </w:pPr>
      <w:r>
        <w:rPr>
          <w:rFonts w:hint="eastAsia" w:ascii="宋体" w:hAnsi="宋体" w:eastAsia="宋体" w:cs="宋体"/>
          <w:color w:val="auto"/>
          <w:spacing w:val="6"/>
          <w:kern w:val="0"/>
          <w:szCs w:val="21"/>
        </w:rPr>
        <w:t>本次招标公告在《河南省政府采购网》</w:t>
      </w:r>
      <w:r>
        <w:rPr>
          <w:rFonts w:hint="eastAsia" w:ascii="宋体" w:hAnsi="宋体" w:eastAsia="宋体" w:cs="宋体"/>
          <w:color w:val="auto"/>
          <w:spacing w:val="6"/>
          <w:kern w:val="0"/>
          <w:szCs w:val="21"/>
          <w:lang w:eastAsia="zh-CN"/>
        </w:rPr>
        <w:t>、</w:t>
      </w:r>
      <w:r>
        <w:rPr>
          <w:rFonts w:hint="eastAsia" w:ascii="宋体" w:hAnsi="宋体" w:eastAsia="宋体" w:cs="宋体"/>
          <w:color w:val="auto"/>
          <w:spacing w:val="6"/>
          <w:kern w:val="0"/>
          <w:szCs w:val="21"/>
        </w:rPr>
        <w:t>《郑州市公共资源交易中心网》上发布。招标公告期限为五个工作日。</w:t>
      </w:r>
    </w:p>
    <w:p>
      <w:pPr>
        <w:widowControl/>
        <w:numPr>
          <w:ilvl w:val="0"/>
          <w:numId w:val="2"/>
        </w:numPr>
        <w:shd w:val="clear" w:color="auto" w:fill="FFFFFF"/>
        <w:autoSpaceDE w:val="0"/>
        <w:autoSpaceDN w:val="0"/>
        <w:adjustRightInd w:val="0"/>
        <w:spacing w:before="96" w:after="96" w:line="360" w:lineRule="auto"/>
        <w:ind w:left="446" w:hanging="446" w:hangingChars="200"/>
        <w:jc w:val="left"/>
        <w:outlineLvl w:val="0"/>
        <w:rPr>
          <w:rFonts w:hint="eastAsia" w:ascii="宋体" w:hAnsi="宋体" w:eastAsia="宋体" w:cs="宋体"/>
          <w:color w:val="auto"/>
          <w:spacing w:val="6"/>
          <w:kern w:val="0"/>
          <w:szCs w:val="21"/>
          <w:lang w:val="en-US" w:eastAsia="zh-CN"/>
        </w:rPr>
      </w:pPr>
      <w:bookmarkStart w:id="32" w:name="_Toc18206"/>
      <w:bookmarkStart w:id="33" w:name="_Toc19938"/>
      <w:bookmarkStart w:id="34" w:name="_Toc25683"/>
      <w:bookmarkStart w:id="35" w:name="_Toc16624"/>
      <w:r>
        <w:rPr>
          <w:rFonts w:hint="eastAsia" w:ascii="宋体" w:hAnsi="宋体" w:eastAsia="宋体" w:cs="宋体"/>
          <w:b/>
          <w:bCs/>
          <w:color w:val="000000" w:themeColor="text1"/>
          <w:spacing w:val="6"/>
          <w:kern w:val="0"/>
          <w:szCs w:val="21"/>
          <w14:textFill>
            <w14:solidFill>
              <w14:schemeClr w14:val="tx1"/>
            </w14:solidFill>
          </w14:textFill>
        </w:rPr>
        <w:t>其他补充事宜</w:t>
      </w:r>
      <w:bookmarkEnd w:id="32"/>
      <w:bookmarkEnd w:id="33"/>
      <w:bookmarkEnd w:id="34"/>
      <w:bookmarkEnd w:id="35"/>
      <w:bookmarkStart w:id="36" w:name="_Toc29606"/>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7.1、根据“郑州市公共资源交易中心关于推行不见面开标服务的通知（https://zzggzy.zheng</w:t>
      </w:r>
    </w:p>
    <w:p>
      <w:pPr>
        <w:spacing w:line="360" w:lineRule="auto"/>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zhou.gov.cn/tzgg/20200219/7716d6a8-4a44-4583-9ff3-123667607ef5.html）”第（一）条投标人无需到交易中心现场参加开标会议，本项目招标文件中所要求证件、证明等，投标文件中应附相应资料清晰的扫描件，由于模糊不清导致评委无法辨别的，后果由投标人自行承担。</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7.2、所有投标人应提前30分钟，登录“郑州市公共资源交易中心门户网站远程开标大厅（https://zzggzy.zhengzhou.gov.cn/BidOpening）”进行远程开标准备工作。</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7.3、所有投标人登录“郑州市公共资源交易中心门户网站远程开标大厅”后，须先进行签到，其后应一直保持在线状态，保证能准时参加开标大会、投标文件的解密、现场答疑澄清等活动。</w:t>
      </w:r>
      <w:r>
        <w:rPr>
          <w:rFonts w:hint="eastAsia" w:ascii="宋体" w:hAnsi="宋体" w:eastAsia="宋体" w:cs="宋体"/>
          <w:color w:val="auto"/>
          <w:spacing w:val="6"/>
          <w:kern w:val="0"/>
          <w:szCs w:val="21"/>
          <w:lang w:val="en-US" w:eastAsia="zh-CN"/>
        </w:rPr>
        <w:br w:type="textWrapping"/>
      </w:r>
      <w:r>
        <w:rPr>
          <w:rFonts w:hint="eastAsia" w:ascii="宋体" w:hAnsi="宋体" w:eastAsia="宋体" w:cs="宋体"/>
          <w:color w:val="auto"/>
          <w:spacing w:val="6"/>
          <w:kern w:val="0"/>
          <w:szCs w:val="21"/>
          <w:lang w:val="en-US" w:eastAsia="zh-CN"/>
        </w:rPr>
        <w:t xml:space="preserve">    7.4、不见面开标操作说明详见郑州市公共资源交易中心网站办事指南栏目下政府采购专区中的《郑州市公共资源交易中心不见面开标大厅操作手册（供应商）V1.0》（http://zzggzy.zhengzhou.gov.cn/bszn/009003/subpage.html）。</w:t>
      </w:r>
    </w:p>
    <w:p>
      <w:pPr>
        <w:spacing w:line="360" w:lineRule="auto"/>
        <w:ind w:firstLine="444" w:firstLineChars="200"/>
        <w:rPr>
          <w:rFonts w:hint="eastAsia"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7.5、G包电动移位机支持进口；其他包不支持进口。</w:t>
      </w:r>
    </w:p>
    <w:p>
      <w:pPr>
        <w:spacing w:line="360" w:lineRule="auto"/>
        <w:ind w:firstLine="444" w:firstLineChars="200"/>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 xml:space="preserve">7.6、代理费用收取方式及标准：参照《河南省招标代理服务收费指导意见》豫招协【2023】002号收费标准计算，由成交人领取成交通知书前支付。 </w:t>
      </w:r>
    </w:p>
    <w:p>
      <w:pPr>
        <w:widowControl/>
        <w:shd w:val="clear" w:color="auto" w:fill="FFFFFF"/>
        <w:autoSpaceDE w:val="0"/>
        <w:autoSpaceDN w:val="0"/>
        <w:adjustRightInd w:val="0"/>
        <w:spacing w:before="96" w:after="96" w:line="360" w:lineRule="auto"/>
        <w:jc w:val="left"/>
        <w:outlineLvl w:val="0"/>
        <w:rPr>
          <w:rFonts w:ascii="宋体" w:hAnsi="宋体" w:eastAsia="宋体" w:cs="宋体"/>
          <w:b/>
          <w:bCs/>
          <w:color w:val="000000" w:themeColor="text1"/>
          <w:spacing w:val="6"/>
          <w:kern w:val="0"/>
          <w:szCs w:val="21"/>
          <w14:textFill>
            <w14:solidFill>
              <w14:schemeClr w14:val="tx1"/>
            </w14:solidFill>
          </w14:textFill>
        </w:rPr>
      </w:pPr>
      <w:bookmarkStart w:id="37" w:name="_Toc29710"/>
      <w:bookmarkStart w:id="38" w:name="_Toc24920"/>
      <w:bookmarkStart w:id="39" w:name="_Toc12607"/>
      <w:r>
        <w:rPr>
          <w:rFonts w:hint="eastAsia" w:ascii="宋体" w:hAnsi="宋体" w:eastAsia="宋体" w:cs="宋体"/>
          <w:b/>
          <w:bCs/>
          <w:color w:val="000000" w:themeColor="text1"/>
          <w:spacing w:val="6"/>
          <w:kern w:val="0"/>
          <w:szCs w:val="21"/>
          <w14:textFill>
            <w14:solidFill>
              <w14:schemeClr w14:val="tx1"/>
            </w14:solidFill>
          </w14:textFill>
        </w:rPr>
        <w:t>八、对本次招标提出询问，请按以下方式联系</w:t>
      </w:r>
      <w:bookmarkEnd w:id="36"/>
      <w:bookmarkEnd w:id="37"/>
      <w:bookmarkEnd w:id="38"/>
      <w:bookmarkEnd w:id="39"/>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采购人：</w:t>
      </w: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  址：</w:t>
      </w:r>
      <w:r>
        <w:rPr>
          <w:rFonts w:hint="eastAsia" w:ascii="宋体" w:hAnsi="宋体" w:eastAsia="宋体" w:cs="宋体"/>
          <w:color w:val="000000" w:themeColor="text1"/>
          <w:spacing w:val="6"/>
          <w:kern w:val="0"/>
          <w:szCs w:val="21"/>
          <w:lang w:val="en-US" w:eastAsia="zh-CN"/>
          <w14:textFill>
            <w14:solidFill>
              <w14:schemeClr w14:val="tx1"/>
            </w14:solidFill>
          </w14:textFill>
        </w:rPr>
        <w:t>郑州市沙口路25号</w:t>
      </w:r>
    </w:p>
    <w:p>
      <w:pPr>
        <w:autoSpaceDE w:val="0"/>
        <w:autoSpaceDN w:val="0"/>
        <w:adjustRightInd w:val="0"/>
        <w:spacing w:line="360" w:lineRule="auto"/>
        <w:ind w:firstLine="444" w:firstLineChars="200"/>
        <w:jc w:val="left"/>
        <w:rPr>
          <w:rFonts w:hint="default" w:ascii="宋体" w:hAnsi="宋体" w:eastAsia="宋体" w:cs="宋体"/>
          <w:color w:val="000000" w:themeColor="text1"/>
          <w:spacing w:val="6"/>
          <w:kern w:val="0"/>
          <w:szCs w:val="21"/>
          <w:lang w:val="en-US"/>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w:t>
      </w:r>
      <w:r>
        <w:rPr>
          <w:rFonts w:hint="eastAsia" w:ascii="宋体" w:hAnsi="宋体" w:eastAsia="宋体" w:cs="宋体"/>
          <w:color w:val="000000" w:themeColor="text1"/>
          <w:spacing w:val="6"/>
          <w:kern w:val="0"/>
          <w:szCs w:val="21"/>
          <w:lang w:val="en-US" w:eastAsia="zh-CN"/>
          <w14:textFill>
            <w14:solidFill>
              <w14:schemeClr w14:val="tx1"/>
            </w14:solidFill>
          </w14:textFill>
        </w:rPr>
        <w:t>陆潇</w:t>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  话：</w:t>
      </w:r>
      <w:r>
        <w:rPr>
          <w:rFonts w:hint="eastAsia" w:ascii="宋体" w:hAnsi="宋体" w:eastAsia="宋体" w:cs="宋体"/>
          <w:color w:val="000000" w:themeColor="text1"/>
          <w:spacing w:val="6"/>
          <w:kern w:val="0"/>
          <w:szCs w:val="21"/>
          <w:lang w:val="en-US" w:eastAsia="zh-CN"/>
          <w14:textFill>
            <w14:solidFill>
              <w14:schemeClr w14:val="tx1"/>
            </w14:solidFill>
          </w14:textFill>
        </w:rPr>
        <w:t>0371-58678657</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采购代理机构：河南省机电设备国际招标有限公司</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地址：郑州市管城区黄河南路与商都路交汇处西南角财信大厦14-15层</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r>
        <w:rPr>
          <w:rFonts w:hint="eastAsia" w:ascii="宋体" w:hAnsi="宋体" w:eastAsia="宋体" w:cs="宋体"/>
          <w:color w:val="000000" w:themeColor="text1"/>
          <w:spacing w:val="6"/>
          <w:kern w:val="0"/>
          <w:szCs w:val="21"/>
          <w14:textFill>
            <w14:solidFill>
              <w14:schemeClr w14:val="tx1"/>
            </w14:solidFill>
          </w14:textFill>
        </w:rPr>
        <w:tab/>
      </w:r>
    </w:p>
    <w:p>
      <w:pPr>
        <w:autoSpaceDE w:val="0"/>
        <w:autoSpaceDN w:val="0"/>
        <w:adjustRightInd w:val="0"/>
        <w:spacing w:line="360" w:lineRule="auto"/>
        <w:ind w:firstLine="444" w:firstLineChars="200"/>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电话：0371-65949196</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项目联系方式</w:t>
      </w:r>
    </w:p>
    <w:p>
      <w:pPr>
        <w:autoSpaceDE w:val="0"/>
        <w:autoSpaceDN w:val="0"/>
        <w:adjustRightInd w:val="0"/>
        <w:spacing w:line="360" w:lineRule="auto"/>
        <w:ind w:firstLine="444" w:firstLineChars="200"/>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项目联系人：张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60" w:lineRule="auto"/>
        <w:ind w:firstLine="444" w:firstLineChars="200"/>
        <w:jc w:val="left"/>
        <w:rPr>
          <w:rFonts w:ascii="宋体" w:hAnsi="宋体" w:eastAsia="宋体" w:cs="宋体"/>
          <w:color w:val="000000" w:themeColor="text1"/>
          <w:kern w:val="0"/>
          <w:szCs w:val="21"/>
          <w14:textFill>
            <w14:solidFill>
              <w14:schemeClr w14:val="tx1"/>
            </w14:solidFill>
          </w14:textFill>
        </w:rPr>
        <w:sectPr>
          <w:headerReference r:id="rId6" w:type="default"/>
          <w:footerReference r:id="rId7" w:type="default"/>
          <w:pgSz w:w="11920" w:h="16850"/>
          <w:pgMar w:top="1360" w:right="1100" w:bottom="1220" w:left="1100" w:header="0" w:footer="1009" w:gutter="0"/>
          <w:pgNumType w:fmt="numberInDash" w:start="1"/>
          <w:cols w:space="720" w:num="1"/>
        </w:sectPr>
      </w:pPr>
      <w:r>
        <w:rPr>
          <w:rFonts w:hint="eastAsia" w:ascii="宋体" w:hAnsi="宋体" w:eastAsia="宋体" w:cs="宋体"/>
          <w:color w:val="000000" w:themeColor="text1"/>
          <w:spacing w:val="6"/>
          <w:kern w:val="0"/>
          <w:szCs w:val="21"/>
          <w14:textFill>
            <w14:solidFill>
              <w14:schemeClr w14:val="tx1"/>
            </w14:solidFill>
          </w14:textFill>
        </w:rPr>
        <w:t>电话：</w:t>
      </w:r>
      <w:r>
        <w:rPr>
          <w:rFonts w:hint="eastAsia" w:ascii="宋体" w:hAnsi="宋体" w:eastAsia="宋体" w:cs="宋体"/>
          <w:color w:val="000000" w:themeColor="text1"/>
          <w:kern w:val="0"/>
          <w:szCs w:val="21"/>
          <w14:textFill>
            <w14:solidFill>
              <w14:schemeClr w14:val="tx1"/>
            </w14:solidFill>
          </w14:textFill>
        </w:rPr>
        <w:t>0371-65949196</w:t>
      </w:r>
    </w:p>
    <w:p>
      <w:pPr>
        <w:kinsoku w:val="0"/>
        <w:overflowPunct w:val="0"/>
        <w:autoSpaceDE w:val="0"/>
        <w:autoSpaceDN w:val="0"/>
        <w:adjustRightInd w:val="0"/>
        <w:spacing w:line="395" w:lineRule="exact"/>
        <w:ind w:left="2308"/>
        <w:jc w:val="left"/>
        <w:outlineLvl w:val="0"/>
        <w:rPr>
          <w:rFonts w:ascii="宋体" w:hAnsi="Times New Roman" w:eastAsia="宋体" w:cs="宋体"/>
          <w:color w:val="000000" w:themeColor="text1"/>
          <w:kern w:val="0"/>
          <w:sz w:val="32"/>
          <w:szCs w:val="32"/>
          <w14:textFill>
            <w14:solidFill>
              <w14:schemeClr w14:val="tx1"/>
            </w14:solidFill>
          </w14:textFill>
        </w:rPr>
      </w:pPr>
      <w:bookmarkStart w:id="40" w:name="_Toc28656"/>
      <w:bookmarkStart w:id="41" w:name="_Toc16773"/>
      <w:bookmarkStart w:id="42" w:name="_Toc6169"/>
      <w:r>
        <w:rPr>
          <w:rFonts w:hint="eastAsia" w:ascii="宋体" w:hAnsi="Times New Roman" w:eastAsia="宋体" w:cs="宋体"/>
          <w:b/>
          <w:bCs/>
          <w:color w:val="000000" w:themeColor="text1"/>
          <w:spacing w:val="2"/>
          <w:kern w:val="0"/>
          <w:sz w:val="32"/>
          <w:szCs w:val="32"/>
          <w14:textFill>
            <w14:solidFill>
              <w14:schemeClr w14:val="tx1"/>
            </w14:solidFill>
          </w14:textFill>
        </w:rPr>
        <w:t>第二章</w:t>
      </w:r>
      <w:r>
        <w:rPr>
          <w:rFonts w:ascii="宋体" w:hAnsi="Times New Roman" w:eastAsia="宋体" w:cs="宋体"/>
          <w:b/>
          <w:bCs/>
          <w:color w:val="000000" w:themeColor="text1"/>
          <w:spacing w:val="-11"/>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供应商须知供应商须知前附表</w:t>
      </w:r>
      <w:bookmarkEnd w:id="40"/>
      <w:bookmarkEnd w:id="41"/>
      <w:bookmarkEnd w:id="42"/>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0"/>
          <w:szCs w:val="20"/>
          <w14:textFill>
            <w14:solidFill>
              <w14:schemeClr w14:val="tx1"/>
            </w14:solidFill>
          </w14:textFill>
        </w:rPr>
      </w:pPr>
    </w:p>
    <w:p>
      <w:pPr>
        <w:kinsoku w:val="0"/>
        <w:overflowPunct w:val="0"/>
        <w:autoSpaceDE w:val="0"/>
        <w:autoSpaceDN w:val="0"/>
        <w:adjustRightInd w:val="0"/>
        <w:spacing w:before="6"/>
        <w:jc w:val="left"/>
        <w:rPr>
          <w:rFonts w:ascii="Times New Roman" w:hAnsi="Times New Roman" w:eastAsia="宋体" w:cs="Times New Roman"/>
          <w:b/>
          <w:bCs/>
          <w:color w:val="000000" w:themeColor="text1"/>
          <w:kern w:val="0"/>
          <w:sz w:val="10"/>
          <w:szCs w:val="10"/>
          <w14:textFill>
            <w14:solidFill>
              <w14:schemeClr w14:val="tx1"/>
            </w14:solidFill>
          </w14:textFill>
        </w:rPr>
      </w:pPr>
    </w:p>
    <w:tbl>
      <w:tblPr>
        <w:tblStyle w:val="18"/>
        <w:tblW w:w="0" w:type="auto"/>
        <w:jc w:val="center"/>
        <w:tblLayout w:type="fixed"/>
        <w:tblCellMar>
          <w:top w:w="0" w:type="dxa"/>
          <w:left w:w="0" w:type="dxa"/>
          <w:bottom w:w="0" w:type="dxa"/>
          <w:right w:w="0" w:type="dxa"/>
        </w:tblCellMar>
      </w:tblPr>
      <w:tblGrid>
        <w:gridCol w:w="1029"/>
        <w:gridCol w:w="1703"/>
        <w:gridCol w:w="6786"/>
      </w:tblGrid>
      <w:tr>
        <w:tblPrEx>
          <w:tblCellMar>
            <w:top w:w="0" w:type="dxa"/>
            <w:left w:w="0" w:type="dxa"/>
            <w:bottom w:w="0" w:type="dxa"/>
            <w:right w:w="0" w:type="dxa"/>
          </w:tblCellMar>
        </w:tblPrEx>
        <w:trPr>
          <w:trHeight w:val="624" w:hRule="exact"/>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51"/>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条款号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36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条款名称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before="171"/>
              <w:ind w:left="117"/>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编列内容 </w:t>
            </w:r>
          </w:p>
        </w:tc>
      </w:tr>
      <w:tr>
        <w:tblPrEx>
          <w:tblCellMar>
            <w:top w:w="0" w:type="dxa"/>
            <w:left w:w="0" w:type="dxa"/>
            <w:bottom w:w="0" w:type="dxa"/>
            <w:right w:w="0" w:type="dxa"/>
          </w:tblCellMar>
        </w:tblPrEx>
        <w:trPr>
          <w:trHeight w:val="156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w:t>
            </w:r>
            <w:r>
              <w:rPr>
                <w:rFonts w:hint="eastAsia" w:ascii="宋体" w:hAnsi="宋体" w:eastAsia="宋体" w:cs="宋体"/>
                <w:color w:val="000000" w:themeColor="text1"/>
                <w:kern w:val="0"/>
                <w:szCs w:val="21"/>
                <w:lang w:eastAsia="zh-CN"/>
                <w14:textFill>
                  <w14:solidFill>
                    <w14:schemeClr w14:val="tx1"/>
                  </w14:solidFill>
                </w14:textFill>
              </w:rPr>
              <w:t>郑州市第九人民医院</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w:t>
            </w:r>
            <w:r>
              <w:rPr>
                <w:rFonts w:hint="eastAsia" w:ascii="宋体" w:hAnsi="宋体" w:eastAsia="宋体" w:cs="宋体"/>
                <w:color w:val="000000" w:themeColor="text1"/>
                <w:kern w:val="0"/>
                <w:szCs w:val="21"/>
                <w:lang w:val="en-US" w:eastAsia="zh-CN"/>
                <w14:textFill>
                  <w14:solidFill>
                    <w14:schemeClr w14:val="tx1"/>
                  </w14:solidFill>
                </w14:textFill>
              </w:rPr>
              <w:t>郑州市沙口路25号</w:t>
            </w:r>
          </w:p>
          <w:p>
            <w:pPr>
              <w:autoSpaceDE w:val="0"/>
              <w:autoSpaceDN w:val="0"/>
              <w:adjustRightInd w:val="0"/>
              <w:spacing w:line="390" w:lineRule="exact"/>
              <w:jc w:val="left"/>
              <w:rPr>
                <w:rFonts w:hint="default" w:ascii="宋体" w:hAnsi="宋体" w:eastAsia="宋体" w:cs="宋体"/>
                <w:color w:val="000000" w:themeColor="text1"/>
                <w:kern w:val="0"/>
                <w:szCs w:val="21"/>
                <w:lang w:val="en-US"/>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w:t>
            </w:r>
            <w:r>
              <w:rPr>
                <w:rFonts w:hint="eastAsia" w:ascii="宋体" w:hAnsi="宋体" w:eastAsia="宋体" w:cs="宋体"/>
                <w:color w:val="000000" w:themeColor="text1"/>
                <w:kern w:val="0"/>
                <w:szCs w:val="21"/>
                <w:lang w:val="en-US" w:eastAsia="zh-CN"/>
                <w14:textFill>
                  <w14:solidFill>
                    <w14:schemeClr w14:val="tx1"/>
                  </w14:solidFill>
                </w14:textFill>
              </w:rPr>
              <w:t>陆潇</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kern w:val="0"/>
                <w:szCs w:val="21"/>
                <w:lang w:val="en-US" w:eastAsia="zh-CN"/>
                <w14:textFill>
                  <w14:solidFill>
                    <w14:schemeClr w14:val="tx1"/>
                  </w14:solidFill>
                </w14:textFill>
              </w:rPr>
              <w:t>0371-58678657</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1981"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1.2.3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采购代理机构</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代理机构：河南省机电设备国际招标有限公司 </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 系 人：</w:t>
            </w:r>
            <w:r>
              <w:rPr>
                <w:rFonts w:hint="eastAsia" w:ascii="宋体" w:hAnsi="宋体" w:eastAsia="宋体" w:cs="宋体"/>
                <w:color w:val="000000" w:themeColor="text1"/>
                <w:spacing w:val="6"/>
                <w:kern w:val="0"/>
                <w:szCs w:val="21"/>
                <w14:textFill>
                  <w14:solidFill>
                    <w14:schemeClr w14:val="tx1"/>
                  </w14:solidFill>
                </w14:textFill>
              </w:rPr>
              <w:t>张</w:t>
            </w:r>
            <w:r>
              <w:rPr>
                <w:rFonts w:hint="eastAsia" w:ascii="宋体" w:hAnsi="宋体" w:eastAsia="宋体" w:cs="宋体"/>
                <w:color w:val="000000" w:themeColor="text1"/>
                <w:spacing w:val="6"/>
                <w:kern w:val="0"/>
                <w:szCs w:val="21"/>
                <w:lang w:eastAsia="zh-CN"/>
                <w14:textFill>
                  <w14:solidFill>
                    <w14:schemeClr w14:val="tx1"/>
                  </w14:solidFill>
                </w14:textFill>
              </w:rPr>
              <w:t>照明、王恺</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    话：</w:t>
            </w:r>
            <w:r>
              <w:rPr>
                <w:rFonts w:hint="eastAsia" w:ascii="宋体" w:hAnsi="宋体" w:eastAsia="宋体" w:cs="宋体"/>
                <w:color w:val="000000" w:themeColor="text1"/>
                <w:spacing w:val="6"/>
                <w:kern w:val="0"/>
                <w:szCs w:val="21"/>
                <w14:textFill>
                  <w14:solidFill>
                    <w14:schemeClr w14:val="tx1"/>
                  </w14:solidFill>
                </w14:textFill>
              </w:rPr>
              <w:t>0371-65949196</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    址：郑州市管城区黄河南路与商都路交汇处西南角财信大厦14-15层</w:t>
            </w:r>
          </w:p>
          <w:p>
            <w:pPr>
              <w:autoSpaceDE w:val="0"/>
              <w:autoSpaceDN w:val="0"/>
              <w:adjustRightInd w:val="0"/>
              <w:spacing w:line="39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邮    箱：</w:t>
            </w:r>
            <w:r>
              <w:rPr>
                <w:rFonts w:hint="eastAsia" w:ascii="宋体" w:hAnsi="宋体" w:cs="宋体"/>
                <w:color w:val="000000" w:themeColor="text1"/>
                <w:spacing w:val="6"/>
                <w:kern w:val="0"/>
                <w:szCs w:val="21"/>
                <w:lang w:val="en-US" w:eastAsia="zh-CN"/>
                <w14:textFill>
                  <w14:solidFill>
                    <w14:schemeClr w14:val="tx1"/>
                  </w14:solidFill>
                </w14:textFill>
              </w:rPr>
              <w:t>zhaobiao04@163.com</w:t>
            </w:r>
          </w:p>
          <w:p>
            <w:pPr>
              <w:widowControl/>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5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r>
              <w:rPr>
                <w:rFonts w:ascii="Times New Roman" w:hAnsi="Times New Roman" w:eastAsia="宋体" w:cs="Times New Roman"/>
                <w:b/>
                <w:bCs/>
                <w:color w:val="000000" w:themeColor="text1"/>
                <w:w w:val="99"/>
                <w:kern w:val="0"/>
                <w:sz w:val="48"/>
                <w:szCs w:val="48"/>
                <w14:textFill>
                  <w14:solidFill>
                    <w14:schemeClr w14:val="tx1"/>
                  </w14:solidFill>
                </w14:textFill>
              </w:rPr>
              <w:t xml:space="preserve">  </w:t>
            </w:r>
          </w:p>
        </w:tc>
      </w:tr>
      <w:tr>
        <w:tblPrEx>
          <w:tblCellMar>
            <w:top w:w="0" w:type="dxa"/>
            <w:left w:w="0" w:type="dxa"/>
            <w:bottom w:w="0" w:type="dxa"/>
            <w:right w:w="0" w:type="dxa"/>
          </w:tblCellMar>
        </w:tblPrEx>
        <w:trPr>
          <w:trHeight w:val="50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highlight w:val="none"/>
              </w:rPr>
              <w:t>采购编号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left"/>
              <w:rPr>
                <w:rFonts w:hint="default" w:ascii="宋体" w:hAnsi="宋体" w:eastAsia="宋体" w:cs="宋体"/>
                <w:color w:val="auto"/>
                <w:kern w:val="0"/>
                <w:szCs w:val="21"/>
                <w:lang w:val="en-US" w:eastAsia="zh-CN"/>
              </w:rPr>
            </w:pPr>
            <w:r>
              <w:rPr>
                <w:rFonts w:hint="eastAsia" w:ascii="宋体" w:hAnsi="宋体" w:eastAsia="宋体" w:cs="宋体"/>
                <w:color w:val="auto"/>
                <w:spacing w:val="6"/>
                <w:kern w:val="0"/>
                <w:szCs w:val="21"/>
                <w:highlight w:val="none"/>
                <w:lang w:val="en-US" w:eastAsia="zh-CN"/>
              </w:rPr>
              <w:t>郑财招标采购-2023-278</w:t>
            </w:r>
          </w:p>
        </w:tc>
      </w:tr>
      <w:tr>
        <w:tblPrEx>
          <w:tblCellMar>
            <w:top w:w="0" w:type="dxa"/>
            <w:left w:w="0" w:type="dxa"/>
            <w:bottom w:w="0" w:type="dxa"/>
            <w:right w:w="0" w:type="dxa"/>
          </w:tblCellMar>
        </w:tblPrEx>
        <w:trPr>
          <w:trHeight w:val="76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1.3.3</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招标内容</w:t>
            </w:r>
          </w:p>
        </w:tc>
        <w:tc>
          <w:tcPr>
            <w:tcW w:w="6786" w:type="dxa"/>
            <w:tcBorders>
              <w:top w:val="single" w:color="000000" w:sz="4" w:space="0"/>
              <w:left w:val="single" w:color="000000" w:sz="4" w:space="0"/>
              <w:bottom w:val="single" w:color="000000" w:sz="4" w:space="0"/>
              <w:right w:val="single" w:color="000000" w:sz="4" w:space="0"/>
            </w:tcBorders>
          </w:tcPr>
          <w:p>
            <w:pPr>
              <w:autoSpaceDE w:val="0"/>
              <w:autoSpaceDN w:val="0"/>
              <w:adjustRightInd w:val="0"/>
              <w:spacing w:line="390" w:lineRule="exact"/>
              <w:jc w:val="left"/>
              <w:rPr>
                <w:rFonts w:hint="eastAsia" w:ascii="宋体" w:hAnsi="宋体" w:eastAsia="宋体" w:cs="宋体"/>
                <w:color w:val="auto"/>
                <w:kern w:val="0"/>
                <w:szCs w:val="21"/>
                <w:highlight w:val="none"/>
                <w:lang w:val="en-US"/>
              </w:rPr>
            </w:pPr>
            <w:r>
              <w:rPr>
                <w:rFonts w:hint="eastAsia" w:ascii="宋体" w:hAnsi="宋体" w:eastAsia="宋体" w:cs="宋体"/>
                <w:color w:val="auto"/>
                <w:kern w:val="0"/>
                <w:szCs w:val="21"/>
                <w:highlight w:val="none"/>
                <w:lang w:val="en-US" w:eastAsia="zh-CN"/>
              </w:rPr>
              <w:t>郑州市第九人民医院</w:t>
            </w:r>
            <w:r>
              <w:rPr>
                <w:rFonts w:hint="eastAsia" w:ascii="宋体" w:hAnsi="宋体" w:eastAsia="宋体" w:cs="宋体"/>
                <w:color w:val="auto"/>
                <w:kern w:val="0"/>
                <w:szCs w:val="21"/>
                <w:highlight w:val="none"/>
                <w:lang w:val="en-US"/>
              </w:rPr>
              <w:t>所需的设备采购、安装、调试、运行及相关伴随服务和质保服务。</w:t>
            </w:r>
          </w:p>
        </w:tc>
      </w:tr>
      <w:tr>
        <w:tblPrEx>
          <w:tblCellMar>
            <w:top w:w="0" w:type="dxa"/>
            <w:left w:w="0" w:type="dxa"/>
            <w:bottom w:w="0" w:type="dxa"/>
            <w:right w:w="0" w:type="dxa"/>
          </w:tblCellMar>
        </w:tblPrEx>
        <w:trPr>
          <w:trHeight w:val="55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1.3.4</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交货期</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90日历天</w:t>
            </w:r>
          </w:p>
        </w:tc>
      </w:tr>
      <w:tr>
        <w:tblPrEx>
          <w:tblCellMar>
            <w:top w:w="0" w:type="dxa"/>
            <w:left w:w="0" w:type="dxa"/>
            <w:bottom w:w="0" w:type="dxa"/>
            <w:right w:w="0" w:type="dxa"/>
          </w:tblCellMar>
        </w:tblPrEx>
        <w:trPr>
          <w:trHeight w:val="418"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1.3.5</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center"/>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交货地点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90" w:lineRule="exact"/>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lang w:eastAsia="zh-CN"/>
                <w14:textFill>
                  <w14:solidFill>
                    <w14:schemeClr w14:val="tx1"/>
                  </w14:solidFill>
                </w14:textFill>
              </w:rPr>
              <w:t>郑州市第九人民医院</w:t>
            </w:r>
            <w:r>
              <w:rPr>
                <w:rFonts w:hint="eastAsia" w:ascii="宋体" w:hAnsi="宋体" w:eastAsia="宋体" w:cs="宋体"/>
                <w:color w:val="000000" w:themeColor="text1"/>
                <w:spacing w:val="6"/>
                <w:kern w:val="0"/>
                <w:szCs w:val="21"/>
                <w14:textFill>
                  <w14:solidFill>
                    <w14:schemeClr w14:val="tx1"/>
                  </w14:solidFill>
                </w14:textFill>
              </w:rPr>
              <w:t>指定地点</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1.3.6</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质保期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default" w:ascii="宋体" w:hAnsi="宋体" w:eastAsia="宋体" w:cs="宋体"/>
                <w:color w:val="auto"/>
                <w:spacing w:val="6"/>
                <w:kern w:val="0"/>
                <w:szCs w:val="21"/>
                <w:lang w:val="en-US" w:eastAsia="zh-CN"/>
              </w:rPr>
            </w:pPr>
            <w:r>
              <w:rPr>
                <w:rFonts w:hint="eastAsia" w:ascii="宋体" w:hAnsi="宋体" w:eastAsia="宋体" w:cs="宋体"/>
                <w:color w:val="auto"/>
                <w:spacing w:val="6"/>
                <w:kern w:val="0"/>
                <w:szCs w:val="21"/>
                <w:lang w:val="en-US" w:eastAsia="zh-CN"/>
              </w:rPr>
              <w:t>3年</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1.3.7</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auto"/>
                <w:kern w:val="0"/>
                <w:szCs w:val="21"/>
              </w:rPr>
            </w:pPr>
            <w:r>
              <w:rPr>
                <w:rFonts w:hint="eastAsia" w:ascii="宋体" w:hAnsi="宋体" w:eastAsia="宋体" w:cs="宋体"/>
                <w:color w:val="auto"/>
                <w:kern w:val="0"/>
                <w:szCs w:val="21"/>
              </w:rPr>
              <w:t>质量</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auto"/>
                <w:spacing w:val="6"/>
                <w:kern w:val="0"/>
                <w:szCs w:val="21"/>
              </w:rPr>
            </w:pPr>
            <w:r>
              <w:rPr>
                <w:rFonts w:hint="eastAsia" w:ascii="宋体" w:hAnsi="宋体" w:eastAsia="宋体" w:cs="宋体"/>
                <w:color w:val="auto"/>
                <w:spacing w:val="6"/>
                <w:kern w:val="0"/>
                <w:szCs w:val="21"/>
              </w:rPr>
              <w:t>合格</w:t>
            </w:r>
          </w:p>
        </w:tc>
      </w:tr>
      <w:tr>
        <w:tblPrEx>
          <w:tblCellMar>
            <w:top w:w="0" w:type="dxa"/>
            <w:left w:w="0" w:type="dxa"/>
            <w:bottom w:w="0" w:type="dxa"/>
            <w:right w:w="0" w:type="dxa"/>
          </w:tblCellMar>
        </w:tblPrEx>
        <w:trPr>
          <w:trHeight w:val="443"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1.3.8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标段</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03"/>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本项目分为七个标段</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供货商资格要求</w:t>
            </w:r>
          </w:p>
        </w:tc>
        <w:tc>
          <w:tcPr>
            <w:tcW w:w="6786" w:type="dxa"/>
            <w:tcBorders>
              <w:top w:val="single" w:color="000000" w:sz="4" w:space="0"/>
              <w:left w:val="single" w:color="000000" w:sz="4" w:space="0"/>
              <w:bottom w:val="single" w:color="000000" w:sz="4" w:space="0"/>
              <w:right w:val="single" w:color="000000" w:sz="4" w:space="0"/>
            </w:tcBorders>
          </w:tcPr>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1、满足《中华人民共和国政府采购法》第二十二条规定；</w:t>
            </w:r>
          </w:p>
          <w:p>
            <w:pPr>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2、落实政府采购政策需满足的资格要求：</w:t>
            </w:r>
            <w:r>
              <w:rPr>
                <w:rFonts w:hint="eastAsia" w:ascii="宋体" w:hAnsi="宋体" w:eastAsia="宋体" w:cs="宋体"/>
                <w:color w:val="000000" w:themeColor="text1"/>
                <w:spacing w:val="6"/>
                <w:kern w:val="0"/>
                <w:szCs w:val="21"/>
                <w:lang w:val="en-US" w:eastAsia="zh-CN"/>
                <w14:textFill>
                  <w14:solidFill>
                    <w14:schemeClr w14:val="tx1"/>
                  </w14:solidFill>
                </w14:textFill>
              </w:rPr>
              <w:t>无。</w:t>
            </w:r>
          </w:p>
          <w:p>
            <w:pPr>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3、本项目的特定资格要求：</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3.1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p>
          <w:p>
            <w:pPr>
              <w:wordWrap w:val="0"/>
              <w:spacing w:line="36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lang w:val="en-US" w:eastAsia="zh-CN"/>
                <w14:textFill>
                  <w14:solidFill>
                    <w14:schemeClr w14:val="tx1"/>
                  </w14:solidFill>
                </w14:textFill>
              </w:rPr>
              <w:t>3.2投标产品须符合中华人民共和国国务院令第739号《医疗器械监督管理条例》相关规定，应具有有效期内的医疗器械注册证或医疗器械产品备案凭证。</w:t>
            </w:r>
          </w:p>
          <w:p>
            <w:pPr>
              <w:wordWrap w:val="0"/>
              <w:spacing w:line="360" w:lineRule="auto"/>
              <w:jc w:val="left"/>
              <w:rPr>
                <w:rFonts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3</w:t>
            </w:r>
            <w:r>
              <w:rPr>
                <w:rFonts w:hint="eastAsia" w:ascii="宋体" w:hAnsi="宋体" w:eastAsia="宋体" w:cs="宋体"/>
                <w:color w:val="000000" w:themeColor="text1"/>
                <w:spacing w:val="6"/>
                <w:kern w:val="0"/>
                <w:szCs w:val="21"/>
                <w14:textFill>
                  <w14:solidFill>
                    <w14:schemeClr w14:val="tx1"/>
                  </w14:solidFill>
                </w14:textFill>
              </w:rPr>
              <w:t>、根据《关于在政府采购活动中查询及使用信用记录有关问题的通知》(财库[2016]125号) 和豫财购[2016]15号的规定，对列入失信被执行人、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、政府采购严重违法失信行为记录名单的企业，拒绝参与本项目政府采购活动（查询渠道：“信用中国”网站（www.creditchina.gov.cn）查询：列入失信被执行人、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、中国政府采购网（www.ccgp.gov.cn）：政府采购严重违法失信行为记录名单）注：采购代理机构在开标当天将对所有参与本项目投标的供应商的信用情况（失信被执行人、</w:t>
            </w:r>
            <w:r>
              <w:rPr>
                <w:rFonts w:hint="eastAsia" w:ascii="宋体" w:hAnsi="宋体" w:eastAsia="宋体" w:cs="宋体"/>
                <w:color w:val="000000" w:themeColor="text1"/>
                <w:spacing w:val="6"/>
                <w:kern w:val="0"/>
                <w:szCs w:val="21"/>
                <w:lang w:eastAsia="zh-CN"/>
                <w14:textFill>
                  <w14:solidFill>
                    <w14:schemeClr w14:val="tx1"/>
                  </w14:solidFill>
                </w14:textFill>
              </w:rPr>
              <w:t>重大税收违法失信主体</w:t>
            </w:r>
            <w:r>
              <w:rPr>
                <w:rFonts w:hint="eastAsia" w:ascii="宋体" w:hAnsi="宋体" w:eastAsia="宋体" w:cs="宋体"/>
                <w:color w:val="000000" w:themeColor="text1"/>
                <w:spacing w:val="6"/>
                <w:kern w:val="0"/>
                <w:szCs w:val="21"/>
                <w14:textFill>
                  <w14:solidFill>
                    <w14:schemeClr w14:val="tx1"/>
                  </w14:solidFill>
                </w14:textFill>
              </w:rPr>
              <w:t>、政府采购严重违法失信行为记录名单）进行查询、打印留存。若在开标当天查询到供应商有相关负面信息的，则该供应商为无效供应商。</w:t>
            </w:r>
          </w:p>
          <w:p>
            <w:pPr>
              <w:wordWrap w:val="0"/>
              <w:spacing w:line="360" w:lineRule="auto"/>
              <w:jc w:val="left"/>
              <w:rPr>
                <w:rFonts w:hint="eastAsia" w:ascii="宋体" w:hAnsi="宋体" w:eastAsia="宋体" w:cs="宋体"/>
                <w:color w:val="000000" w:themeColor="text1"/>
                <w:spacing w:val="6"/>
                <w:kern w:val="0"/>
                <w:szCs w:val="21"/>
                <w:lang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4</w:t>
            </w:r>
            <w:r>
              <w:rPr>
                <w:rFonts w:hint="eastAsia" w:ascii="宋体" w:hAnsi="宋体" w:eastAsia="宋体" w:cs="宋体"/>
                <w:color w:val="000000" w:themeColor="text1"/>
                <w:spacing w:val="6"/>
                <w:kern w:val="0"/>
                <w:szCs w:val="21"/>
                <w14:textFill>
                  <w14:solidFill>
                    <w14:schemeClr w14:val="tx1"/>
                  </w14:solidFill>
                </w14:textFill>
              </w:rPr>
              <w:t>、单位负责人为同一人或者存在直接控股、管理关系的不同供应商，不得参加同一合同项下</w:t>
            </w:r>
            <w:r>
              <w:rPr>
                <w:rFonts w:hint="eastAsia" w:ascii="宋体" w:hAnsi="宋体" w:eastAsia="宋体" w:cs="宋体"/>
                <w:color w:val="000000" w:themeColor="text1"/>
                <w:spacing w:val="6"/>
                <w:kern w:val="0"/>
                <w:szCs w:val="21"/>
                <w:lang w:eastAsia="zh-CN"/>
                <w14:textFill>
                  <w14:solidFill>
                    <w14:schemeClr w14:val="tx1"/>
                  </w14:solidFill>
                </w14:textFill>
              </w:rPr>
              <w:t>同一标段</w:t>
            </w:r>
            <w:r>
              <w:rPr>
                <w:rFonts w:hint="eastAsia" w:ascii="宋体" w:hAnsi="宋体" w:eastAsia="宋体" w:cs="宋体"/>
                <w:color w:val="000000" w:themeColor="text1"/>
                <w:spacing w:val="6"/>
                <w:kern w:val="0"/>
                <w:szCs w:val="21"/>
                <w14:textFill>
                  <w14:solidFill>
                    <w14:schemeClr w14:val="tx1"/>
                  </w14:solidFill>
                </w14:textFill>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ascii="宋体" w:hAnsi="宋体" w:eastAsia="宋体" w:cs="宋体"/>
                <w:color w:val="000000" w:themeColor="text1"/>
                <w:spacing w:val="6"/>
                <w:kern w:val="0"/>
                <w:szCs w:val="21"/>
                <w14:textFill>
                  <w14:solidFill>
                    <w14:schemeClr w14:val="tx1"/>
                  </w14:solidFill>
                </w14:textFill>
              </w:rPr>
              <w:t>】</w:t>
            </w:r>
            <w:r>
              <w:rPr>
                <w:rFonts w:hint="eastAsia" w:ascii="宋体" w:hAnsi="宋体" w:eastAsia="宋体" w:cs="宋体"/>
                <w:color w:val="000000" w:themeColor="text1"/>
                <w:spacing w:val="6"/>
                <w:kern w:val="0"/>
                <w:szCs w:val="21"/>
                <w:lang w:eastAsia="zh-CN"/>
                <w14:textFill>
                  <w14:solidFill>
                    <w14:schemeClr w14:val="tx1"/>
                  </w14:solidFill>
                </w14:textFill>
              </w:rPr>
              <w:t>。</w:t>
            </w:r>
          </w:p>
          <w:p>
            <w:pPr>
              <w:spacing w:line="240" w:lineRule="auto"/>
              <w:jc w:val="left"/>
              <w:rPr>
                <w:rFonts w:hint="eastAsia" w:ascii="宋体" w:hAnsi="宋体" w:eastAsia="宋体" w:cs="宋体"/>
                <w:color w:val="000000" w:themeColor="text1"/>
                <w:spacing w:val="6"/>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3.</w:t>
            </w:r>
            <w:r>
              <w:rPr>
                <w:rFonts w:hint="eastAsia" w:ascii="宋体" w:hAnsi="宋体" w:eastAsia="宋体" w:cs="宋体"/>
                <w:color w:val="000000" w:themeColor="text1"/>
                <w:spacing w:val="6"/>
                <w:kern w:val="0"/>
                <w:szCs w:val="21"/>
                <w:lang w:val="en-US" w:eastAsia="zh-CN"/>
                <w14:textFill>
                  <w14:solidFill>
                    <w14:schemeClr w14:val="tx1"/>
                  </w14:solidFill>
                </w14:textFill>
              </w:rPr>
              <w:t>5</w:t>
            </w:r>
            <w:r>
              <w:rPr>
                <w:rFonts w:hint="eastAsia" w:ascii="宋体" w:hAnsi="宋体" w:eastAsia="宋体" w:cs="宋体"/>
                <w:color w:val="000000" w:themeColor="text1"/>
                <w:spacing w:val="6"/>
                <w:kern w:val="0"/>
                <w:szCs w:val="21"/>
                <w14:textFill>
                  <w14:solidFill>
                    <w14:schemeClr w14:val="tx1"/>
                  </w14:solidFill>
                </w14:textFill>
              </w:rPr>
              <w:t>、本项目不接受联合体投标。</w:t>
            </w:r>
            <w:r>
              <w:rPr>
                <w:rFonts w:hint="eastAsia" w:ascii="宋体" w:hAnsi="宋体" w:eastAsia="宋体" w:cs="宋体"/>
                <w:color w:val="000000" w:themeColor="text1"/>
                <w:spacing w:val="6"/>
                <w:kern w:val="0"/>
                <w:szCs w:val="21"/>
                <w14:textFill>
                  <w14:solidFill>
                    <w14:schemeClr w14:val="tx1"/>
                  </w14:solidFill>
                </w14:textFill>
              </w:rPr>
              <w:tab/>
            </w:r>
          </w:p>
        </w:tc>
      </w:tr>
      <w:tr>
        <w:tblPrEx>
          <w:tblCellMar>
            <w:top w:w="0" w:type="dxa"/>
            <w:left w:w="0" w:type="dxa"/>
            <w:bottom w:w="0" w:type="dxa"/>
            <w:right w:w="0" w:type="dxa"/>
          </w:tblCellMar>
        </w:tblPrEx>
        <w:trPr>
          <w:trHeight w:val="844"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1.4.2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是否接受</w:t>
            </w:r>
          </w:p>
          <w:p>
            <w:pPr>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联合体投标</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本项目不接受联合体投标。</w:t>
            </w:r>
          </w:p>
        </w:tc>
      </w:tr>
      <w:tr>
        <w:tblPrEx>
          <w:tblCellMar>
            <w:top w:w="0" w:type="dxa"/>
            <w:left w:w="0" w:type="dxa"/>
            <w:bottom w:w="0" w:type="dxa"/>
            <w:right w:w="0" w:type="dxa"/>
          </w:tblCellMar>
        </w:tblPrEx>
        <w:trPr>
          <w:trHeight w:val="1529" w:hRule="exac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1.6.1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法律适用</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本次招标属政府采购项目，采购人、代理机构、供应商、评审专家的相关行为均受《中华人民共和国政府采购法》、《中华人民共和国政府采购法实施条例》、财政部及河南省政府采购有关法律法规的约束，其权利受到上述法律法规的保护。</w:t>
            </w:r>
          </w:p>
        </w:tc>
      </w:tr>
      <w:tr>
        <w:tblPrEx>
          <w:tblCellMar>
            <w:top w:w="0" w:type="dxa"/>
            <w:left w:w="0" w:type="dxa"/>
            <w:bottom w:w="0" w:type="dxa"/>
            <w:right w:w="0" w:type="dxa"/>
          </w:tblCellMar>
        </w:tblPrEx>
        <w:trPr>
          <w:trHeight w:val="416"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53"/>
              <w:jc w:val="left"/>
              <w:rPr>
                <w:rFonts w:hint="eastAsia" w:ascii="宋体" w:hAnsi="宋体" w:eastAsia="宋体" w:cs="宋体"/>
                <w:color w:val="auto"/>
                <w:kern w:val="0"/>
                <w:szCs w:val="21"/>
              </w:rPr>
            </w:pPr>
            <w:r>
              <w:rPr>
                <w:rFonts w:hint="eastAsia" w:ascii="宋体" w:hAnsi="宋体" w:eastAsia="宋体" w:cs="宋体"/>
                <w:color w:val="auto"/>
                <w:kern w:val="0"/>
                <w:szCs w:val="21"/>
              </w:rPr>
              <w:t>1.6.2</w:t>
            </w:r>
          </w:p>
        </w:tc>
        <w:tc>
          <w:tcPr>
            <w:tcW w:w="170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政府采购政策</w:t>
            </w:r>
          </w:p>
        </w:tc>
        <w:tc>
          <w:tcPr>
            <w:tcW w:w="6786" w:type="dxa"/>
            <w:tcBorders>
              <w:top w:val="single" w:color="000000" w:sz="4" w:space="0"/>
              <w:left w:val="single" w:color="000000" w:sz="4" w:space="0"/>
              <w:bottom w:val="single" w:color="000000" w:sz="4" w:space="0"/>
              <w:right w:val="single" w:color="000000" w:sz="4" w:space="0"/>
            </w:tcBorders>
            <w:vAlign w:val="center"/>
          </w:tcPr>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1、执行《政府采购促进中小企业发展管理办法》（财库〔2020〕46号）；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2、执行《关于进一步加大政府采购支持中小企业力度的通知》（财库〔2022〕19号）；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3、执行《河南省财政厅关于进一步做好政府采购支持中小企业发展有关事项的通知》（豫财购〔2022〕5号）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4、执行《财政部 司法部关于政府采购支持监狱企业发展有关问题的通知》（财库〔2014〕68号）；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5、执行《财政部 民政部 中国残疾人联合会关于促进残疾人就业政府采购政策的通知》（财库〔2017〕141号）。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6、执行《关于调整优化节能产品、环境标志产品政府采购执行机制的通知》（财库〔2019〕9号）。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7、执行《关于印发节能产品政府采购品目清单的通知》（财库〔2019〕19号）；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8、执行《关于印发环境标志产品政府采购品目清单的通知》（财库〔2019〕18号）。</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14:textFill>
                  <w14:solidFill>
                    <w14:schemeClr w14:val="tx1"/>
                  </w14:solidFill>
                </w14:textFill>
              </w:rPr>
              <w:t>根据要求，投标产品中如有属于“节能清单”中标记“</w:t>
            </w:r>
            <w:r>
              <w:rPr>
                <w:rFonts w:hint="eastAsia" w:ascii="宋体" w:hAnsi="宋体" w:eastAsia="宋体" w:cs="宋体"/>
                <w:color w:val="000000" w:themeColor="text1"/>
                <w:spacing w:val="2"/>
                <w:kern w:val="0"/>
                <w:szCs w:val="21"/>
                <w:lang w:eastAsia="zh-CN"/>
                <w14:textFill>
                  <w14:solidFill>
                    <w14:schemeClr w14:val="tx1"/>
                  </w14:solidFill>
                </w14:textFill>
              </w:rPr>
              <w:t>★</w:t>
            </w:r>
            <w:r>
              <w:rPr>
                <w:rFonts w:hint="eastAsia" w:ascii="宋体" w:hAnsi="宋体" w:eastAsia="宋体" w:cs="宋体"/>
                <w:color w:val="000000" w:themeColor="text1"/>
                <w:spacing w:val="2"/>
                <w:kern w:val="0"/>
                <w:szCs w:val="21"/>
                <w14:textFill>
                  <w14:solidFill>
                    <w14:schemeClr w14:val="tx1"/>
                  </w14:solidFill>
                </w14:textFill>
              </w:rPr>
              <w:t>”产品的，必须提供经过“机构名录”中的认证机构出具的“节能产品认证证书”。</w:t>
            </w:r>
          </w:p>
          <w:p>
            <w:pPr>
              <w:spacing w:line="360" w:lineRule="auto"/>
              <w:jc w:val="left"/>
              <w:rPr>
                <w:rFonts w:hint="eastAsia" w:ascii="宋体" w:hAnsi="宋体" w:eastAsia="宋体" w:cs="宋体"/>
                <w:color w:val="000000" w:themeColor="text1"/>
                <w:spacing w:val="2"/>
                <w:kern w:val="0"/>
                <w:szCs w:val="21"/>
                <w14:textFill>
                  <w14:solidFill>
                    <w14:schemeClr w14:val="tx1"/>
                  </w14:solidFill>
                </w14:textFill>
              </w:rPr>
            </w:pPr>
            <w:r>
              <w:rPr>
                <w:rFonts w:hint="eastAsia" w:ascii="宋体" w:hAnsi="宋体" w:eastAsia="宋体" w:cs="宋体"/>
                <w:color w:val="000000" w:themeColor="text1"/>
                <w:spacing w:val="2"/>
                <w:kern w:val="0"/>
                <w:szCs w:val="21"/>
                <w:lang w:val="en-US" w:eastAsia="zh-CN"/>
                <w14:textFill>
                  <w14:solidFill>
                    <w14:schemeClr w14:val="tx1"/>
                  </w14:solidFill>
                </w14:textFill>
              </w:rPr>
              <w:t>9、</w:t>
            </w:r>
            <w:r>
              <w:rPr>
                <w:rFonts w:hint="eastAsia" w:ascii="宋体" w:hAnsi="宋体" w:eastAsia="宋体" w:cs="宋体"/>
                <w:color w:val="auto"/>
                <w:spacing w:val="2"/>
                <w:kern w:val="0"/>
                <w:szCs w:val="21"/>
              </w:rPr>
              <w:t>根据《关于信息安全产品实施政府采购的通知》财库[2010]48号和国家质量监督检验检疫总局、国家认证认可监督管理委员会《关于调整信息安全产品强制性认证实施要求的公告》2009年第33号的规定，投标人所投产品</w:t>
            </w:r>
            <w:r>
              <w:rPr>
                <w:rFonts w:hint="eastAsia" w:ascii="宋体" w:hAnsi="宋体" w:eastAsia="宋体" w:cs="宋体"/>
                <w:color w:val="auto"/>
                <w:spacing w:val="2"/>
                <w:kern w:val="0"/>
                <w:szCs w:val="21"/>
                <w:lang w:val="en-US" w:eastAsia="zh-CN"/>
              </w:rPr>
              <w:t>若有</w:t>
            </w:r>
            <w:r>
              <w:rPr>
                <w:rFonts w:hint="eastAsia" w:ascii="宋体" w:hAnsi="宋体" w:eastAsia="宋体" w:cs="宋体"/>
                <w:color w:val="auto"/>
                <w:spacing w:val="2"/>
                <w:kern w:val="0"/>
                <w:szCs w:val="21"/>
              </w:rPr>
              <w:t>经国家认证的信息安全产品，</w:t>
            </w:r>
            <w:r>
              <w:rPr>
                <w:rFonts w:hint="eastAsia" w:ascii="宋体" w:hAnsi="宋体" w:eastAsia="宋体" w:cs="宋体"/>
                <w:color w:val="auto"/>
                <w:spacing w:val="2"/>
                <w:kern w:val="0"/>
                <w:szCs w:val="21"/>
                <w:lang w:val="en-US" w:eastAsia="zh-CN"/>
              </w:rPr>
              <w:t>需</w:t>
            </w:r>
            <w:r>
              <w:rPr>
                <w:rFonts w:hint="eastAsia" w:ascii="宋体" w:hAnsi="宋体" w:eastAsia="宋体" w:cs="宋体"/>
                <w:color w:val="auto"/>
                <w:spacing w:val="2"/>
                <w:kern w:val="0"/>
                <w:szCs w:val="21"/>
              </w:rPr>
              <w:t>提供由中国信息安全认证中心按国家标准认证颁发的有效认证证书。</w:t>
            </w:r>
          </w:p>
          <w:p>
            <w:pPr>
              <w:spacing w:line="360" w:lineRule="auto"/>
              <w:jc w:val="left"/>
              <w:rPr>
                <w:rFonts w:hint="eastAsia" w:ascii="宋体" w:hAnsi="宋体" w:eastAsia="宋体" w:cs="宋体"/>
                <w:color w:val="FF0000"/>
                <w:spacing w:val="2"/>
                <w:kern w:val="0"/>
                <w:szCs w:val="21"/>
              </w:rPr>
            </w:pPr>
            <w:r>
              <w:rPr>
                <w:rFonts w:hint="eastAsia" w:ascii="宋体" w:hAnsi="宋体" w:eastAsia="宋体" w:cs="宋体"/>
                <w:color w:val="000000" w:themeColor="text1"/>
                <w:spacing w:val="2"/>
                <w:kern w:val="0"/>
                <w:szCs w:val="21"/>
                <w:lang w:val="en-US" w:eastAsia="zh-CN"/>
                <w14:textFill>
                  <w14:solidFill>
                    <w14:schemeClr w14:val="tx1"/>
                  </w14:solidFill>
                </w14:textFill>
              </w:rPr>
              <w:t>10、</w:t>
            </w:r>
            <w:r>
              <w:rPr>
                <w:rFonts w:hint="eastAsia" w:ascii="宋体" w:hAnsi="宋体" w:eastAsia="宋体" w:cs="宋体"/>
                <w:color w:val="000000" w:themeColor="text1"/>
                <w:spacing w:val="2"/>
                <w:kern w:val="0"/>
                <w:szCs w:val="21"/>
                <w14:textFill>
                  <w14:solidFill>
                    <w14:schemeClr w14:val="tx1"/>
                  </w14:solidFill>
                </w14:textFill>
              </w:rPr>
              <w:t>投标产品已列入《市场监管总局关于优化强制性产品认证目录的公告》【2020年第18号】的产品必须提供通过国家3C认证的有关证明材料。</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1.10.1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实质性要求</w:t>
            </w:r>
          </w:p>
          <w:p>
            <w:pPr>
              <w:kinsoku w:val="0"/>
              <w:overflowPunct w:val="0"/>
              <w:autoSpaceDE w:val="0"/>
              <w:autoSpaceDN w:val="0"/>
              <w:adjustRightInd w:val="0"/>
              <w:spacing w:before="120" w:line="360" w:lineRule="exact"/>
              <w:ind w:left="607" w:right="2"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和提交</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right="24"/>
              <w:jc w:val="left"/>
              <w:rPr>
                <w:rFonts w:hint="eastAsia" w:ascii="宋体" w:hAnsi="宋体" w:eastAsia="宋体" w:cs="宋体"/>
                <w:bCs/>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 xml:space="preserve">以下内容为采购文件的实质性要求和条件，供应商存在下列情况之一的，投标无效：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（1） 投标文件未按采购文件要求签署或盖章的，或无法定代表人签字，或签字人无法定代表人有效授权的；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（2） 不具备采购文件中规定的资格要求，采购人或采购代理机构资格审查不合格的；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（3） 报价不唯一，出现有选择的报价或替代方案的；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（4） 报价超过采购文件中规定的预算金额或者最高限价的；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（5） 投标有效期不足的；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（6） 交货期不满足采购文件要求的；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（7） 质保期不满足采购文件要求的；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4"/>
              <w:jc w:val="left"/>
              <w:textAlignment w:val="auto"/>
              <w:rPr>
                <w:rFonts w:hint="eastAsia" w:ascii="宋体" w:hAnsi="宋体" w:eastAsia="宋体" w:cs="宋体"/>
              </w:rPr>
            </w:pPr>
            <w:r>
              <w:rPr>
                <w:rFonts w:hint="eastAsia" w:ascii="宋体" w:hAnsi="宋体" w:eastAsia="宋体" w:cs="宋体"/>
              </w:rPr>
              <w:t xml:space="preserve">（8） 付款条件不满足采购文件要求的；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（9） 投标文件含有采购人不能接受的附加条件的；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rPr>
            </w:pPr>
            <w:r>
              <w:rPr>
                <w:rFonts w:hint="eastAsia" w:ascii="宋体" w:hAnsi="宋体" w:eastAsia="宋体" w:cs="宋体"/>
              </w:rPr>
              <w:t xml:space="preserve">（11） 法律、法规和采购文件规定的其他无效情形。 </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（12）不同供应商的电子投标（响应）文件上传计算机的网卡MAC地址、CPU序列号和硬盘序列号等硬件信息相同的；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（13）不同供应商的投标（响应）文件由同一电子设备编制、打印加密或者上传；</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（14）不同供应商的投标（响应）文件由同一电子设备打印、复印；</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（15）不同供应商的投标（响应）文件由同一人送达或者分发，或者不同供应商联系人为同一人或不同联系人的联系电话一致的；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（16）不同供应商的投标（响应）文件的内容存在两处以上细节错误一致；</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（17）不同供应商的法定代表人、委托代理人、项目经理、项目负责人等由同一个单位缴纳社会保险或者领取报酬的；</w:t>
            </w:r>
          </w:p>
          <w:p>
            <w:pPr>
              <w:keepNext w:val="0"/>
              <w:keepLines w:val="0"/>
              <w:pageBreakBefore w:val="0"/>
              <w:widowControl w:val="0"/>
              <w:kinsoku/>
              <w:wordWrap w:val="0"/>
              <w:overflowPunct/>
              <w:topLinePunct w:val="0"/>
              <w:autoSpaceDE w:val="0"/>
              <w:autoSpaceDN w:val="0"/>
              <w:bidi w:val="0"/>
              <w:adjustRightInd w:val="0"/>
              <w:snapToGrid/>
              <w:spacing w:line="360" w:lineRule="auto"/>
              <w:ind w:right="23"/>
              <w:jc w:val="left"/>
              <w:textAlignment w:val="auto"/>
              <w:rPr>
                <w:rFonts w:hint="eastAsia" w:ascii="宋体" w:hAnsi="宋体" w:eastAsia="宋体" w:cs="宋体"/>
                <w:lang w:val="en-US" w:eastAsia="zh-CN"/>
              </w:rPr>
            </w:pPr>
            <w:r>
              <w:rPr>
                <w:rFonts w:hint="eastAsia" w:ascii="宋体" w:hAnsi="宋体" w:eastAsia="宋体" w:cs="宋体"/>
                <w:lang w:val="en-US" w:eastAsia="zh-CN"/>
              </w:rPr>
              <w:t>（18）不同供应商投标（响应）文件中法定代表人或者负责人签字出自同一人之手；</w:t>
            </w:r>
          </w:p>
          <w:p>
            <w:pPr>
              <w:kinsoku w:val="0"/>
              <w:overflowPunct w:val="0"/>
              <w:autoSpaceDE w:val="0"/>
              <w:autoSpaceDN w:val="0"/>
              <w:adjustRightInd w:val="0"/>
              <w:spacing w:line="360" w:lineRule="auto"/>
              <w:ind w:right="2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val="en-US" w:eastAsia="zh-CN"/>
              </w:rPr>
              <w:t>（19）其它涉嫌串通的情形。</w:t>
            </w:r>
            <w:r>
              <w:rPr>
                <w:rFonts w:hint="eastAsia" w:ascii="宋体" w:hAnsi="宋体" w:eastAsia="宋体" w:cs="宋体"/>
                <w:bCs/>
                <w:color w:val="000000" w:themeColor="text1"/>
                <w:kern w:val="0"/>
                <w:szCs w:val="21"/>
                <w14:textFill>
                  <w14:solidFill>
                    <w14:schemeClr w14:val="tx1"/>
                  </w14:solidFill>
                </w14:textFill>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投标语言</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ind w:left="10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供应商提交的投标文件以及供应商与招标方就有关投标的所有来往函电均应使用中文书写。供应商提供的外文资料应附有相应中文译本，并以中文译本为准。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计量单位</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ind w:firstLine="89" w:firstLineChars="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16"/>
                <w:kern w:val="0"/>
                <w:szCs w:val="21"/>
                <w14:textFill>
                  <w14:solidFill>
                    <w14:schemeClr w14:val="tx1"/>
                  </w14:solidFill>
                </w14:textFill>
              </w:rPr>
              <w:t>除在采购文件的技术规格中另有规定外，计量单位应使用中华人民</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spacing w:val="-12"/>
                <w:kern w:val="0"/>
                <w:szCs w:val="21"/>
                <w14:textFill>
                  <w14:solidFill>
                    <w14:schemeClr w14:val="tx1"/>
                  </w14:solidFill>
                </w14:textFill>
              </w:rPr>
              <w:t>共和国法定计量单位。</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ind w:left="-1"/>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投标报价</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根据采购文件规定的供货、服务和责任范围，供应商应对投标内容进行总报价。供应商提供的投标报价</w:t>
            </w:r>
            <w:r>
              <w:rPr>
                <w:rFonts w:hint="eastAsia" w:ascii="宋体" w:hAnsi="宋体" w:eastAsia="宋体" w:cs="宋体"/>
                <w:color w:val="000000" w:themeColor="text1"/>
                <w:kern w:val="0"/>
                <w:szCs w:val="21"/>
                <w14:textFill>
                  <w14:solidFill>
                    <w14:schemeClr w14:val="tx1"/>
                  </w14:solidFill>
                </w14:textFill>
              </w:rPr>
              <w:t>包括但不限于此次设备采购、安装、调试与试运行、检测、验收和质量保修</w:t>
            </w:r>
            <w:r>
              <w:rPr>
                <w:rFonts w:hint="eastAsia" w:ascii="宋体" w:hAnsi="宋体" w:eastAsia="宋体" w:cs="宋体"/>
                <w:color w:val="000000" w:themeColor="text1"/>
                <w:spacing w:val="-3"/>
                <w:kern w:val="0"/>
                <w:szCs w:val="21"/>
                <w14:textFill>
                  <w14:solidFill>
                    <w14:schemeClr w14:val="tx1"/>
                  </w14:solidFill>
                </w14:textFill>
              </w:rPr>
              <w:t>等及其他伴随服务。供</w:t>
            </w:r>
            <w:r>
              <w:rPr>
                <w:rFonts w:hint="eastAsia" w:ascii="宋体" w:hAnsi="宋体" w:eastAsia="宋体" w:cs="宋体"/>
                <w:color w:val="000000" w:themeColor="text1"/>
                <w:spacing w:val="-110"/>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应商未单独列明的分项价格将视该项目的费用已包含在其他分项</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中，合同执行中不另行支付。对采购文件中未详细列明的，但为</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保证项目正常运行所需要的所有附件、零部件等费用均</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计入投标总价中。</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投标货币</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人民币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3.4.8</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00" w:lineRule="auto"/>
              <w:ind w:right="125"/>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项目预算及招 标控制价</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b/>
                <w:color w:val="000000" w:themeColor="text1"/>
                <w:kern w:val="0"/>
                <w:szCs w:val="21"/>
                <w:lang w:eastAsia="zh-CN"/>
                <w14:textFill>
                  <w14:solidFill>
                    <w14:schemeClr w14:val="tx1"/>
                  </w14:solidFill>
                </w14:textFill>
              </w:rPr>
            </w:pPr>
            <w:r>
              <w:rPr>
                <w:rFonts w:hint="eastAsia" w:ascii="宋体" w:hAnsi="宋体" w:eastAsia="宋体" w:cs="宋体"/>
                <w:b/>
                <w:color w:val="000000" w:themeColor="text1"/>
                <w:kern w:val="0"/>
                <w:szCs w:val="21"/>
                <w14:textFill>
                  <w14:solidFill>
                    <w14:schemeClr w14:val="tx1"/>
                  </w14:solidFill>
                </w14:textFill>
              </w:rPr>
              <w:t>本项目预算价及招标控制价</w:t>
            </w:r>
            <w:r>
              <w:rPr>
                <w:rFonts w:hint="eastAsia" w:ascii="宋体" w:hAnsi="宋体" w:eastAsia="宋体" w:cs="宋体"/>
                <w:b/>
                <w:color w:val="000000" w:themeColor="text1"/>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耳鼻喉图文工作站</w:t>
            </w:r>
            <w:r>
              <w:rPr>
                <w:rFonts w:hint="eastAsia" w:ascii="宋体" w:hAnsi="宋体" w:eastAsia="宋体" w:cs="宋体"/>
                <w:color w:val="000000" w:themeColor="text1"/>
                <w:kern w:val="0"/>
                <w:szCs w:val="21"/>
                <w:lang w:val="en-US" w:eastAsia="zh-CN"/>
                <w14:textFill>
                  <w14:solidFill>
                    <w14:schemeClr w14:val="tx1"/>
                  </w14:solidFill>
                </w14:textFill>
              </w:rPr>
              <w:t>：</w:t>
            </w:r>
            <w:r>
              <w:rPr>
                <w:rFonts w:hint="default" w:ascii="宋体" w:hAnsi="宋体" w:eastAsia="宋体" w:cs="宋体"/>
                <w:color w:val="000000" w:themeColor="text1"/>
                <w:spacing w:val="6"/>
                <w:kern w:val="0"/>
                <w:szCs w:val="21"/>
                <w:lang w:val="en-US" w:eastAsia="zh-CN"/>
                <w14:textFill>
                  <w14:solidFill>
                    <w14:schemeClr w14:val="tx1"/>
                  </w14:solidFill>
                </w14:textFill>
              </w:rPr>
              <w:t>300000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便携式彩色多普勒超声系统</w:t>
            </w:r>
            <w:r>
              <w:rPr>
                <w:rFonts w:hint="eastAsia" w:ascii="宋体" w:hAnsi="宋体" w:eastAsia="宋体" w:cs="宋体"/>
                <w:color w:val="000000" w:themeColor="text1"/>
                <w:kern w:val="0"/>
                <w:szCs w:val="21"/>
                <w:lang w:eastAsia="zh-CN"/>
                <w14:textFill>
                  <w14:solidFill>
                    <w14:schemeClr w14:val="tx1"/>
                  </w14:solidFill>
                </w14:textFill>
              </w:rPr>
              <w:t>：</w:t>
            </w:r>
            <w:r>
              <w:rPr>
                <w:rFonts w:hint="default" w:ascii="宋体" w:hAnsi="宋体" w:eastAsia="宋体" w:cs="宋体"/>
                <w:color w:val="000000" w:themeColor="text1"/>
                <w:kern w:val="0"/>
                <w:szCs w:val="21"/>
                <w:lang w:val="en-US" w:eastAsia="zh-CN"/>
                <w14:textFill>
                  <w14:solidFill>
                    <w14:schemeClr w14:val="tx1"/>
                  </w14:solidFill>
                </w14:textFill>
              </w:rPr>
              <w:t>980000</w:t>
            </w:r>
            <w:r>
              <w:rPr>
                <w:rFonts w:hint="eastAsia" w:ascii="宋体" w:hAnsi="宋体" w:eastAsia="宋体" w:cs="宋体"/>
                <w:color w:val="000000" w:themeColor="text1"/>
                <w:kern w:val="0"/>
                <w:szCs w:val="21"/>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眼</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表综合分析仪：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450000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心肺转流离心系统（ECMO）：</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1500000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静息代谢测试仪：</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麻醉机：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200000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电动移位机：</w:t>
            </w:r>
            <w:r>
              <w:rPr>
                <w:rFonts w:hint="default" w:ascii="宋体" w:hAnsi="宋体" w:eastAsia="宋体" w:cs="宋体"/>
                <w:color w:val="000000" w:themeColor="text1"/>
                <w:spacing w:val="6"/>
                <w:kern w:val="0"/>
                <w:szCs w:val="21"/>
                <w:vertAlign w:val="baseline"/>
                <w:lang w:val="en-US" w:eastAsia="zh-CN"/>
                <w14:textFill>
                  <w14:solidFill>
                    <w14:schemeClr w14:val="tx1"/>
                  </w14:solidFill>
                </w14:textFill>
              </w:rPr>
              <w:t>350000</w:t>
            </w: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.00元</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vertAlign w:val="baseline"/>
                <w:lang w:val="en-US" w:eastAsia="zh-CN"/>
                <w14:textFill>
                  <w14:solidFill>
                    <w14:schemeClr w14:val="tx1"/>
                  </w14:solidFill>
                </w14:textFill>
              </w:rPr>
              <w:t>供应商投标报价超出预算价及招标控制价的按无效标处理</w:t>
            </w:r>
            <w:r>
              <w:rPr>
                <w:rFonts w:hint="eastAsia" w:ascii="宋体" w:hAnsi="宋体" w:eastAsia="宋体" w:cs="宋体"/>
                <w:color w:val="000000" w:themeColor="text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3.5.1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center"/>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投标有效期</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auto"/>
              <w:jc w:val="left"/>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90日历天</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投标保证金</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本项目不需要</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213"/>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3.7.2 </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68" w:line="360" w:lineRule="exact"/>
              <w:ind w:left="127"/>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资格证明材料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color w:val="auto"/>
              </w:rPr>
            </w:pPr>
            <w:r>
              <w:rPr>
                <w:rFonts w:hint="eastAsia"/>
                <w:color w:val="auto"/>
              </w:rPr>
              <w:t>参加本项目政府采购活动的供应商应具备政府采购法二十二条和本项目采 购文件规定的条件，应当提供以下要求的证明材料，未按要求提供或提供 不全的按无效标处理。</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color w:val="auto"/>
              </w:rPr>
            </w:pPr>
            <w:r>
              <w:rPr>
                <w:rFonts w:hint="eastAsia"/>
                <w:color w:val="auto"/>
                <w:lang w:eastAsia="zh-CN"/>
              </w:rPr>
              <w:t>一、</w:t>
            </w:r>
            <w:r>
              <w:rPr>
                <w:rFonts w:hint="eastAsia"/>
                <w:color w:val="auto"/>
              </w:rPr>
              <w:t xml:space="preserve">资格申明（提供资格声明）；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二、</w:t>
            </w:r>
            <w:r>
              <w:rPr>
                <w:rFonts w:hint="eastAsia"/>
              </w:rPr>
              <w:t xml:space="preserve">供应商符合《中华人民共和国政府采购法》第二十二条的要求 （1）具有独立承担民事责任的能力； （2）具有良好的商业信誉和健全的财务会计制度； （3）具有履行合同所必需的设备和专业技术能力； （4）有依法缴纳税收和社会保障资金的良好记录； （5）参加政府采购活动前三年内，在经营活动中没有重大违法记录。 以上（1）（2）（3）（4）（5）条款提供承诺书，格式自拟。 </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rPr>
            </w:pPr>
            <w:r>
              <w:rPr>
                <w:rFonts w:hint="eastAsia"/>
                <w:lang w:eastAsia="zh-CN"/>
              </w:rPr>
              <w:t>三、</w:t>
            </w:r>
            <w:r>
              <w:rPr>
                <w:rFonts w:hint="eastAsia"/>
                <w:lang w:val="en-US" w:eastAsia="zh-CN"/>
              </w:rPr>
              <w:t>投标人为代理商时，应具有医疗器械经营许可证或医疗器械经营备案凭证并具有相应的经营范围（从事一类医疗器械经营活动的除外）；投标人为境内生产企业时，应具有医疗器械生产许可证（从事第一类医疗器械生产的须具有备案凭证），医疗器械注册人、备案人经营其注册、备案的医疗器械，无需办理医疗器械经营许可或者备案，但应当符合医疗器械监督管理条例规定的经营条件</w:t>
            </w:r>
            <w:r>
              <w:rPr>
                <w:rFonts w:hint="eastAsia"/>
              </w:rPr>
              <w:t>。</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eastAsia="zh-CN"/>
              </w:rPr>
            </w:pPr>
            <w:r>
              <w:rPr>
                <w:rFonts w:hint="eastAsia"/>
                <w:lang w:val="en-US" w:eastAsia="zh-CN"/>
              </w:rPr>
              <w:t>四、投标产品须符合中华人民共和国国务院令第739号《医疗器械监督管理条例》相关规定，应具有有效期内的医疗器械注册证或医疗器械产品备案凭证。</w:t>
            </w:r>
          </w:p>
          <w:p>
            <w:pPr>
              <w:numPr>
                <w:ilvl w:val="-1"/>
                <w:numId w:val="0"/>
              </w:numPr>
              <w:kinsoku/>
              <w:wordWrap w:val="0"/>
              <w:overflowPunct/>
              <w:autoSpaceDE w:val="0"/>
              <w:autoSpaceDN w:val="0"/>
              <w:adjustRightInd w:val="0"/>
              <w:spacing w:line="360" w:lineRule="auto"/>
              <w:ind w:left="0" w:leftChars="0" w:firstLine="0" w:firstLineChars="0"/>
              <w:jc w:val="left"/>
              <w:rPr>
                <w:rFonts w:hint="eastAsia"/>
                <w:lang w:val="en-US" w:eastAsia="zh-CN"/>
              </w:rPr>
            </w:pPr>
            <w:r>
              <w:rPr>
                <w:rFonts w:hint="eastAsia"/>
                <w:lang w:val="en-US" w:eastAsia="zh-CN"/>
              </w:rPr>
              <w:t>五、</w:t>
            </w:r>
            <w:r>
              <w:rPr>
                <w:rFonts w:hint="eastAsia"/>
              </w:rPr>
              <w:t>单位负责人为同一人或者存在直接控股、管理关系的不同供应商， 不得参加同一合同项下</w:t>
            </w:r>
            <w:r>
              <w:rPr>
                <w:rFonts w:hint="eastAsia"/>
                <w:lang w:eastAsia="zh-CN"/>
              </w:rPr>
              <w:t>同一标段</w:t>
            </w:r>
            <w:r>
              <w:rPr>
                <w:rFonts w:hint="eastAsia"/>
              </w:rPr>
              <w:t>的政府采购活动【</w:t>
            </w:r>
            <w:r>
              <w:rPr>
                <w:rFonts w:hint="eastAsia" w:ascii="宋体" w:hAnsi="宋体" w:eastAsia="宋体" w:cs="宋体"/>
                <w:color w:val="auto"/>
                <w:sz w:val="21"/>
                <w:szCs w:val="21"/>
              </w:rPr>
              <w:t>提供在“</w:t>
            </w:r>
            <w:r>
              <w:rPr>
                <w:rFonts w:hint="eastAsia" w:ascii="宋体" w:hAnsi="宋体" w:eastAsia="宋体" w:cs="宋体"/>
                <w:color w:val="auto"/>
                <w:sz w:val="21"/>
                <w:szCs w:val="21"/>
                <w:lang w:eastAsia="zh-CN"/>
              </w:rPr>
              <w:t>国家企业信用信息公示系统</w:t>
            </w:r>
            <w:r>
              <w:rPr>
                <w:rFonts w:hint="eastAsia" w:ascii="宋体" w:hAnsi="宋体" w:eastAsia="宋体" w:cs="宋体"/>
                <w:color w:val="auto"/>
                <w:sz w:val="21"/>
                <w:szCs w:val="21"/>
              </w:rPr>
              <w:t>”中查询打印的相关材料 (需包含公司基本信息、股东信息及股权变更信息)</w:t>
            </w:r>
            <w:r>
              <w:rPr>
                <w:rFonts w:hint="eastAsia"/>
              </w:rPr>
              <w:t>】 【以上各项要求中，如有供</w:t>
            </w:r>
            <w:r>
              <w:rPr>
                <w:rFonts w:hint="eastAsia"/>
                <w:lang w:val="en-US" w:eastAsia="zh-CN"/>
              </w:rPr>
              <w:t>应商成立时限不足要求时限的，由供应商根据自身成立时间提供证明资料】。</w:t>
            </w:r>
          </w:p>
          <w:p>
            <w:pPr>
              <w:numPr>
                <w:ilvl w:val="-1"/>
                <w:numId w:val="0"/>
              </w:numPr>
              <w:kinsoku/>
              <w:wordWrap w:val="0"/>
              <w:overflowPunct/>
              <w:autoSpaceDE w:val="0"/>
              <w:autoSpaceDN w:val="0"/>
              <w:adjustRightInd w:val="0"/>
              <w:spacing w:line="360" w:lineRule="auto"/>
              <w:ind w:left="0" w:leftChars="0" w:firstLine="0" w:firstLineChars="0"/>
              <w:jc w:val="left"/>
              <w:rPr>
                <w:rFonts w:hint="default"/>
                <w:lang w:val="en-US" w:eastAsia="zh-CN"/>
              </w:rPr>
            </w:pPr>
            <w:r>
              <w:rPr>
                <w:rFonts w:hint="eastAsia"/>
                <w:lang w:val="en-US" w:eastAsia="zh-CN"/>
              </w:rPr>
              <w:t>六、根据《关于在政府采购活动中查询及使用信用记录有关问题的通知》(财库[2016]125号) 和豫财购[2016]15号的规定，对列入失信被执行人、重大税收违法失信主体、政府采购严重违法失信行为记录名单的企业，拒绝参与本项目政府采购活动（查询渠道：“信用中国”网站（www.creditchina.gov.cn）查询：列入失信被执行人、重大税收违法失信主体、中国政府采购网（www.ccgp.gov.cn）：政府采购严重违法失信行为记录名单）注：采购代理机构在开标当天将对所有参与本项目投标的供应商的信用情况（失信被执行人、重大税收违法失信主体、政府采购严重违法失信行为记录名单）进行查询、打印留存。若在开标当天查询到供应商有相关负面信息的，则该供应商为无效供应商。</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3.9.3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投标文件其他要求</w:t>
            </w:r>
          </w:p>
        </w:tc>
        <w:tc>
          <w:tcPr>
            <w:tcW w:w="6786" w:type="dxa"/>
            <w:tcBorders>
              <w:top w:val="single" w:color="000000" w:sz="4" w:space="0"/>
              <w:left w:val="single" w:color="000000" w:sz="4" w:space="0"/>
              <w:bottom w:val="single" w:color="000000" w:sz="4" w:space="0"/>
              <w:right w:val="single" w:color="000000" w:sz="4" w:space="0"/>
            </w:tcBorders>
          </w:tcPr>
          <w:p>
            <w:pPr>
              <w:numPr>
                <w:ilvl w:val="0"/>
                <w:numId w:val="3"/>
              </w:num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投标文件份数：</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①纸质版:不提供;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②加密的电子投标文件1份（*.ZZTF 格式）。加密的电子投标文件是指通过郑州市公共资源交易中心网站（</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http</w:t>
            </w:r>
            <w:r>
              <w:rPr>
                <w:rFonts w:hint="eastAsia" w:ascii="宋体" w:hAnsi="宋体" w:eastAsia="宋体" w:cs="宋体"/>
                <w:i w:val="0"/>
                <w:iCs w:val="0"/>
                <w:caps w:val="0"/>
                <w:color w:val="000000" w:themeColor="text1"/>
                <w:spacing w:val="6"/>
                <w:kern w:val="0"/>
                <w:sz w:val="21"/>
                <w:szCs w:val="21"/>
                <w:shd w:val="clear" w:fill="auto"/>
                <w:lang w:val="en-US" w:eastAsia="zh-CN"/>
                <w14:textFill>
                  <w14:solidFill>
                    <w14:schemeClr w14:val="tx1"/>
                  </w14:solidFill>
                </w14:textFill>
              </w:rPr>
              <w:t>s</w:t>
            </w:r>
            <w:r>
              <w:rPr>
                <w:rFonts w:hint="eastAsia" w:ascii="宋体" w:hAnsi="宋体" w:eastAsia="宋体" w:cs="宋体"/>
                <w:i w:val="0"/>
                <w:iCs w:val="0"/>
                <w:caps w:val="0"/>
                <w:color w:val="000000" w:themeColor="text1"/>
                <w:spacing w:val="6"/>
                <w:kern w:val="0"/>
                <w:sz w:val="21"/>
                <w:szCs w:val="21"/>
                <w:shd w:val="clear" w:fill="auto"/>
                <w14:textFill>
                  <w14:solidFill>
                    <w14:schemeClr w14:val="tx1"/>
                  </w14:solidFill>
                </w14:textFill>
              </w:rPr>
              <w:t>://zzggzy.zhengzhou.gov.cn/</w:t>
            </w:r>
            <w:r>
              <w:rPr>
                <w:rFonts w:hint="eastAsia" w:ascii="宋体" w:hAnsi="宋体" w:eastAsia="宋体" w:cs="宋体"/>
                <w:color w:val="000000" w:themeColor="text1"/>
                <w:spacing w:val="6"/>
                <w:kern w:val="0"/>
                <w:szCs w:val="21"/>
                <w14:textFill>
                  <w14:solidFill>
                    <w14:schemeClr w14:val="tx1"/>
                  </w14:solidFill>
                </w14:textFill>
              </w:rPr>
              <w:t xml:space="preserve">）提供的投标文件制作工具软件，制作生成的加密版投标文件（*.ZZTF格式）；未在投标截止时间前上传的，采购人不予受理。 </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（二）签字或盖章要求：</w:t>
            </w:r>
          </w:p>
          <w:p>
            <w:pPr>
              <w:kinsoku w:val="0"/>
              <w:overflowPunct w:val="0"/>
              <w:autoSpaceDE w:val="0"/>
              <w:autoSpaceDN w:val="0"/>
              <w:adjustRightInd w:val="0"/>
              <w:spacing w:line="360" w:lineRule="auto"/>
              <w:jc w:val="left"/>
              <w:rPr>
                <w:rFonts w:hint="eastAsia" w:ascii="宋体" w:hAnsi="宋体" w:eastAsia="宋体" w:cs="宋体"/>
                <w:color w:val="000000" w:themeColor="text1"/>
                <w:spacing w:val="6"/>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 xml:space="preserve">所有要求供应商加盖公章的地方都应用供应商单位的 CA 密匙盖电子签章；所有要求法定代表人或其委托代理人个人电子签字或签字的地方都应用法定代表人或其委托代理人的CA密匙盖电子签章或签字，如供应商的法定代表人或委托代理人未办理CA密匙的，供应商也可将法定代表人或其委托代理人签字或盖章的地方用法定代表人或委托代理人签字或盖章后的扫描图片替换到相应格式中。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6"/>
                <w:kern w:val="0"/>
                <w:szCs w:val="21"/>
                <w14:textFill>
                  <w14:solidFill>
                    <w14:schemeClr w14:val="tx1"/>
                  </w14:solidFill>
                </w14:textFill>
              </w:rPr>
              <w:t>关于投标文件中的“个人电子签章或签字”，供应商法定代表人或委托代理人无论何种形式的签章或签字均可（包含直接用CA密匙电子签章或人工签字扫描上传或其他形式的个人电子签章或签字）</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rPr>
            </w:pPr>
            <w:r>
              <w:rPr>
                <w:rFonts w:hint="eastAsia" w:ascii="宋体" w:hAnsi="宋体" w:eastAsia="宋体" w:cs="宋体"/>
                <w:b/>
                <w:bCs/>
                <w:color w:val="auto"/>
                <w:w w:val="99"/>
                <w:kern w:val="0"/>
                <w:szCs w:val="21"/>
              </w:rPr>
              <w:t xml:space="preserve">  </w:t>
            </w:r>
            <w:r>
              <w:rPr>
                <w:rFonts w:hint="eastAsia" w:ascii="宋体" w:hAnsi="宋体" w:eastAsia="宋体" w:cs="宋体"/>
                <w:color w:val="auto"/>
                <w:kern w:val="0"/>
                <w:szCs w:val="21"/>
              </w:rPr>
              <w:t xml:space="preserve">4.2.1 </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color w:val="auto"/>
                <w:kern w:val="0"/>
                <w:szCs w:val="21"/>
                <w:highlight w:val="none"/>
              </w:rPr>
              <w:t xml:space="preserve">投标截止时间 </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left"/>
              <w:rPr>
                <w:rFonts w:hint="eastAsia" w:ascii="宋体" w:hAnsi="宋体" w:eastAsia="宋体" w:cs="宋体"/>
                <w:color w:val="auto"/>
                <w:kern w:val="0"/>
                <w:szCs w:val="21"/>
                <w:highlight w:val="none"/>
              </w:rPr>
            </w:pPr>
            <w:r>
              <w:rPr>
                <w:rFonts w:hint="eastAsia" w:ascii="宋体" w:hAnsi="宋体" w:eastAsia="宋体" w:cs="宋体"/>
                <w:b/>
                <w:bCs/>
                <w:color w:val="auto"/>
                <w:w w:val="99"/>
                <w:kern w:val="0"/>
                <w:szCs w:val="21"/>
                <w:highlight w:val="none"/>
              </w:rPr>
              <w:t xml:space="preserve"> </w:t>
            </w:r>
            <w:r>
              <w:rPr>
                <w:rFonts w:hint="eastAsia" w:ascii="宋体" w:hAnsi="宋体" w:eastAsia="宋体" w:cs="宋体"/>
                <w:b/>
                <w:bCs/>
                <w:color w:val="auto"/>
                <w:kern w:val="0"/>
                <w:szCs w:val="21"/>
                <w:highlight w:val="none"/>
              </w:rPr>
              <w:t>202</w:t>
            </w:r>
            <w:r>
              <w:rPr>
                <w:rFonts w:hint="eastAsia" w:ascii="宋体" w:hAnsi="宋体" w:eastAsia="宋体" w:cs="宋体"/>
                <w:b/>
                <w:bCs/>
                <w:color w:val="auto"/>
                <w:kern w:val="0"/>
                <w:szCs w:val="21"/>
                <w:highlight w:val="none"/>
                <w:lang w:val="en-US" w:eastAsia="zh-CN"/>
              </w:rPr>
              <w:t>3</w:t>
            </w:r>
            <w:r>
              <w:rPr>
                <w:rFonts w:hint="eastAsia" w:ascii="宋体" w:hAnsi="宋体" w:eastAsia="宋体" w:cs="宋体"/>
                <w:b/>
                <w:bCs/>
                <w:color w:val="auto"/>
                <w:kern w:val="0"/>
                <w:szCs w:val="21"/>
                <w:highlight w:val="none"/>
              </w:rPr>
              <w:t>年</w:t>
            </w:r>
            <w:r>
              <w:rPr>
                <w:rFonts w:hint="eastAsia" w:ascii="宋体" w:hAnsi="宋体" w:eastAsia="宋体" w:cs="宋体"/>
                <w:b/>
                <w:bCs/>
                <w:color w:val="auto"/>
                <w:kern w:val="0"/>
                <w:szCs w:val="21"/>
                <w:highlight w:val="none"/>
                <w:lang w:val="en-US" w:eastAsia="zh-CN"/>
              </w:rPr>
              <w:t>11</w:t>
            </w:r>
            <w:r>
              <w:rPr>
                <w:rFonts w:hint="eastAsia" w:ascii="宋体" w:hAnsi="宋体" w:eastAsia="宋体" w:cs="宋体"/>
                <w:b/>
                <w:bCs/>
                <w:color w:val="auto"/>
                <w:kern w:val="0"/>
                <w:szCs w:val="21"/>
                <w:highlight w:val="none"/>
              </w:rPr>
              <w:t>月</w:t>
            </w:r>
            <w:r>
              <w:rPr>
                <w:rFonts w:hint="eastAsia" w:ascii="宋体" w:hAnsi="宋体" w:eastAsia="宋体" w:cs="宋体"/>
                <w:b/>
                <w:bCs/>
                <w:color w:val="auto"/>
                <w:kern w:val="0"/>
                <w:szCs w:val="21"/>
                <w:highlight w:val="none"/>
                <w:lang w:val="en-US" w:eastAsia="zh-CN"/>
              </w:rPr>
              <w:t>29</w:t>
            </w:r>
            <w:r>
              <w:rPr>
                <w:rFonts w:hint="eastAsia" w:ascii="宋体" w:hAnsi="宋体" w:eastAsia="宋体" w:cs="宋体"/>
                <w:b/>
                <w:bCs/>
                <w:color w:val="auto"/>
                <w:kern w:val="0"/>
                <w:szCs w:val="21"/>
                <w:highlight w:val="none"/>
              </w:rPr>
              <w:t>日10:00（北京时间）</w:t>
            </w:r>
            <w:r>
              <w:rPr>
                <w:rFonts w:hint="eastAsia" w:ascii="宋体" w:hAnsi="宋体" w:eastAsia="宋体" w:cs="宋体"/>
                <w:b/>
                <w:bCs/>
                <w:color w:val="auto"/>
                <w:w w:val="99"/>
                <w:kern w:val="0"/>
                <w:szCs w:val="21"/>
                <w:highlight w:val="none"/>
              </w:rPr>
              <w:t xml:space="preserve">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4.2.2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投标文件</w:t>
            </w:r>
          </w:p>
          <w:p>
            <w:pPr>
              <w:kinsoku w:val="0"/>
              <w:overflowPunct w:val="0"/>
              <w:autoSpaceDE w:val="0"/>
              <w:autoSpaceDN w:val="0"/>
              <w:adjustRightInd w:val="0"/>
              <w:spacing w:before="120" w:line="360" w:lineRule="exact"/>
              <w:ind w:hanging="480"/>
              <w:jc w:val="center"/>
              <w:rPr>
                <w:rFonts w:hint="eastAsia" w:ascii="宋体" w:hAnsi="宋体" w:eastAsia="宋体" w:cs="宋体"/>
                <w:color w:val="auto"/>
                <w:kern w:val="0"/>
                <w:szCs w:val="21"/>
              </w:rPr>
            </w:pPr>
            <w:r>
              <w:rPr>
                <w:rFonts w:hint="eastAsia" w:ascii="宋体" w:hAnsi="宋体" w:eastAsia="宋体" w:cs="宋体"/>
                <w:color w:val="auto"/>
                <w:kern w:val="0"/>
                <w:szCs w:val="21"/>
              </w:rPr>
              <w:t xml:space="preserve">  递交地点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left"/>
              <w:rPr>
                <w:rFonts w:hint="eastAsia" w:ascii="宋体" w:hAnsi="宋体" w:eastAsia="宋体" w:cs="宋体"/>
                <w:color w:val="auto"/>
                <w:kern w:val="0"/>
                <w:szCs w:val="21"/>
              </w:rPr>
            </w:pPr>
            <w:r>
              <w:rPr>
                <w:rFonts w:hint="eastAsia" w:ascii="宋体" w:hAnsi="宋体" w:eastAsia="宋体" w:cs="宋体"/>
                <w:color w:val="auto"/>
                <w:kern w:val="0"/>
                <w:szCs w:val="21"/>
              </w:rPr>
              <w:t>郑州市公共资源交易中心门户网站远程开标大厅（http</w:t>
            </w:r>
            <w:r>
              <w:rPr>
                <w:rFonts w:hint="eastAsia" w:ascii="宋体" w:hAnsi="宋体" w:eastAsia="宋体" w:cs="宋体"/>
                <w:color w:val="auto"/>
                <w:kern w:val="0"/>
                <w:szCs w:val="21"/>
                <w:lang w:val="en-US" w:eastAsia="zh-CN"/>
              </w:rPr>
              <w:t>s</w:t>
            </w:r>
            <w:r>
              <w:rPr>
                <w:rFonts w:hint="eastAsia" w:ascii="宋体" w:hAnsi="宋体" w:eastAsia="宋体" w:cs="宋体"/>
                <w:color w:val="auto"/>
                <w:kern w:val="0"/>
                <w:szCs w:val="21"/>
              </w:rPr>
              <w:t>://zzggzy.zhengzhou.gov.cn/BidOpening）</w:t>
            </w:r>
          </w:p>
        </w:tc>
      </w:tr>
      <w:tr>
        <w:tblPrEx>
          <w:tblCellMar>
            <w:top w:w="0" w:type="dxa"/>
            <w:left w:w="0" w:type="dxa"/>
            <w:bottom w:w="0" w:type="dxa"/>
            <w:right w:w="0" w:type="dxa"/>
          </w:tblCellMar>
        </w:tblPrEx>
        <w:trPr>
          <w:trHeight w:val="90" w:hRule="atLeast"/>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0" w:line="360" w:lineRule="exact"/>
              <w:ind w:firstLine="210" w:firstLineChars="1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5.1.1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和地点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开标时间：同投标截止时间</w:t>
            </w:r>
          </w:p>
          <w:p>
            <w:pPr>
              <w:widowControl/>
              <w:shd w:val="clear" w:color="auto" w:fill="FFFFFF"/>
              <w:autoSpaceDE w:val="0"/>
              <w:autoSpaceDN w:val="0"/>
              <w:spacing w:before="150" w:after="150" w:line="390" w:lineRule="atLeas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开标地点：郑州市公共资源交易中心门户网站远程开标大厅（http</w:t>
            </w:r>
            <w:r>
              <w:rPr>
                <w:rFonts w:hint="eastAsia" w:ascii="宋体" w:hAnsi="宋体" w:eastAsia="宋体" w:cs="宋体"/>
                <w:color w:val="000000" w:themeColor="text1"/>
                <w:kern w:val="0"/>
                <w:szCs w:val="21"/>
                <w:lang w:val="en-US" w:eastAsia="zh-CN"/>
                <w14:textFill>
                  <w14:solidFill>
                    <w14:schemeClr w14:val="tx1"/>
                  </w14:solidFill>
                </w14:textFill>
              </w:rPr>
              <w:t>s</w:t>
            </w:r>
            <w:r>
              <w:rPr>
                <w:rFonts w:hint="eastAsia" w:ascii="宋体" w:hAnsi="宋体" w:eastAsia="宋体" w:cs="宋体"/>
                <w:color w:val="000000" w:themeColor="text1"/>
                <w:kern w:val="0"/>
                <w:szCs w:val="21"/>
                <w14:textFill>
                  <w14:solidFill>
                    <w14:schemeClr w14:val="tx1"/>
                  </w14:solidFill>
                </w14:textFill>
              </w:rPr>
              <w:t xml:space="preserve">://zzggzy.zhengzhou.gov.cn/BidOpening）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5.2</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资格审查</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rPr>
              <w:t>采购人或采购代理机构</w:t>
            </w:r>
            <w:r>
              <w:rPr>
                <w:rFonts w:hint="eastAsia" w:ascii="宋体" w:hAnsi="宋体" w:eastAsia="宋体" w:cs="宋体"/>
                <w:color w:val="000000" w:themeColor="text1"/>
                <w:spacing w:val="-8"/>
                <w:kern w:val="0"/>
                <w:szCs w:val="21"/>
                <w14:textFill>
                  <w14:solidFill>
                    <w14:schemeClr w14:val="tx1"/>
                  </w14:solidFill>
                </w14:textFill>
              </w:rPr>
              <w:t>对供应商的资格进行审查。</w:t>
            </w:r>
            <w:r>
              <w:rPr>
                <w:rFonts w:hint="eastAsia" w:ascii="宋体" w:hAnsi="宋体" w:eastAsia="宋体" w:cs="宋体"/>
                <w:color w:val="000000" w:themeColor="text1"/>
                <w:spacing w:val="-97"/>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资格审查内容及标准见采购文件。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5.3.1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auto"/>
                <w:kern w:val="0"/>
                <w:szCs w:val="21"/>
              </w:rPr>
            </w:pPr>
            <w:r>
              <w:rPr>
                <w:rFonts w:hint="eastAsia" w:ascii="宋体" w:hAnsi="宋体" w:eastAsia="宋体" w:cs="宋体"/>
                <w:color w:val="auto"/>
                <w:kern w:val="0"/>
                <w:szCs w:val="21"/>
              </w:rPr>
              <w:t>评标委员会</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rPr>
                <w:rFonts w:hint="eastAsia" w:ascii="宋体" w:hAnsi="宋体" w:eastAsia="宋体" w:cs="宋体"/>
                <w:color w:val="auto"/>
                <w:kern w:val="0"/>
                <w:szCs w:val="21"/>
                <w:lang w:val="en-US" w:eastAsia="zh-CN"/>
              </w:rPr>
            </w:pPr>
            <w:r>
              <w:rPr>
                <w:rFonts w:hint="eastAsia" w:ascii="宋体" w:hAnsi="宋体" w:eastAsia="宋体" w:cs="宋体"/>
                <w:color w:val="auto"/>
                <w:spacing w:val="-4"/>
                <w:kern w:val="0"/>
                <w:szCs w:val="21"/>
              </w:rPr>
              <w:t>采购人将根据招标采购设备的特点依法组建</w:t>
            </w:r>
            <w:r>
              <w:rPr>
                <w:rFonts w:hint="eastAsia" w:ascii="宋体" w:hAnsi="宋体" w:eastAsia="宋体" w:cs="宋体"/>
                <w:color w:val="auto"/>
                <w:spacing w:val="-4"/>
                <w:kern w:val="0"/>
                <w:szCs w:val="21"/>
                <w:lang w:val="en-US" w:eastAsia="zh-CN"/>
              </w:rPr>
              <w:t>5</w:t>
            </w:r>
            <w:r>
              <w:rPr>
                <w:rFonts w:hint="eastAsia" w:ascii="宋体" w:hAnsi="宋体" w:eastAsia="宋体" w:cs="宋体"/>
                <w:color w:val="auto"/>
                <w:spacing w:val="-4"/>
                <w:kern w:val="0"/>
                <w:szCs w:val="21"/>
              </w:rPr>
              <w:t>人评标委员会，</w:t>
            </w:r>
            <w:r>
              <w:rPr>
                <w:rFonts w:hint="eastAsia" w:ascii="宋体" w:hAnsi="宋体" w:eastAsia="宋体" w:cs="宋体"/>
                <w:color w:val="auto"/>
                <w:kern w:val="0"/>
                <w:szCs w:val="21"/>
              </w:rPr>
              <w:t>其中</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val="en-US" w:eastAsia="zh-CN"/>
              </w:rPr>
              <w:t>4人，采购人代表1人，</w:t>
            </w:r>
            <w:r>
              <w:rPr>
                <w:rFonts w:hint="eastAsia" w:ascii="宋体" w:hAnsi="宋体" w:eastAsia="宋体" w:cs="宋体"/>
                <w:color w:val="auto"/>
                <w:kern w:val="0"/>
                <w:szCs w:val="21"/>
                <w:lang w:eastAsia="zh-CN"/>
              </w:rPr>
              <w:t>经济、技术</w:t>
            </w:r>
            <w:r>
              <w:rPr>
                <w:rFonts w:hint="eastAsia" w:ascii="宋体" w:hAnsi="宋体" w:eastAsia="宋体" w:cs="宋体"/>
                <w:color w:val="auto"/>
                <w:kern w:val="0"/>
                <w:szCs w:val="21"/>
              </w:rPr>
              <w:t>评审专家</w:t>
            </w:r>
            <w:r>
              <w:rPr>
                <w:rFonts w:hint="eastAsia" w:ascii="宋体" w:hAnsi="宋体" w:eastAsia="宋体" w:cs="宋体"/>
                <w:color w:val="auto"/>
                <w:kern w:val="0"/>
                <w:szCs w:val="21"/>
                <w:lang w:eastAsia="zh-CN"/>
              </w:rPr>
              <w:t>由河南省政府采购评审专家库中随机抽取</w:t>
            </w:r>
            <w:r>
              <w:rPr>
                <w:rFonts w:hint="eastAsia" w:ascii="宋体" w:hAnsi="宋体" w:eastAsia="宋体" w:cs="宋体"/>
                <w:color w:val="auto"/>
                <w:kern w:val="0"/>
                <w:szCs w:val="21"/>
                <w:lang w:val="en-US" w:eastAsia="zh-CN"/>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5.3.3</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评标方法</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综合评分法</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5.3.4</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ind w:firstLine="525" w:firstLineChars="2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同品牌</w:t>
            </w:r>
          </w:p>
          <w:p>
            <w:pPr>
              <w:kinsoku w:val="0"/>
              <w:overflowPunct w:val="0"/>
              <w:autoSpaceDE w:val="0"/>
              <w:autoSpaceDN w:val="0"/>
              <w:adjustRightInd w:val="0"/>
              <w:spacing w:before="1" w:line="360" w:lineRule="exact"/>
              <w:ind w:hanging="60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产品评审</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出现多个供应商提供相同品牌产品的，按以下原则进行评审：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pacing w:val="-3"/>
                <w:kern w:val="0"/>
                <w:szCs w:val="21"/>
                <w14:textFill>
                  <w14:solidFill>
                    <w14:schemeClr w14:val="tx1"/>
                  </w14:solidFill>
                </w14:textFill>
              </w:rPr>
              <w:t>（1）单一产品采购项目，提供相同品牌产品且通过资格审查、符合性审查的不同供应商参加同一合同项下投标的，按一家供应</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商计算，评审后得分最高的同品牌供应商获得中标人推荐资格；</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评审得分相同的，投标报价低的供应商获得中标人推荐资格；投</w:t>
            </w:r>
            <w:r>
              <w:rPr>
                <w:rFonts w:hint="eastAsia" w:ascii="宋体" w:hAnsi="宋体" w:eastAsia="宋体" w:cs="宋体"/>
                <w:color w:val="000000" w:themeColor="text1"/>
                <w:spacing w:val="-112"/>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标报价也相同的，采取随机抽取方式确定一家供应商获得中标人</w:t>
            </w:r>
            <w:r>
              <w:rPr>
                <w:rFonts w:hint="eastAsia" w:ascii="宋体" w:hAnsi="宋体" w:eastAsia="宋体" w:cs="宋体"/>
                <w:color w:val="000000" w:themeColor="text1"/>
                <w:spacing w:val="-105"/>
                <w:kern w:val="0"/>
                <w:szCs w:val="21"/>
                <w14:textFill>
                  <w14:solidFill>
                    <w14:schemeClr w14:val="tx1"/>
                  </w14:solidFill>
                </w14:textFill>
              </w:rPr>
              <w:t xml:space="preserve"> </w:t>
            </w:r>
            <w:r>
              <w:rPr>
                <w:rFonts w:hint="eastAsia" w:ascii="宋体" w:hAnsi="宋体" w:eastAsia="宋体" w:cs="宋体"/>
                <w:color w:val="000000" w:themeColor="text1"/>
                <w:spacing w:val="-3"/>
                <w:kern w:val="0"/>
                <w:szCs w:val="21"/>
                <w14:textFill>
                  <w14:solidFill>
                    <w14:schemeClr w14:val="tx1"/>
                  </w14:solidFill>
                </w14:textFill>
              </w:rPr>
              <w:t>推荐资格，其他同品牌供应商不作为中标候选人。</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非单一产品采购项目，采购人将根据采购项目技术构成、产品价格比重等合理确定核心产品，确定的核心产品见招标文件。多家供应商提供的核心产品品牌相同，且通过资格审查、符合性审查的不同供应商参加同一合同项下投标的，按一家供应商计算，评审后得分最高的同品牌供应商获得中标人推荐资格；评审得分相同的，投标报价低的供应商获得中标人推荐资格；投标报价也相同的，采取随机抽取方式确定一家供应商获得中标人推荐资格，其他同品牌供应商不作为中标候选人。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招标公告</w:t>
            </w:r>
          </w:p>
          <w:p>
            <w:pPr>
              <w:kinsoku w:val="0"/>
              <w:overflowPunct w:val="0"/>
              <w:autoSpaceDE w:val="0"/>
              <w:autoSpaceDN w:val="0"/>
              <w:adjustRightInd w:val="0"/>
              <w:spacing w:before="1"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发布媒介</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auto"/>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《河南省政府采购网》、《郑州市公共资源交易中心网》</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6.6.1</w:t>
            </w:r>
          </w:p>
        </w:tc>
        <w:tc>
          <w:tcPr>
            <w:tcW w:w="1703"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签订合同</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采购人应当自中标通知书发出之日起2个工作日内，按照采购文件和中标人投标文件的规定，与中标人签订书面合同。所签订的合</w:t>
            </w:r>
            <w:r>
              <w:rPr>
                <w:rFonts w:hint="eastAsia" w:ascii="宋体" w:hAnsi="宋体" w:eastAsia="宋体" w:cs="宋体"/>
                <w:color w:val="000000" w:themeColor="text1"/>
                <w:spacing w:val="-116"/>
                <w:kern w:val="0"/>
                <w:szCs w:val="21"/>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 xml:space="preserve">同不得对采购文件确定的事项和中标人投标文件作实质性修改。 </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7"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1</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 w:line="360" w:lineRule="exact"/>
              <w:ind w:firstLine="315" w:firstLineChars="150"/>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接收质疑函</w:t>
            </w:r>
          </w:p>
          <w:p>
            <w:pPr>
              <w:kinsoku w:val="0"/>
              <w:overflowPunct w:val="0"/>
              <w:autoSpaceDE w:val="0"/>
              <w:autoSpaceDN w:val="0"/>
              <w:adjustRightInd w:val="0"/>
              <w:spacing w:before="4" w:line="360" w:lineRule="exact"/>
              <w:ind w:hanging="480"/>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    的方式</w:t>
            </w:r>
          </w:p>
        </w:tc>
        <w:tc>
          <w:tcPr>
            <w:tcW w:w="6786" w:type="dxa"/>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供应商应在法定质疑期内以书面形式向采购人、采购代理机</w:t>
            </w:r>
            <w:r>
              <w:rPr>
                <w:rFonts w:hint="eastAsia" w:ascii="宋体" w:hAnsi="宋体" w:eastAsia="宋体" w:cs="宋体"/>
                <w:color w:val="000000" w:themeColor="text1"/>
                <w:spacing w:val="1"/>
                <w:kern w:val="0"/>
                <w:szCs w:val="21"/>
                <w14:textFill>
                  <w14:solidFill>
                    <w14:schemeClr w14:val="tx1"/>
                  </w14:solidFill>
                </w14:textFill>
              </w:rPr>
              <w:t>构</w:t>
            </w:r>
            <w:r>
              <w:rPr>
                <w:rFonts w:hint="eastAsia" w:ascii="宋体" w:hAnsi="宋体" w:eastAsia="宋体" w:cs="宋体"/>
                <w:color w:val="000000" w:themeColor="text1"/>
                <w:kern w:val="0"/>
                <w:szCs w:val="21"/>
                <w14:textFill>
                  <w14:solidFill>
                    <w14:schemeClr w14:val="tx1"/>
                  </w14:solidFill>
                </w14:textFill>
              </w:rPr>
              <w:t>递交质疑函原件（不接受邮寄、电报</w:t>
            </w:r>
            <w:r>
              <w:rPr>
                <w:rFonts w:hint="eastAsia" w:ascii="宋体" w:hAnsi="宋体" w:eastAsia="宋体" w:cs="宋体"/>
                <w:color w:val="000000" w:themeColor="text1"/>
                <w:spacing w:val="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电传、传真、电子数据交换和电子邮件）</w:t>
            </w:r>
            <w:r>
              <w:rPr>
                <w:rFonts w:hint="eastAsia" w:ascii="宋体" w:hAnsi="宋体" w:eastAsia="宋体" w:cs="宋体"/>
                <w:color w:val="000000" w:themeColor="text1"/>
                <w:spacing w:val="1"/>
                <w:kern w:val="0"/>
                <w:szCs w:val="21"/>
                <w14:textFill>
                  <w14:solidFill>
                    <w14:schemeClr w14:val="tx1"/>
                  </w14:solidFill>
                </w14:textFill>
              </w:rPr>
              <w:t>。</w:t>
            </w:r>
          </w:p>
        </w:tc>
      </w:tr>
      <w:tr>
        <w:tblPrEx>
          <w:tblCellMar>
            <w:top w:w="0" w:type="dxa"/>
            <w:left w:w="0" w:type="dxa"/>
            <w:bottom w:w="0" w:type="dxa"/>
            <w:right w:w="0" w:type="dxa"/>
          </w:tblCellMar>
        </w:tblPrEx>
        <w:trPr>
          <w:jc w:val="center"/>
        </w:trPr>
        <w:tc>
          <w:tcPr>
            <w:tcW w:w="1029" w:type="dxa"/>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7.2.</w:t>
            </w:r>
            <w:r>
              <w:rPr>
                <w:rFonts w:hint="eastAsia" w:ascii="宋体" w:hAnsi="宋体" w:eastAsia="宋体" w:cs="宋体"/>
                <w:color w:val="000000" w:themeColor="text1"/>
                <w:spacing w:val="-1"/>
                <w:kern w:val="0"/>
                <w:szCs w:val="21"/>
                <w14:textFill>
                  <w14:solidFill>
                    <w14:schemeClr w14:val="tx1"/>
                  </w14:solidFill>
                </w14:textFill>
              </w:rPr>
              <w:t>2</w:t>
            </w:r>
          </w:p>
        </w:tc>
        <w:tc>
          <w:tcPr>
            <w:tcW w:w="170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质疑函接收</w:t>
            </w:r>
          </w:p>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联系事宜</w:t>
            </w:r>
          </w:p>
        </w:tc>
        <w:tc>
          <w:tcPr>
            <w:tcW w:w="6786" w:type="dxa"/>
            <w:tcBorders>
              <w:top w:val="single" w:color="000000" w:sz="4" w:space="0"/>
              <w:left w:val="single" w:color="000000" w:sz="4" w:space="0"/>
              <w:bottom w:val="single" w:color="000000" w:sz="4" w:space="0"/>
              <w:right w:val="single" w:color="000000" w:sz="4" w:space="0"/>
            </w:tcBorders>
          </w:tcPr>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代理机构：河南省机电设备国际招标有限公司</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地址：郑州市管城区黄河南路与商都路交汇处西南角财信大厦14-15层</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联系人：张照明、王恺</w:t>
            </w:r>
            <w:r>
              <w:rPr>
                <w:rFonts w:hint="eastAsia" w:ascii="宋体" w:hAnsi="宋体" w:eastAsia="宋体" w:cs="宋体"/>
                <w:color w:val="000000" w:themeColor="text1"/>
                <w:kern w:val="0"/>
                <w:szCs w:val="21"/>
                <w14:textFill>
                  <w14:solidFill>
                    <w14:schemeClr w14:val="tx1"/>
                  </w14:solidFill>
                </w14:textFill>
              </w:rPr>
              <w:tab/>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电话：0371-65949196</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电子邮箱：zhaobiao04@163.com</w:t>
            </w:r>
          </w:p>
        </w:tc>
      </w:tr>
      <w:tr>
        <w:tblPrEx>
          <w:tblCellMar>
            <w:top w:w="0" w:type="dxa"/>
            <w:left w:w="0" w:type="dxa"/>
            <w:bottom w:w="0" w:type="dxa"/>
            <w:right w:w="0" w:type="dxa"/>
          </w:tblCellMar>
        </w:tblPrEx>
        <w:trPr>
          <w:trHeight w:val="740" w:hRule="atLeast"/>
          <w:jc w:val="center"/>
        </w:trPr>
        <w:tc>
          <w:tcPr>
            <w:tcW w:w="1029" w:type="dxa"/>
            <w:vMerge w:val="restart"/>
            <w:tcBorders>
              <w:top w:val="single" w:color="auto" w:sz="4" w:space="0"/>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p>
        </w:tc>
        <w:tc>
          <w:tcPr>
            <w:tcW w:w="1703" w:type="dxa"/>
            <w:tcBorders>
              <w:top w:val="single" w:color="000000" w:sz="4" w:space="0"/>
              <w:left w:val="single" w:color="auto"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招标代理费</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szCs w:val="21"/>
                <w:highlight w:val="none"/>
              </w:rPr>
            </w:pPr>
            <w:r>
              <w:rPr>
                <w:rFonts w:hint="eastAsia" w:ascii="宋体" w:hAnsi="宋体"/>
                <w:szCs w:val="21"/>
                <w:highlight w:val="none"/>
              </w:rPr>
              <w:t>招标代理服务费由中标人承担。参考河南省招标投标协会（豫招协[2023]</w:t>
            </w:r>
          </w:p>
          <w:p>
            <w:pPr>
              <w:widowControl/>
              <w:autoSpaceDE w:val="0"/>
              <w:autoSpaceDN w:val="0"/>
              <w:adjustRightInd w:val="0"/>
              <w:spacing w:line="360" w:lineRule="auto"/>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szCs w:val="21"/>
                <w:highlight w:val="none"/>
              </w:rPr>
              <w:t>002号）文规定的计费方式，收取招标代理服务费。</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widowControl/>
              <w:autoSpaceDE w:val="0"/>
              <w:autoSpaceDN w:val="0"/>
              <w:adjustRightInd w:val="0"/>
              <w:spacing w:line="360" w:lineRule="auto"/>
              <w:jc w:val="center"/>
              <w:rPr>
                <w:rFonts w:hint="eastAsia" w:ascii="宋体" w:hAnsi="宋体"/>
                <w:color w:val="auto"/>
                <w:szCs w:val="21"/>
                <w:highlight w:val="none"/>
              </w:rPr>
            </w:pPr>
            <w:r>
              <w:rPr>
                <w:rFonts w:hint="eastAsia" w:ascii="宋体" w:hAnsi="宋体"/>
                <w:color w:val="auto"/>
                <w:szCs w:val="21"/>
                <w:highlight w:val="none"/>
              </w:rPr>
              <w:t>付款方式</w:t>
            </w:r>
          </w:p>
        </w:tc>
        <w:tc>
          <w:tcPr>
            <w:tcW w:w="6786" w:type="dxa"/>
            <w:tcBorders>
              <w:top w:val="single" w:color="000000" w:sz="4" w:space="0"/>
              <w:left w:val="single" w:color="000000" w:sz="4" w:space="0"/>
              <w:bottom w:val="single" w:color="000000" w:sz="4" w:space="0"/>
              <w:right w:val="single" w:color="000000" w:sz="4" w:space="0"/>
            </w:tcBorders>
            <w:vAlign w:val="center"/>
          </w:tcPr>
          <w:p>
            <w:pPr>
              <w:widowControl/>
              <w:autoSpaceDE w:val="0"/>
              <w:autoSpaceDN w:val="0"/>
              <w:adjustRightInd w:val="0"/>
              <w:spacing w:line="360" w:lineRule="auto"/>
              <w:jc w:val="left"/>
              <w:rPr>
                <w:rFonts w:hint="eastAsia" w:ascii="宋体" w:hAnsi="宋体"/>
                <w:color w:val="auto"/>
                <w:szCs w:val="21"/>
                <w:highlight w:val="none"/>
              </w:rPr>
            </w:pPr>
            <w:r>
              <w:rPr>
                <w:rFonts w:hint="eastAsia" w:ascii="宋体" w:hAnsi="宋体"/>
                <w:color w:val="auto"/>
                <w:szCs w:val="21"/>
                <w:highlight w:val="none"/>
              </w:rPr>
              <w:t>付款方式为合同签订后，设备到货验收合格后付设备总货款的95%，设备安装调试验收合格、正常使用满一年后甲方向乙方无息支付总货款5%。</w:t>
            </w:r>
          </w:p>
        </w:tc>
      </w:tr>
      <w:tr>
        <w:tblPrEx>
          <w:tblCellMar>
            <w:top w:w="0" w:type="dxa"/>
            <w:left w:w="0" w:type="dxa"/>
            <w:bottom w:w="0" w:type="dxa"/>
            <w:right w:w="0" w:type="dxa"/>
          </w:tblCellMar>
        </w:tblPrEx>
        <w:trPr>
          <w:jc w:val="center"/>
        </w:trPr>
        <w:tc>
          <w:tcPr>
            <w:tcW w:w="1029" w:type="dxa"/>
            <w:vMerge w:val="continue"/>
            <w:tcBorders>
              <w:left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履约验收</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根据验收申请，甲方组织相关人员进行正式验收，也可 以根据实际需要增加出厂检验、安装调试检验等多种验收环节，特殊情况下可以组织第三方共同验收。</w:t>
            </w:r>
          </w:p>
        </w:tc>
      </w:tr>
      <w:tr>
        <w:tblPrEx>
          <w:tblCellMar>
            <w:top w:w="0" w:type="dxa"/>
            <w:left w:w="0" w:type="dxa"/>
            <w:bottom w:w="0" w:type="dxa"/>
            <w:right w:w="0" w:type="dxa"/>
          </w:tblCellMar>
        </w:tblPrEx>
        <w:trPr>
          <w:jc w:val="center"/>
        </w:trPr>
        <w:tc>
          <w:tcPr>
            <w:tcW w:w="1029" w:type="dxa"/>
            <w:vMerge w:val="continue"/>
            <w:tcBorders>
              <w:left w:val="single" w:color="auto" w:sz="4" w:space="0"/>
              <w:bottom w:val="single" w:color="auto" w:sz="4" w:space="0"/>
              <w:right w:val="single" w:color="auto"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14:textFill>
                  <w14:solidFill>
                    <w14:schemeClr w14:val="tx1"/>
                  </w14:solidFill>
                </w14:textFill>
              </w:rPr>
            </w:pPr>
          </w:p>
        </w:tc>
        <w:tc>
          <w:tcPr>
            <w:tcW w:w="1703" w:type="dxa"/>
            <w:tcBorders>
              <w:top w:val="single" w:color="000000" w:sz="4" w:space="0"/>
              <w:left w:val="single" w:color="auto"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center"/>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lang w:eastAsia="zh-CN"/>
                <w14:textFill>
                  <w14:solidFill>
                    <w14:schemeClr w14:val="tx1"/>
                  </w14:solidFill>
                </w14:textFill>
              </w:rPr>
              <w:t>行业</w:t>
            </w:r>
          </w:p>
        </w:tc>
        <w:tc>
          <w:tcPr>
            <w:tcW w:w="6786"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360" w:lineRule="exact"/>
              <w:jc w:val="left"/>
              <w:rPr>
                <w:rFonts w:hint="eastAsia" w:ascii="宋体" w:hAnsi="宋体" w:eastAsia="宋体" w:cs="宋体"/>
                <w:color w:val="000000" w:themeColor="text1"/>
                <w:spacing w:val="0"/>
                <w:kern w:val="0"/>
                <w:szCs w:val="21"/>
                <w:lang w:val="en-US" w:eastAsia="zh-CN"/>
                <w14:textFill>
                  <w14:solidFill>
                    <w14:schemeClr w14:val="tx1"/>
                  </w14:solidFill>
                </w14:textFill>
              </w:rPr>
            </w:pPr>
            <w:r>
              <w:rPr>
                <w:rFonts w:hint="eastAsia" w:ascii="宋体" w:hAnsi="宋体" w:eastAsia="宋体" w:cs="宋体"/>
                <w:color w:val="000000" w:themeColor="text1"/>
                <w:spacing w:val="-3"/>
                <w:kern w:val="0"/>
                <w:szCs w:val="21"/>
                <w:lang w:eastAsia="zh-CN"/>
                <w14:textFill>
                  <w14:solidFill>
                    <w14:schemeClr w14:val="tx1"/>
                  </w14:solidFill>
                </w14:textFill>
              </w:rPr>
              <w:t>本次</w:t>
            </w:r>
            <w:r>
              <w:rPr>
                <w:rFonts w:hint="eastAsia" w:ascii="宋体" w:hAnsi="宋体" w:eastAsia="宋体" w:cs="宋体"/>
                <w:color w:val="000000" w:themeColor="text1"/>
                <w:spacing w:val="-3"/>
                <w:kern w:val="0"/>
                <w:szCs w:val="21"/>
                <w14:textFill>
                  <w14:solidFill>
                    <w14:schemeClr w14:val="tx1"/>
                  </w14:solidFill>
                </w14:textFill>
              </w:rPr>
              <w:t>采购标的对应的中小企业划分标准所属行业均为工业。</w:t>
            </w:r>
          </w:p>
        </w:tc>
      </w:tr>
    </w:tbl>
    <w:p>
      <w:pPr>
        <w:autoSpaceDE w:val="0"/>
        <w:autoSpaceDN w:val="0"/>
        <w:adjustRightInd w:val="0"/>
        <w:spacing w:line="360" w:lineRule="exact"/>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440" w:right="940" w:bottom="1220" w:left="1100" w:header="0" w:footer="1009" w:gutter="0"/>
          <w:pgNumType w:fmt="numberInDash"/>
          <w:cols w:space="720" w:num="1"/>
        </w:sectPr>
      </w:pP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43" w:name="_Toc23294"/>
      <w:bookmarkStart w:id="44" w:name="_Toc240"/>
      <w:bookmarkStart w:id="45" w:name="_Toc9716"/>
      <w:bookmarkStart w:id="46" w:name="_Toc8474"/>
      <w:bookmarkStart w:id="47" w:name="_Toc28774"/>
      <w:bookmarkStart w:id="48" w:name="_Toc5960094"/>
      <w:bookmarkStart w:id="49" w:name="_Toc17887121"/>
      <w:r>
        <w:rPr>
          <w:rFonts w:hint="eastAsia" w:ascii="Times New Roman" w:hAnsi="宋体" w:eastAsia="宋体" w:cs="Times New Roman"/>
          <w:color w:val="000000" w:themeColor="text1"/>
          <w:kern w:val="0"/>
          <w:szCs w:val="21"/>
          <w14:textFill>
            <w14:solidFill>
              <w14:schemeClr w14:val="tx1"/>
            </w14:solidFill>
          </w14:textFill>
        </w:rPr>
        <w:t>附件 1：</w:t>
      </w:r>
      <w:bookmarkEnd w:id="43"/>
      <w:bookmarkEnd w:id="44"/>
      <w:bookmarkEnd w:id="45"/>
      <w:bookmarkEnd w:id="46"/>
      <w:r>
        <w:rPr>
          <w:rFonts w:hint="eastAsia"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郑州市政府采购合同融资政策告知函各供应商：欢迎贵公司参与郑州市政府采购活动！政府采购合同融资是郑州市财政局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 〔2017〕10 号）和《郑州市财政局关于加强和推进政府采购合同融资工作的通知》（郑财购〔2018〕4 号），按照双方自愿的原则提供便捷、优惠的贷款服务。贷款渠道和提供贷款的金融机构，可在郑州市政府采购网“郑州市政府采购合同融资入口”查询联系。</w:t>
      </w:r>
    </w:p>
    <w:p>
      <w:pPr>
        <w:kinsoku w:val="0"/>
        <w:overflowPunct w:val="0"/>
        <w:autoSpaceDE w:val="0"/>
        <w:autoSpaceDN w:val="0"/>
        <w:adjustRightInd w:val="0"/>
        <w:spacing w:line="360" w:lineRule="auto"/>
        <w:ind w:firstLine="420"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50" w:name="_Toc30008"/>
      <w:bookmarkStart w:id="51" w:name="_Toc24035"/>
      <w:bookmarkStart w:id="52" w:name="_Toc23551"/>
      <w:bookmarkStart w:id="53" w:name="_Toc2686"/>
      <w:r>
        <w:rPr>
          <w:rFonts w:hint="eastAsia" w:ascii="Times New Roman" w:hAnsi="宋体" w:eastAsia="宋体" w:cs="Times New Roman"/>
          <w:color w:val="000000" w:themeColor="text1"/>
          <w:kern w:val="0"/>
          <w:szCs w:val="21"/>
          <w14:textFill>
            <w14:solidFill>
              <w14:schemeClr w14:val="tx1"/>
            </w14:solidFill>
          </w14:textFill>
        </w:rPr>
        <w:t>附件2</w:t>
      </w:r>
      <w:bookmarkEnd w:id="50"/>
      <w:bookmarkEnd w:id="51"/>
      <w:bookmarkEnd w:id="52"/>
      <w:bookmarkEnd w:id="53"/>
    </w:p>
    <w:p>
      <w:pPr>
        <w:pStyle w:val="15"/>
        <w:spacing w:line="360" w:lineRule="auto"/>
        <w:ind w:firstLine="420" w:firstLineChars="200"/>
        <w:rPr>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中小微企业划分标准</w:t>
      </w:r>
    </w:p>
    <w:p>
      <w:pPr>
        <w:widowControl/>
        <w:spacing w:line="330" w:lineRule="atLeast"/>
        <w:jc w:val="center"/>
        <w:rPr>
          <w:rFonts w:ascii="宋体" w:hAnsi="宋体" w:cs="宋体"/>
          <w:color w:val="000000" w:themeColor="text1"/>
          <w:kern w:val="0"/>
          <w:sz w:val="36"/>
          <w:szCs w:val="32"/>
          <w14:textFill>
            <w14:solidFill>
              <w14:schemeClr w14:val="tx1"/>
            </w14:solidFill>
          </w14:textFill>
        </w:rPr>
      </w:pPr>
      <w:r>
        <w:rPr>
          <w:rFonts w:hint="eastAsia" w:ascii="宋体" w:hAnsi="宋体" w:cs="宋体"/>
          <w:color w:val="000000" w:themeColor="text1"/>
          <w:kern w:val="0"/>
          <w:sz w:val="36"/>
          <w:szCs w:val="32"/>
          <w14:textFill>
            <w14:solidFill>
              <w14:schemeClr w14:val="tx1"/>
            </w14:solidFill>
          </w14:textFill>
        </w:rPr>
        <w:t>统计上大中小微型企业划分标准</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3"/>
        <w:gridCol w:w="1369"/>
        <w:gridCol w:w="709"/>
        <w:gridCol w:w="1125"/>
        <w:gridCol w:w="1701"/>
        <w:gridCol w:w="1426"/>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exact"/>
          <w:jc w:val="center"/>
        </w:trPr>
        <w:tc>
          <w:tcPr>
            <w:tcW w:w="2113" w:type="dxa"/>
            <w:vAlign w:val="center"/>
          </w:tcPr>
          <w:p>
            <w:pPr>
              <w:widowControl/>
              <w:spacing w:line="240" w:lineRule="exact"/>
              <w:jc w:val="center"/>
              <w:rPr>
                <w:rFonts w:ascii="宋体" w:hAnsi="宋体" w:cs="宋体"/>
                <w:b/>
                <w:bCs/>
                <w:color w:val="000000" w:themeColor="text1"/>
                <w:kern w:val="0"/>
                <w:sz w:val="18"/>
                <w:szCs w:val="21"/>
                <w14:textFill>
                  <w14:solidFill>
                    <w14:schemeClr w14:val="tx1"/>
                  </w14:solidFill>
                </w14:textFill>
              </w:rPr>
            </w:pPr>
            <w:r>
              <w:rPr>
                <w:rFonts w:hint="eastAsia" w:ascii="宋体" w:hAnsi="宋体" w:cs="宋体"/>
                <w:b/>
                <w:bCs/>
                <w:color w:val="000000" w:themeColor="text1"/>
                <w:kern w:val="0"/>
                <w:sz w:val="18"/>
                <w:szCs w:val="21"/>
                <w14:textFill>
                  <w14:solidFill>
                    <w14:schemeClr w14:val="tx1"/>
                  </w14:solidFill>
                </w14:textFill>
              </w:rPr>
              <w:t>行业名称</w:t>
            </w:r>
          </w:p>
        </w:tc>
        <w:tc>
          <w:tcPr>
            <w:tcW w:w="136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指标名称</w:t>
            </w:r>
          </w:p>
        </w:tc>
        <w:tc>
          <w:tcPr>
            <w:tcW w:w="709"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计量</w:t>
            </w:r>
          </w:p>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单位</w:t>
            </w:r>
          </w:p>
        </w:tc>
        <w:tc>
          <w:tcPr>
            <w:tcW w:w="1125"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大型</w:t>
            </w:r>
          </w:p>
        </w:tc>
        <w:tc>
          <w:tcPr>
            <w:tcW w:w="1701"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中型</w:t>
            </w:r>
          </w:p>
        </w:tc>
        <w:tc>
          <w:tcPr>
            <w:tcW w:w="1426"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小型</w:t>
            </w:r>
          </w:p>
        </w:tc>
        <w:tc>
          <w:tcPr>
            <w:tcW w:w="992" w:type="dxa"/>
            <w:vAlign w:val="center"/>
          </w:tcPr>
          <w:p>
            <w:pPr>
              <w:widowControl/>
              <w:jc w:val="center"/>
              <w:rPr>
                <w:rFonts w:ascii="宋体" w:hAnsi="宋体" w:cs="宋体"/>
                <w:b/>
                <w:bCs/>
                <w:color w:val="000000" w:themeColor="text1"/>
                <w:kern w:val="0"/>
                <w:sz w:val="18"/>
                <w:szCs w:val="18"/>
                <w14:textFill>
                  <w14:solidFill>
                    <w14:schemeClr w14:val="tx1"/>
                  </w14:solidFill>
                </w14:textFill>
              </w:rPr>
            </w:pPr>
            <w:r>
              <w:rPr>
                <w:rFonts w:hint="eastAsia" w:ascii="宋体" w:hAnsi="宋体" w:cs="宋体"/>
                <w:b/>
                <w:bCs/>
                <w:color w:val="000000" w:themeColor="text1"/>
                <w:kern w:val="0"/>
                <w:sz w:val="18"/>
                <w:szCs w:val="18"/>
                <w14:textFill>
                  <w14:solidFill>
                    <w14:schemeClr w14:val="tx1"/>
                  </w14:solidFill>
                </w14:textFill>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农、林、牧、渔业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50≤Y＜500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工业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2000≤Y＜40000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建筑业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6000≤Y＜80000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300≤Y＜6000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Z≥80000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5000≤Z＜80000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300≤Z＜5000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批发业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5≤X＜20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Y≥40000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5000≤Y＜40000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1000≤Y＜5000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零售业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50≤X＜300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10≤X＜50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500≤Y＜20000</w:t>
            </w:r>
          </w:p>
        </w:tc>
        <w:tc>
          <w:tcPr>
            <w:tcW w:w="1426" w:type="dxa"/>
            <w:vAlign w:val="center"/>
          </w:tcPr>
          <w:p>
            <w:pPr>
              <w:widowControl/>
              <w:ind w:left="-1" w:leftChars="-1" w:hanging="1"/>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100≤Y＜500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交通运输业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200≤Y＜3000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仓储业*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邮政业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20≤X＜300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Y≥30000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2000≤Y＜30000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住宿业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餐饮业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2000≤Y＜10000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100≤Y＜2000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信息传输业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X≥2000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100≤X＜2000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1000≤Y＜100000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spacing w:val="-12"/>
                <w:kern w:val="0"/>
                <w:sz w:val="18"/>
                <w:szCs w:val="18"/>
                <w14:textFill>
                  <w14:solidFill>
                    <w14:schemeClr w14:val="tx1"/>
                  </w14:solidFill>
                </w14:textFill>
              </w:rPr>
            </w:pPr>
            <w:r>
              <w:rPr>
                <w:rFonts w:hint="eastAsia" w:ascii="宋体" w:hAnsi="宋体" w:cs="宋体"/>
                <w:color w:val="000000" w:themeColor="text1"/>
                <w:spacing w:val="-12"/>
                <w:kern w:val="0"/>
                <w:sz w:val="18"/>
                <w:szCs w:val="18"/>
                <w14:textFill>
                  <w14:solidFill>
                    <w14:schemeClr w14:val="tx1"/>
                  </w14:solidFill>
                </w14:textFill>
              </w:rPr>
              <w:t>软件和信息技术服</w:t>
            </w:r>
            <w:r>
              <w:rPr>
                <w:rFonts w:hint="eastAsia" w:ascii="宋体" w:hAnsi="宋体" w:cs="宋体"/>
                <w:color w:val="000000" w:themeColor="text1"/>
                <w:kern w:val="0"/>
                <w:sz w:val="18"/>
                <w:szCs w:val="18"/>
                <w14:textFill>
                  <w14:solidFill>
                    <w14:schemeClr w14:val="tx1"/>
                  </w14:solidFill>
                </w14:textFill>
              </w:rPr>
              <w:t>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spacing w:val="-12"/>
                <w:kern w:val="0"/>
                <w:sz w:val="18"/>
                <w:szCs w:val="18"/>
                <w14:textFill>
                  <w14:solidFill>
                    <w14:schemeClr w14:val="tx1"/>
                  </w14:solidFill>
                </w14:textFill>
              </w:rPr>
            </w:pP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1000≤Y＜10000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房地产开发经营</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Y≥200000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1000≤Y＜200000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5000≤Z＜10000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2000≤Z＜5000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物业管理</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300≤X＜1000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营业收入(Y)</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1000≤Y＜5000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500≤Y＜1000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restart"/>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租赁和商务服务业</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2113" w:type="dxa"/>
            <w:vMerge w:val="continue"/>
            <w:vAlign w:val="center"/>
          </w:tcPr>
          <w:p>
            <w:pPr>
              <w:widowControl/>
              <w:jc w:val="left"/>
              <w:rPr>
                <w:rFonts w:ascii="宋体" w:hAnsi="宋体" w:cs="宋体"/>
                <w:color w:val="000000" w:themeColor="text1"/>
                <w:kern w:val="0"/>
                <w:sz w:val="18"/>
                <w:szCs w:val="18"/>
                <w14:textFill>
                  <w14:solidFill>
                    <w14:schemeClr w14:val="tx1"/>
                  </w14:solidFill>
                </w14:textFill>
              </w:rPr>
            </w:pPr>
          </w:p>
        </w:tc>
        <w:tc>
          <w:tcPr>
            <w:tcW w:w="1369" w:type="dxa"/>
            <w:vAlign w:val="center"/>
          </w:tcPr>
          <w:p>
            <w:pPr>
              <w:widowControl/>
              <w:spacing w:line="240" w:lineRule="exact"/>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资产总额(Z)</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万元</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Z≥120000</w:t>
            </w:r>
          </w:p>
        </w:tc>
        <w:tc>
          <w:tcPr>
            <w:tcW w:w="1701"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8000≤Z＜120000</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100≤Z＜8000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2113" w:type="dxa"/>
            <w:vAlign w:val="center"/>
          </w:tcPr>
          <w:p>
            <w:pPr>
              <w:widowControl/>
              <w:spacing w:line="240" w:lineRule="exact"/>
              <w:jc w:val="left"/>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其他未列明行业 *</w:t>
            </w:r>
          </w:p>
        </w:tc>
        <w:tc>
          <w:tcPr>
            <w:tcW w:w="136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从业人员(X)</w:t>
            </w:r>
          </w:p>
        </w:tc>
        <w:tc>
          <w:tcPr>
            <w:tcW w:w="709"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人</w:t>
            </w:r>
          </w:p>
        </w:tc>
        <w:tc>
          <w:tcPr>
            <w:tcW w:w="1125"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X≥300</w:t>
            </w:r>
          </w:p>
        </w:tc>
        <w:tc>
          <w:tcPr>
            <w:tcW w:w="1701" w:type="dxa"/>
            <w:vAlign w:val="center"/>
          </w:tcPr>
          <w:p>
            <w:pPr>
              <w:widowControl/>
              <w:ind w:left="1" w:leftChars="-51" w:hanging="108" w:hangingChars="60"/>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100≤X＜300 </w:t>
            </w:r>
          </w:p>
        </w:tc>
        <w:tc>
          <w:tcPr>
            <w:tcW w:w="1426"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 xml:space="preserve"> 10≤X＜100</w:t>
            </w:r>
          </w:p>
        </w:tc>
        <w:tc>
          <w:tcPr>
            <w:tcW w:w="992" w:type="dxa"/>
            <w:vAlign w:val="center"/>
          </w:tcPr>
          <w:p>
            <w:pPr>
              <w:widowControl/>
              <w:jc w:val="center"/>
              <w:rPr>
                <w:rFonts w:ascii="宋体" w:hAnsi="宋体" w:cs="宋体"/>
                <w:color w:val="000000" w:themeColor="text1"/>
                <w:kern w:val="0"/>
                <w:sz w:val="18"/>
                <w:szCs w:val="18"/>
                <w14:textFill>
                  <w14:solidFill>
                    <w14:schemeClr w14:val="tx1"/>
                  </w14:solidFill>
                </w14:textFill>
              </w:rPr>
            </w:pPr>
            <w:r>
              <w:rPr>
                <w:rFonts w:hint="eastAsia" w:ascii="宋体" w:hAnsi="宋体" w:cs="宋体"/>
                <w:color w:val="000000" w:themeColor="text1"/>
                <w:kern w:val="0"/>
                <w:sz w:val="18"/>
                <w:szCs w:val="18"/>
                <w14:textFill>
                  <w14:solidFill>
                    <w14:schemeClr w14:val="tx1"/>
                  </w14:solidFill>
                </w14:textFill>
              </w:rPr>
              <w:t>X＜10</w:t>
            </w:r>
          </w:p>
        </w:tc>
      </w:tr>
    </w:tbl>
    <w:p>
      <w:pPr>
        <w:widowControl/>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说明：</w:t>
      </w:r>
    </w:p>
    <w:p>
      <w:pPr>
        <w:spacing w:line="360" w:lineRule="auto"/>
        <w:rPr>
          <w:rFonts w:ascii="宋体" w:hAnsi="宋体" w:cs="宋体"/>
          <w:color w:val="auto"/>
          <w:spacing w:val="8"/>
          <w:kern w:val="0"/>
          <w:szCs w:val="21"/>
        </w:rPr>
      </w:pPr>
      <w:r>
        <w:rPr>
          <w:rFonts w:hint="eastAsia" w:ascii="宋体" w:hAnsi="宋体" w:cs="宋体"/>
          <w:color w:val="auto"/>
          <w:spacing w:val="8"/>
          <w:kern w:val="0"/>
          <w:szCs w:val="21"/>
        </w:rPr>
        <w:t>　　1.大型、中型和小型企业须同时满足所列指标的下限，否则下划一档；微型企业只须满足所列指标中的一项即可。</w:t>
      </w:r>
    </w:p>
    <w:p>
      <w:pPr>
        <w:spacing w:line="360" w:lineRule="auto"/>
        <w:rPr>
          <w:rFonts w:ascii="宋体" w:hAnsi="宋体" w:cs="宋体"/>
          <w:color w:val="000000" w:themeColor="text1"/>
          <w:spacing w:val="8"/>
          <w:kern w:val="0"/>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pacing w:val="8"/>
          <w:kern w:val="0"/>
          <w:szCs w:val="21"/>
          <w14:textFill>
            <w14:solidFill>
              <w14:schemeClr w14:val="tx1"/>
            </w14:solidFill>
          </w14:textFill>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17"/>
        <w:rPr>
          <w:color w:val="000000" w:themeColor="text1"/>
          <w14:textFill>
            <w14:solidFill>
              <w14:schemeClr w14:val="tx1"/>
            </w14:solidFill>
          </w14:textFill>
        </w:rPr>
      </w:pPr>
    </w:p>
    <w:p>
      <w:pPr>
        <w:pStyle w:val="37"/>
        <w:ind w:firstLine="480"/>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5"/>
        <w:rPr>
          <w:color w:val="000000" w:themeColor="text1"/>
          <w14:textFill>
            <w14:solidFill>
              <w14:schemeClr w14:val="tx1"/>
            </w14:solidFill>
          </w14:textFill>
        </w:rPr>
      </w:pPr>
    </w:p>
    <w:p>
      <w:pPr>
        <w:pStyle w:val="36"/>
      </w:pPr>
    </w:p>
    <w:p>
      <w:pPr>
        <w:rPr>
          <w:color w:val="000000" w:themeColor="text1"/>
          <w14:textFill>
            <w14:solidFill>
              <w14:schemeClr w14:val="tx1"/>
            </w14:solidFill>
          </w14:textFill>
        </w:rPr>
      </w:pPr>
    </w:p>
    <w:p>
      <w:pPr>
        <w:pStyle w:val="6"/>
        <w:rPr>
          <w:color w:val="000000" w:themeColor="text1"/>
          <w14:textFill>
            <w14:solidFill>
              <w14:schemeClr w14:val="tx1"/>
            </w14:solidFill>
          </w14:textFill>
        </w:rPr>
      </w:pPr>
    </w:p>
    <w:p>
      <w:pPr>
        <w:kinsoku w:val="0"/>
        <w:overflowPunct w:val="0"/>
        <w:autoSpaceDE w:val="0"/>
        <w:autoSpaceDN w:val="0"/>
        <w:adjustRightInd w:val="0"/>
        <w:spacing w:line="360" w:lineRule="auto"/>
        <w:jc w:val="left"/>
        <w:outlineLvl w:val="1"/>
        <w:rPr>
          <w:rFonts w:ascii="Times New Roman" w:hAnsi="宋体" w:eastAsia="宋体" w:cs="Times New Roman"/>
          <w:b/>
          <w:color w:val="000000" w:themeColor="text1"/>
          <w:kern w:val="0"/>
          <w:szCs w:val="21"/>
          <w14:textFill>
            <w14:solidFill>
              <w14:schemeClr w14:val="tx1"/>
            </w14:solidFill>
          </w14:textFill>
        </w:rPr>
      </w:pPr>
      <w:r>
        <w:rPr>
          <w:rFonts w:hint="eastAsia" w:ascii="Times New Roman" w:hAnsi="宋体" w:eastAsia="宋体" w:cs="Times New Roman"/>
          <w:b/>
          <w:color w:val="000000" w:themeColor="text1"/>
          <w:kern w:val="0"/>
          <w:szCs w:val="21"/>
          <w14:textFill>
            <w14:solidFill>
              <w14:schemeClr w14:val="tx1"/>
            </w14:solidFill>
          </w14:textFill>
        </w:rPr>
        <w:t>一、说明</w:t>
      </w:r>
      <w:bookmarkEnd w:id="47"/>
      <w:bookmarkEnd w:id="48"/>
      <w:bookmarkEnd w:id="49"/>
      <w:r>
        <w:rPr>
          <w:rFonts w:ascii="Times New Roman" w:hAnsi="宋体" w:eastAsia="宋体" w:cs="Times New Roman"/>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适用范围</w:t>
      </w:r>
    </w:p>
    <w:p>
      <w:pPr>
        <w:autoSpaceDE w:val="0"/>
        <w:autoSpaceDN w:val="0"/>
        <w:adjustRightInd w:val="0"/>
        <w:snapToGrid w:val="0"/>
        <w:spacing w:line="360" w:lineRule="auto"/>
        <w:ind w:firstLine="420" w:firstLineChars="200"/>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本采购文件仅适用于</w:t>
      </w:r>
      <w:r>
        <w:rPr>
          <w:rFonts w:hint="eastAsia" w:ascii="宋体" w:hAnsi="宋体" w:eastAsia="宋体" w:cs="宋体"/>
          <w:b w:val="0"/>
          <w:bCs w:val="0"/>
          <w:color w:val="000000" w:themeColor="text1"/>
          <w:spacing w:val="6"/>
          <w:kern w:val="0"/>
          <w:sz w:val="21"/>
          <w:szCs w:val="21"/>
          <w:lang w:eastAsia="zh-CN"/>
          <w14:textFill>
            <w14:solidFill>
              <w14:schemeClr w14:val="tx1"/>
            </w14:solidFill>
          </w14:textFill>
        </w:rPr>
        <w:t>郑州市第九人民医院医疗设备采购项目</w:t>
      </w:r>
      <w:r>
        <w:rPr>
          <w:rFonts w:hint="eastAsia" w:ascii="宋体" w:hAnsi="宋体" w:eastAsia="宋体" w:cs="Times New Roman"/>
          <w:color w:val="000000" w:themeColor="text1"/>
          <w:kern w:val="0"/>
          <w:szCs w:val="21"/>
          <w14:textFill>
            <w14:solidFill>
              <w14:schemeClr w14:val="tx1"/>
            </w14:solidFill>
          </w14:textFill>
        </w:rPr>
        <w:t>。</w:t>
      </w:r>
      <w:r>
        <w:rPr>
          <w:rFonts w:ascii="宋体"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1.2 </w:t>
      </w:r>
      <w:r>
        <w:rPr>
          <w:rFonts w:hint="eastAsia" w:ascii="Times New Roman" w:hAnsi="宋体" w:eastAsia="宋体" w:cs="Times New Roman"/>
          <w:color w:val="000000" w:themeColor="text1"/>
          <w:kern w:val="0"/>
          <w:szCs w:val="21"/>
          <w14:textFill>
            <w14:solidFill>
              <w14:schemeClr w14:val="tx1"/>
            </w14:solidFill>
          </w14:textFill>
        </w:rPr>
        <w:t>定义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1.2.1 政府采购监督管理部门：郑州市财政局政府采购监督管理办公室。 </w:t>
      </w:r>
    </w:p>
    <w:p>
      <w:pPr>
        <w:wordWrap w:val="0"/>
        <w:topLinePunct/>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1.2.2 采购人：“供应商须知前附表”中所述的、依法进行政府采购的国家机关、事业单位、团体组织。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1.2.3 采购代理机构：在中华人民共和国财政部和河南省财政厅备案的采购代理机</w:t>
      </w:r>
      <w:r>
        <w:rPr>
          <w:rFonts w:hint="eastAsia" w:ascii="Times New Roman" w:hAnsi="宋体" w:eastAsia="宋体" w:cs="Times New Roman"/>
          <w:color w:val="000000" w:themeColor="text1"/>
          <w:spacing w:val="-15"/>
          <w:kern w:val="0"/>
          <w:szCs w:val="21"/>
          <w14:textFill>
            <w14:solidFill>
              <w14:schemeClr w14:val="tx1"/>
            </w14:solidFill>
          </w14:textFill>
        </w:rPr>
        <w:t>构，受</w:t>
      </w:r>
      <w:r>
        <w:rPr>
          <w:rFonts w:hint="eastAsia" w:ascii="Times New Roman" w:hAnsi="宋体" w:eastAsia="宋体" w:cs="Times New Roman"/>
          <w:color w:val="000000" w:themeColor="text1"/>
          <w:kern w:val="0"/>
          <w:szCs w:val="21"/>
          <w14:textFill>
            <w14:solidFill>
              <w14:schemeClr w14:val="tx1"/>
            </w14:solidFill>
          </w14:textFill>
        </w:rPr>
        <w:t>采购人委托组织招标活动，在招标过程中负有相应义务和责任的社会中介组织。</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1.2.4 </w:t>
      </w:r>
      <w:r>
        <w:rPr>
          <w:rFonts w:hint="eastAsia" w:ascii="Times New Roman" w:hAnsi="宋体" w:eastAsia="宋体" w:cs="Times New Roman"/>
          <w:color w:val="000000" w:themeColor="text1"/>
          <w:spacing w:val="-15"/>
          <w:kern w:val="0"/>
          <w:szCs w:val="21"/>
          <w14:textFill>
            <w14:solidFill>
              <w14:schemeClr w14:val="tx1"/>
            </w14:solidFill>
          </w14:textFill>
        </w:rPr>
        <w:t>供</w:t>
      </w:r>
      <w:r>
        <w:rPr>
          <w:rFonts w:ascii="Times New Roman" w:hAnsi="宋体" w:eastAsia="宋体" w:cs="Times New Roman"/>
          <w:color w:val="000000" w:themeColor="text1"/>
          <w:spacing w:val="-11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应商：是指响应招标、参加投标竞争的法人、其他组织或者自然人。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1.2.5 中标人：接到并接受中标通知，最终被授予合同的供应商。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 </w:t>
      </w:r>
      <w:r>
        <w:rPr>
          <w:rFonts w:hint="eastAsia" w:ascii="Times New Roman" w:hAnsi="宋体" w:eastAsia="宋体" w:cs="Times New Roman"/>
          <w:color w:val="000000" w:themeColor="text1"/>
          <w:kern w:val="0"/>
          <w:szCs w:val="21"/>
          <w14:textFill>
            <w14:solidFill>
              <w14:schemeClr w14:val="tx1"/>
            </w14:solidFill>
          </w14:textFill>
        </w:rPr>
        <w:t>招标项目概况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1 项目名称：见供应商须知前附表。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1.3.2</w:t>
      </w:r>
      <w:r>
        <w:rPr>
          <w:rFonts w:hint="eastAsia" w:ascii="Times New Roman" w:hAnsi="宋体" w:eastAsia="宋体" w:cs="Times New Roman"/>
          <w:color w:val="000000" w:themeColor="text1"/>
          <w:kern w:val="0"/>
          <w:szCs w:val="21"/>
          <w14:textFill>
            <w14:solidFill>
              <w14:schemeClr w14:val="tx1"/>
            </w14:solidFill>
          </w14:textFill>
        </w:rPr>
        <w:t xml:space="preserve"> 采购编号：见供应商须知前附表。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1.3.3</w:t>
      </w:r>
      <w:r>
        <w:rPr>
          <w:rFonts w:hint="eastAsia" w:ascii="Times New Roman" w:hAnsi="宋体" w:eastAsia="宋体" w:cs="Times New Roman"/>
          <w:color w:val="000000" w:themeColor="text1"/>
          <w:kern w:val="0"/>
          <w:szCs w:val="21"/>
          <w14:textFill>
            <w14:solidFill>
              <w14:schemeClr w14:val="tx1"/>
            </w14:solidFill>
          </w14:textFill>
        </w:rPr>
        <w:t xml:space="preserve"> 招标内容：见供应商须知前附表。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hint="eastAsia" w:ascii="Times New Roman" w:hAnsi="宋体" w:eastAsia="宋体" w:cs="Times New Roman"/>
          <w:color w:val="000000" w:themeColor="text1"/>
          <w:kern w:val="0"/>
          <w:szCs w:val="21"/>
          <w14:textFill>
            <w14:solidFill>
              <w14:schemeClr w14:val="tx1"/>
            </w14:solidFill>
          </w14:textFill>
        </w:rPr>
        <w:t>4</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交货期：见供应商须知前附表。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1.3.5 </w:t>
      </w:r>
      <w:r>
        <w:rPr>
          <w:rFonts w:hint="eastAsia" w:ascii="Times New Roman" w:hAnsi="宋体" w:eastAsia="宋体" w:cs="Times New Roman"/>
          <w:color w:val="000000" w:themeColor="text1"/>
          <w:kern w:val="0"/>
          <w:szCs w:val="21"/>
          <w14:textFill>
            <w14:solidFill>
              <w14:schemeClr w14:val="tx1"/>
            </w14:solidFill>
          </w14:textFill>
        </w:rPr>
        <w:t>交货地点：见供应商须知前附表。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1.3.6 </w:t>
      </w:r>
      <w:r>
        <w:rPr>
          <w:rFonts w:hint="eastAsia" w:ascii="Times New Roman" w:hAnsi="宋体" w:eastAsia="宋体" w:cs="Times New Roman"/>
          <w:color w:val="000000" w:themeColor="text1"/>
          <w:kern w:val="0"/>
          <w:szCs w:val="21"/>
          <w14:textFill>
            <w14:solidFill>
              <w14:schemeClr w14:val="tx1"/>
            </w14:solidFill>
          </w14:textFill>
        </w:rPr>
        <w:t>质保期：见供应商须知前附表。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质量：见供应商须知前附表。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eastAsia="宋体"/>
          <w:color w:val="000000" w:themeColor="text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1.3.8 标段：见供应商须知前附表。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1.4 </w:t>
      </w:r>
      <w:r>
        <w:rPr>
          <w:rFonts w:hint="eastAsia" w:ascii="Times New Roman" w:hAnsi="宋体" w:eastAsia="宋体" w:cs="Times New Roman"/>
          <w:color w:val="000000" w:themeColor="text1"/>
          <w:kern w:val="0"/>
          <w:szCs w:val="21"/>
          <w14:textFill>
            <w14:solidFill>
              <w14:schemeClr w14:val="tx1"/>
            </w14:solidFill>
          </w14:textFill>
        </w:rPr>
        <w:t>供应商资格要求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1.4.1</w:t>
      </w:r>
      <w:r>
        <w:rPr>
          <w:rFonts w:hint="eastAsia" w:ascii="Times New Roman" w:hAnsi="宋体" w:eastAsia="宋体" w:cs="Times New Roman"/>
          <w:color w:val="000000" w:themeColor="text1"/>
          <w:kern w:val="0"/>
          <w:szCs w:val="21"/>
          <w14:textFill>
            <w14:solidFill>
              <w14:schemeClr w14:val="tx1"/>
            </w14:solidFill>
          </w14:textFill>
        </w:rPr>
        <w:t xml:space="preserve"> 供应商应具备承担本招标项目项目的资格条件、能力和信誉，合格供应商的资格条件：见供应商须知前附表。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1.4.2</w:t>
      </w:r>
      <w:r>
        <w:rPr>
          <w:rFonts w:hint="eastAsia" w:ascii="Times New Roman" w:hAnsi="宋体" w:eastAsia="宋体" w:cs="Times New Roman"/>
          <w:color w:val="000000" w:themeColor="text1"/>
          <w:kern w:val="0"/>
          <w:szCs w:val="21"/>
          <w14:textFill>
            <w14:solidFill>
              <w14:schemeClr w14:val="tx1"/>
            </w14:solidFill>
          </w14:textFill>
        </w:rPr>
        <w:t xml:space="preserve"> 联合体投标：见供应商须知前附表。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1.5 </w:t>
      </w:r>
      <w:r>
        <w:rPr>
          <w:rFonts w:hint="eastAsia" w:ascii="Times New Roman" w:hAnsi="宋体" w:eastAsia="宋体" w:cs="Times New Roman"/>
          <w:color w:val="000000" w:themeColor="text1"/>
          <w:kern w:val="0"/>
          <w:szCs w:val="21"/>
          <w14:textFill>
            <w14:solidFill>
              <w14:schemeClr w14:val="tx1"/>
            </w14:solidFill>
          </w14:textFill>
        </w:rPr>
        <w:t>合格的货物和服务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所提供的投标货物包括所有产品及其配件，均应来自于合格的原产地。本款所述的“原产地”是指产品的来源地即产品制造或加工所在地，这些来源地为中华人民共和国境内或与中华人民共和国有正常贸易往来的国家或地区。本款所述的“产品”是指通过制造、加工或用重要的和主要的元部件装配而成的，其基本特征、功能或效用应是商业上公认的与元部件有实质性的区别。</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1.6 </w:t>
      </w:r>
      <w:r>
        <w:rPr>
          <w:rFonts w:hint="eastAsia" w:ascii="Times New Roman" w:hAnsi="宋体" w:eastAsia="宋体" w:cs="Times New Roman"/>
          <w:color w:val="000000" w:themeColor="text1"/>
          <w:kern w:val="0"/>
          <w:szCs w:val="21"/>
          <w14:textFill>
            <w14:solidFill>
              <w14:schemeClr w14:val="tx1"/>
            </w14:solidFill>
          </w14:textFill>
        </w:rPr>
        <w:t>适用法律及政府采购政策落实</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hint="eastAsia" w:ascii="Times New Roman" w:hAnsi="宋体" w:eastAsia="宋体" w:cs="Times New Roman"/>
          <w:color w:val="000000" w:themeColor="text1"/>
          <w:kern w:val="0"/>
          <w:szCs w:val="21"/>
          <w14:textFill>
            <w14:solidFill>
              <w14:schemeClr w14:val="tx1"/>
            </w14:solidFill>
          </w14:textFill>
        </w:rPr>
        <w:t xml:space="preserve">1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适用法律：见供应商须知前附表。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1.6.2</w:t>
      </w:r>
      <w:r>
        <w:rPr>
          <w:rFonts w:hint="eastAsia" w:ascii="Times New Roman" w:hAnsi="宋体" w:eastAsia="宋体" w:cs="Times New Roman"/>
          <w:color w:val="000000" w:themeColor="text1"/>
          <w:kern w:val="0"/>
          <w:szCs w:val="21"/>
          <w14:textFill>
            <w14:solidFill>
              <w14:schemeClr w14:val="tx1"/>
            </w14:solidFill>
          </w14:textFill>
        </w:rPr>
        <w:t xml:space="preserve"> 政府采购政策：见供应商须知前附表。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1.7 </w:t>
      </w:r>
      <w:r>
        <w:rPr>
          <w:rFonts w:hint="eastAsia" w:ascii="Times New Roman" w:hAnsi="宋体" w:eastAsia="宋体" w:cs="Times New Roman"/>
          <w:color w:val="000000" w:themeColor="text1"/>
          <w:kern w:val="0"/>
          <w:szCs w:val="21"/>
          <w14:textFill>
            <w14:solidFill>
              <w14:schemeClr w14:val="tx1"/>
            </w14:solidFill>
          </w14:textFill>
        </w:rPr>
        <w:t>投标费用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供应商应承担其参与本次投标所涉及的一切费用。不论投标结果如何，采购人或代理机构无义务亦无责任承担这些费用。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1.8 </w:t>
      </w:r>
      <w:r>
        <w:rPr>
          <w:rFonts w:hint="eastAsia" w:ascii="Times New Roman" w:hAnsi="宋体" w:eastAsia="宋体" w:cs="Times New Roman"/>
          <w:color w:val="000000" w:themeColor="text1"/>
          <w:kern w:val="0"/>
          <w:szCs w:val="21"/>
          <w14:textFill>
            <w14:solidFill>
              <w14:schemeClr w14:val="tx1"/>
            </w14:solidFill>
          </w14:textFill>
        </w:rPr>
        <w:t>保密</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参与招投标活动的各方应对采购文件和投标文件中的商业和技术等秘密保密，否则应承担相应的法律责任。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1.9 </w:t>
      </w:r>
      <w:r>
        <w:rPr>
          <w:rFonts w:hint="eastAsia" w:ascii="Times New Roman" w:hAnsi="宋体" w:eastAsia="宋体" w:cs="Times New Roman"/>
          <w:color w:val="000000" w:themeColor="text1"/>
          <w:kern w:val="0"/>
          <w:szCs w:val="21"/>
          <w14:textFill>
            <w14:solidFill>
              <w14:schemeClr w14:val="tx1"/>
            </w14:solidFill>
          </w14:textFill>
        </w:rPr>
        <w:t>知识产权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供应商须保证采购人在中华人民共和国境内使用投标货物、资料、技术、服务或其任何一部分时，享有不受限制的无偿使用权，不会产生因第三方提出侵犯其专利权、商标权或其它知识产权而引起的法律或经济纠纷。如供应商不拥有相应的知识产权，则在投标报价中必须包括合法获取该知识产权的一切相关费用。如因此导致采购人损失的，供应商须承担全部赔偿责任。供应商如欲在项目实施过程中采用自有知识成果，须在投标文件中声明，并提供相关知识产权证明文件。使用该知识成果后，供应商须提供开发接口和开发手册等技术文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1.1</w:t>
      </w:r>
      <w:r>
        <w:rPr>
          <w:rFonts w:hint="eastAsia" w:ascii="Times New Roman" w:hAnsi="宋体" w:eastAsia="宋体" w:cs="Times New Roman"/>
          <w:bCs/>
          <w:color w:val="000000" w:themeColor="text1"/>
          <w:kern w:val="0"/>
          <w:szCs w:val="21"/>
          <w14:textFill>
            <w14:solidFill>
              <w14:schemeClr w14:val="tx1"/>
            </w14:solidFill>
          </w14:textFill>
        </w:rPr>
        <w:t>0响应和偏差</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spacing w:val="-4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投标文件应当对采购文件的实质性要求和条件作出满足性或更有利于采购人的</w:t>
      </w:r>
      <w:r>
        <w:rPr>
          <w:rFonts w:hint="eastAsia" w:ascii="Times New Roman" w:hAnsi="宋体" w:eastAsia="宋体" w:cs="Times New Roman"/>
          <w:color w:val="000000" w:themeColor="text1"/>
          <w:spacing w:val="-11"/>
          <w:kern w:val="0"/>
          <w:szCs w:val="21"/>
          <w14:textFill>
            <w14:solidFill>
              <w14:schemeClr w14:val="tx1"/>
            </w14:solidFill>
          </w14:textFill>
        </w:rPr>
        <w:t>响应，否则，供应商的投标将被按无效标处理。实质性要求和条件见供应商须知前附表。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供应商应根据采购文件的要求提供投标设备技术性能指标的详细描述、技术支持</w:t>
      </w:r>
      <w:r>
        <w:rPr>
          <w:rFonts w:hint="eastAsia" w:ascii="Times New Roman" w:hAnsi="宋体" w:eastAsia="宋体" w:cs="Times New Roman"/>
          <w:color w:val="000000" w:themeColor="text1"/>
          <w:kern w:val="0"/>
          <w:szCs w:val="21"/>
          <w14:textFill>
            <w14:solidFill>
              <w14:schemeClr w14:val="tx1"/>
            </w14:solidFill>
          </w14:textFill>
        </w:rPr>
        <w:t>资料及技术服务和质保期服务计划等内容以对采购文件作出响应。</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1.10.3 投标文件中应针对采购文件列明的技术要求提供技术支持资料。技术资料以制造商公开</w:t>
      </w:r>
      <w:r>
        <w:rPr>
          <w:rFonts w:hint="eastAsia" w:ascii="Times New Roman" w:hAnsi="宋体" w:eastAsia="宋体" w:cs="Times New Roman"/>
          <w:color w:val="000000" w:themeColor="text1"/>
          <w:spacing w:val="-10"/>
          <w:kern w:val="0"/>
          <w:szCs w:val="21"/>
          <w14:textFill>
            <w14:solidFill>
              <w14:schemeClr w14:val="tx1"/>
            </w14:solidFill>
          </w14:textFill>
        </w:rPr>
        <w:t>发布的印刷资料，或检测机构出具的检测报告或采购文件允许的其他形式为准，不符合前述要</w:t>
      </w:r>
      <w:r>
        <w:rPr>
          <w:rFonts w:hint="eastAsia" w:ascii="Times New Roman" w:hAnsi="宋体" w:eastAsia="宋体" w:cs="Times New Roman"/>
          <w:color w:val="000000" w:themeColor="text1"/>
          <w:kern w:val="0"/>
          <w:szCs w:val="21"/>
          <w14:textFill>
            <w14:solidFill>
              <w14:schemeClr w14:val="tx1"/>
            </w14:solidFill>
          </w14:textFill>
        </w:rPr>
        <w:t>求的，视为无技术支持资料。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hint="eastAsia" w:ascii="Times New Roman" w:hAnsi="宋体" w:eastAsia="宋体" w:cs="Times New Roman"/>
          <w:color w:val="000000" w:themeColor="text1"/>
          <w:kern w:val="0"/>
          <w:szCs w:val="21"/>
          <w14:textFill>
            <w14:solidFill>
              <w14:schemeClr w14:val="tx1"/>
            </w14:solidFill>
          </w14:textFill>
        </w:rPr>
        <w:t>0</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投标文件对采购文件的全部偏差，均应在投标文件的商务或技术偏离表中列明，除列明的内容外，视为供应商响应采购文件的全部要求。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4" w:name="_Toc21907"/>
      <w:bookmarkStart w:id="55" w:name="_Toc17887122"/>
      <w:bookmarkStart w:id="56" w:name="_Toc5960095"/>
      <w:r>
        <w:rPr>
          <w:rFonts w:hint="eastAsia" w:ascii="宋体" w:hAnsi="宋体" w:eastAsia="宋体" w:cs="宋体"/>
          <w:b/>
          <w:bCs/>
          <w:color w:val="000000" w:themeColor="text1"/>
          <w:kern w:val="0"/>
          <w:szCs w:val="21"/>
          <w14:textFill>
            <w14:solidFill>
              <w14:schemeClr w14:val="tx1"/>
            </w14:solidFill>
          </w14:textFill>
        </w:rPr>
        <w:t>二、采购文件</w:t>
      </w:r>
      <w:bookmarkEnd w:id="54"/>
      <w:bookmarkEnd w:id="55"/>
      <w:bookmarkEnd w:id="56"/>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2.1</w:t>
      </w:r>
      <w:r>
        <w:rPr>
          <w:rFonts w:hint="eastAsia" w:ascii="宋体" w:hAnsi="宋体" w:eastAsia="宋体" w:cs="宋体"/>
          <w:bCs/>
          <w:color w:val="000000" w:themeColor="text1"/>
          <w:kern w:val="0"/>
          <w:szCs w:val="21"/>
          <w14:textFill>
            <w14:solidFill>
              <w14:schemeClr w14:val="tx1"/>
            </w14:solidFill>
          </w14:textFill>
        </w:rPr>
        <w:t xml:space="preserve"> 采购文件构成</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2.1.1</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采购文件用以阐明所需设备及服务、招标投标程序和合同条款等内容。采购文件由下述部分组成：</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招标公告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供应商须知</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评标方法及标准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合同条款</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5</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技术标准和要求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spacing w:val="-6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投标文件格式</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602"/>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ascii="Times New Roman" w:hAnsi="宋体" w:eastAsia="宋体" w:cs="Times New Roman"/>
          <w:color w:val="000000" w:themeColor="text1"/>
          <w:spacing w:val="-2"/>
          <w:kern w:val="0"/>
          <w:szCs w:val="21"/>
          <w14:textFill>
            <w14:solidFill>
              <w14:schemeClr w14:val="tx1"/>
            </w14:solidFill>
          </w14:textFill>
        </w:rPr>
        <w:t>7</w:t>
      </w:r>
      <w:r>
        <w:rPr>
          <w:rFonts w:hint="eastAsia" w:ascii="Times New Roman" w:hAnsi="宋体" w:eastAsia="宋体" w:cs="Times New Roman"/>
          <w:color w:val="000000" w:themeColor="text1"/>
          <w:spacing w:val="-2"/>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本项目采购文件的澄清、答复、修改、补充内容（如有的话）</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3"/>
          <w:kern w:val="0"/>
          <w:szCs w:val="21"/>
          <w14:textFill>
            <w14:solidFill>
              <w14:schemeClr w14:val="tx1"/>
            </w14:solidFill>
          </w14:textFill>
        </w:rPr>
        <w:t>根据本章第</w:t>
      </w:r>
      <w:r>
        <w:rPr>
          <w:rFonts w:ascii="Times New Roman" w:hAnsi="宋体" w:eastAsia="宋体" w:cs="Times New Roman"/>
          <w:color w:val="000000" w:themeColor="text1"/>
          <w:spacing w:val="-13"/>
          <w:kern w:val="0"/>
          <w:szCs w:val="21"/>
          <w14:textFill>
            <w14:solidFill>
              <w14:schemeClr w14:val="tx1"/>
            </w14:solidFill>
          </w14:textFill>
        </w:rPr>
        <w:t>2.2</w:t>
      </w:r>
      <w:r>
        <w:rPr>
          <w:rFonts w:hint="eastAsia" w:ascii="Times New Roman" w:hAnsi="宋体" w:eastAsia="宋体" w:cs="Times New Roman"/>
          <w:color w:val="000000" w:themeColor="text1"/>
          <w:spacing w:val="-13"/>
          <w:kern w:val="0"/>
          <w:szCs w:val="21"/>
          <w14:textFill>
            <w14:solidFill>
              <w14:schemeClr w14:val="tx1"/>
            </w14:solidFill>
          </w14:textFill>
        </w:rPr>
        <w:t>款对采购文件所作的澄清、修改，构成采购文件的组成部分。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2.1.2</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除非有特殊要求，采购文件不单独提供招标设备使用地的自然环境、气候条件、</w:t>
      </w:r>
      <w:r>
        <w:rPr>
          <w:rFonts w:hint="eastAsia" w:ascii="Times New Roman" w:hAnsi="宋体" w:eastAsia="宋体" w:cs="Times New Roman"/>
          <w:color w:val="000000" w:themeColor="text1"/>
          <w:spacing w:val="-10"/>
          <w:kern w:val="0"/>
          <w:szCs w:val="21"/>
          <w14:textFill>
            <w14:solidFill>
              <w14:schemeClr w14:val="tx1"/>
            </w14:solidFill>
          </w14:textFill>
        </w:rPr>
        <w:t>公用设施等情况，供应商被视为熟悉上述与履行合同有关的一切情况。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4"/>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2.1.3</w:t>
      </w:r>
      <w:r>
        <w:rPr>
          <w:rFonts w:hint="eastAsia" w:ascii="Times New Roman" w:hAnsi="宋体" w:eastAsia="宋体" w:cs="Times New Roman"/>
          <w:color w:val="000000" w:themeColor="text1"/>
          <w:kern w:val="0"/>
          <w:szCs w:val="21"/>
          <w14:textFill>
            <w14:solidFill>
              <w14:schemeClr w14:val="tx1"/>
            </w14:solidFill>
          </w14:textFill>
        </w:rPr>
        <w:t xml:space="preserve"> 供应商应清楚采购文件应该直接从招标公告公布的途径获得，根据复制的采购文件</w:t>
      </w:r>
      <w:r>
        <w:rPr>
          <w:rFonts w:hint="eastAsia" w:ascii="Times New Roman" w:hAnsi="宋体" w:eastAsia="宋体" w:cs="Times New Roman"/>
          <w:color w:val="000000" w:themeColor="text1"/>
          <w:spacing w:val="-4"/>
          <w:kern w:val="0"/>
          <w:szCs w:val="21"/>
          <w14:textFill>
            <w14:solidFill>
              <w14:schemeClr w14:val="tx1"/>
            </w14:solidFill>
          </w14:textFill>
        </w:rPr>
        <w:t>编制的投标文件将被拒收。</w:t>
      </w:r>
      <w:r>
        <w:rPr>
          <w:rFonts w:ascii="Times New Roman" w:hAnsi="宋体"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2.1.4</w:t>
      </w:r>
      <w:r>
        <w:rPr>
          <w:rFonts w:hint="eastAsia" w:ascii="Times New Roman" w:hAnsi="宋体" w:eastAsia="宋体" w:cs="Times New Roman"/>
          <w:color w:val="000000" w:themeColor="text1"/>
          <w:kern w:val="0"/>
          <w:szCs w:val="21"/>
          <w14:textFill>
            <w14:solidFill>
              <w14:schemeClr w14:val="tx1"/>
            </w14:solidFill>
          </w14:textFill>
        </w:rPr>
        <w:t xml:space="preserve"> 本采购文件以采购方（采购人或采购代理机构）通过采购人或代理机构发出的电子采购文件为准，不提供纸质版采购文件。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 </w:t>
      </w:r>
      <w:r>
        <w:rPr>
          <w:rFonts w:hint="eastAsia" w:ascii="Times New Roman" w:hAnsi="宋体" w:eastAsia="宋体" w:cs="Times New Roman"/>
          <w:bCs/>
          <w:color w:val="000000" w:themeColor="text1"/>
          <w:kern w:val="0"/>
          <w:szCs w:val="21"/>
          <w14:textFill>
            <w14:solidFill>
              <w14:schemeClr w14:val="tx1"/>
            </w14:solidFill>
          </w14:textFill>
        </w:rPr>
        <w:t>采购文件的澄清或者修改</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供应商应仔细阅读和检查采购文件的全部内容。如有疑问，须在收到采购文件之</w:t>
      </w:r>
      <w:r>
        <w:rPr>
          <w:rFonts w:hint="eastAsia" w:ascii="Times New Roman" w:hAnsi="宋体" w:eastAsia="宋体" w:cs="Times New Roman"/>
          <w:color w:val="000000" w:themeColor="text1"/>
          <w:spacing w:val="-4"/>
          <w:kern w:val="0"/>
          <w:szCs w:val="21"/>
          <w14:textFill>
            <w14:solidFill>
              <w14:schemeClr w14:val="tx1"/>
            </w14:solidFill>
          </w14:textFill>
        </w:rPr>
        <w:t>日或者采购文件公告期限届满之日起七个工作日内以纸质方式向代理机构提出，要求采购人对招</w:t>
      </w:r>
      <w:r>
        <w:rPr>
          <w:rFonts w:ascii="Times New Roman" w:hAnsi="宋体" w:eastAsia="宋体" w:cs="Times New Roman"/>
          <w:color w:val="000000" w:themeColor="text1"/>
          <w:spacing w:val="-104"/>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标文件予以澄清。采购人和采购代理机构对潜在供应商在规定期限内提交的疑问将视情况予</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以答复。在规定的时间内未提出疑问的，将被视为完全理解并接受采购文件的全部内容。</w:t>
      </w:r>
      <w:r>
        <w:rPr>
          <w:rFonts w:ascii="Times New Roman" w:hAnsi="宋体" w:eastAsia="宋体" w:cs="Times New Roman"/>
          <w:color w:val="000000" w:themeColor="text1"/>
          <w:spacing w:val="-7"/>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2.2.2 除非采购人认为确有必要答复，否则，采购人有权拒绝回复供应商在本章第</w:t>
      </w:r>
      <w:r>
        <w:rPr>
          <w:rFonts w:ascii="Times New Roman" w:hAnsi="宋体" w:eastAsia="宋体" w:cs="Times New Roman"/>
          <w:color w:val="000000" w:themeColor="text1"/>
          <w:kern w:val="0"/>
          <w:szCs w:val="21"/>
          <w14:textFill>
            <w14:solidFill>
              <w14:schemeClr w14:val="tx1"/>
            </w14:solidFill>
          </w14:textFill>
        </w:rPr>
        <w:t>2.2.1</w:t>
      </w:r>
      <w:r>
        <w:rPr>
          <w:rFonts w:hint="eastAsia" w:ascii="Times New Roman" w:hAnsi="宋体" w:eastAsia="宋体" w:cs="Times New Roman"/>
          <w:color w:val="000000" w:themeColor="text1"/>
          <w:kern w:val="0"/>
          <w:szCs w:val="21"/>
          <w14:textFill>
            <w14:solidFill>
              <w14:schemeClr w14:val="tx1"/>
            </w14:solidFill>
          </w14:textFill>
        </w:rPr>
        <w:t>项规定的时间后的任何澄清要求。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2.2.3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采购人或者采购代理机构可以对已发出的采购文件进行必要的澄清或者修改，</w:t>
      </w:r>
      <w:r>
        <w:rPr>
          <w:rFonts w:hint="eastAsia" w:ascii="Times New Roman" w:hAnsi="宋体" w:eastAsia="宋体" w:cs="Times New Roman"/>
          <w:color w:val="000000" w:themeColor="text1"/>
          <w:spacing w:val="-7"/>
          <w:kern w:val="0"/>
          <w:szCs w:val="21"/>
          <w14:textFill>
            <w14:solidFill>
              <w14:schemeClr w14:val="tx1"/>
            </w14:solidFill>
          </w14:textFill>
        </w:rPr>
        <w:t>但不得改变采购标的和资格条件。澄清或者修改的内容为采购文件的组成部分。澄清或者修</w:t>
      </w:r>
      <w:r>
        <w:rPr>
          <w:rFonts w:ascii="Times New Roman" w:hAnsi="宋体" w:eastAsia="宋体" w:cs="Times New Roman"/>
          <w:color w:val="000000" w:themeColor="text1"/>
          <w:spacing w:val="-102"/>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改的内容可能影响投标文件编制的，采购人或者采购代理机构在投标截止时间至少</w:t>
      </w:r>
      <w:r>
        <w:rPr>
          <w:rFonts w:ascii="Times New Roman" w:hAnsi="宋体" w:eastAsia="宋体" w:cs="Times New Roman"/>
          <w:color w:val="000000" w:themeColor="text1"/>
          <w:spacing w:val="-11"/>
          <w:kern w:val="0"/>
          <w:szCs w:val="21"/>
          <w14:textFill>
            <w14:solidFill>
              <w14:schemeClr w14:val="tx1"/>
            </w14:solidFill>
          </w14:textFill>
        </w:rPr>
        <w:t>15</w:t>
      </w:r>
      <w:r>
        <w:rPr>
          <w:rFonts w:hint="eastAsia" w:ascii="Times New Roman" w:hAnsi="宋体" w:eastAsia="宋体" w:cs="Times New Roman"/>
          <w:color w:val="000000" w:themeColor="text1"/>
          <w:spacing w:val="-11"/>
          <w:kern w:val="0"/>
          <w:szCs w:val="21"/>
          <w14:textFill>
            <w14:solidFill>
              <w14:schemeClr w14:val="tx1"/>
            </w14:solidFill>
          </w14:textFill>
        </w:rPr>
        <w:t>日前，通</w:t>
      </w:r>
      <w:r>
        <w:rPr>
          <w:rFonts w:ascii="Times New Roman" w:hAnsi="宋体" w:eastAsia="宋体" w:cs="Times New Roman"/>
          <w:color w:val="000000" w:themeColor="text1"/>
          <w:spacing w:val="-11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知所有获取采购文件的潜在供应商；不足</w:t>
      </w:r>
      <w:r>
        <w:rPr>
          <w:rFonts w:ascii="Times New Roman" w:hAnsi="宋体" w:eastAsia="宋体" w:cs="Times New Roman"/>
          <w:color w:val="000000" w:themeColor="text1"/>
          <w:spacing w:val="-9"/>
          <w:kern w:val="0"/>
          <w:szCs w:val="21"/>
          <w14:textFill>
            <w14:solidFill>
              <w14:schemeClr w14:val="tx1"/>
            </w14:solidFill>
          </w14:textFill>
        </w:rPr>
        <w:t>15</w:t>
      </w:r>
      <w:r>
        <w:rPr>
          <w:rFonts w:hint="eastAsia" w:ascii="Times New Roman" w:hAnsi="宋体" w:eastAsia="宋体" w:cs="Times New Roman"/>
          <w:color w:val="000000" w:themeColor="text1"/>
          <w:spacing w:val="-9"/>
          <w:kern w:val="0"/>
          <w:szCs w:val="21"/>
          <w14:textFill>
            <w14:solidFill>
              <w14:schemeClr w14:val="tx1"/>
            </w14:solidFill>
          </w14:textFill>
        </w:rPr>
        <w:t>日的，顺延提交投标文件的截止时间。</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2.2.4</w:t>
      </w:r>
      <w:r>
        <w:rPr>
          <w:rFonts w:ascii="Times New Roman" w:hAnsi="宋体" w:eastAsia="宋体" w:cs="Times New Roman"/>
          <w:color w:val="000000" w:themeColor="text1"/>
          <w:spacing w:val="2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采购文件的澄清或者修改将通过代理机构发布的“答疑文件”告知供应商，</w:t>
      </w:r>
      <w:r>
        <w:rPr>
          <w:rFonts w:hint="eastAsia" w:ascii="Times New Roman" w:hAnsi="宋体" w:eastAsia="宋体" w:cs="Times New Roman"/>
          <w:color w:val="000000" w:themeColor="text1"/>
          <w:spacing w:val="-6"/>
          <w:kern w:val="0"/>
          <w:szCs w:val="21"/>
          <w14:textFill>
            <w14:solidFill>
              <w14:schemeClr w14:val="tx1"/>
            </w14:solidFill>
          </w14:textFill>
        </w:rPr>
        <w:t>发布给所有领取采购文件的供应商，但不指明澄清问</w:t>
      </w:r>
      <w:r>
        <w:rPr>
          <w:rFonts w:hint="eastAsia" w:ascii="Times New Roman" w:hAnsi="宋体" w:eastAsia="宋体" w:cs="Times New Roman"/>
          <w:color w:val="000000" w:themeColor="text1"/>
          <w:spacing w:val="-12"/>
          <w:kern w:val="0"/>
          <w:szCs w:val="21"/>
          <w14:textFill>
            <w14:solidFill>
              <w14:schemeClr w14:val="tx1"/>
            </w14:solidFill>
          </w14:textFill>
        </w:rPr>
        <w:t>题的来源。</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2.3</w:t>
      </w:r>
      <w:r>
        <w:rPr>
          <w:rFonts w:ascii="Times New Roman" w:hAnsi="宋体" w:eastAsia="宋体" w:cs="Times New Roman"/>
          <w:bCs/>
          <w:color w:val="000000" w:themeColor="text1"/>
          <w:spacing w:val="-7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投标截止时间的推迟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采购人可以视采购具体情况，推迟投标截止时间和开标时间，但至少应当在采购文件</w:t>
      </w:r>
      <w:r>
        <w:rPr>
          <w:rFonts w:hint="eastAsia" w:ascii="Times New Roman" w:hAnsi="宋体" w:eastAsia="宋体" w:cs="Times New Roman"/>
          <w:color w:val="000000" w:themeColor="text1"/>
          <w:spacing w:val="-4"/>
          <w:kern w:val="0"/>
          <w:szCs w:val="21"/>
          <w14:textFill>
            <w14:solidFill>
              <w14:schemeClr w14:val="tx1"/>
            </w14:solidFill>
          </w14:textFill>
        </w:rPr>
        <w:t>要求提交投标文件的截止时间三日前，将变更时间通知所有采购文件收受人，并在财政部门</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指定的政府采购信息发布媒体上发布变更公告。</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bCs/>
          <w:color w:val="000000" w:themeColor="text1"/>
          <w:w w:val="99"/>
          <w:kern w:val="0"/>
          <w:szCs w:val="21"/>
          <w14:textFill>
            <w14:solidFill>
              <w14:schemeClr w14:val="tx1"/>
            </w14:solidFill>
          </w14:textFill>
        </w:rPr>
      </w:pPr>
      <w:bookmarkStart w:id="57" w:name="_Toc5960096"/>
      <w:bookmarkStart w:id="58" w:name="_Toc28143"/>
      <w:bookmarkStart w:id="59" w:name="_Toc17887123"/>
      <w:r>
        <w:rPr>
          <w:rFonts w:hint="eastAsia" w:ascii="宋体" w:hAnsi="宋体" w:eastAsia="宋体" w:cs="宋体"/>
          <w:b/>
          <w:bCs/>
          <w:color w:val="000000" w:themeColor="text1"/>
          <w:kern w:val="0"/>
          <w:szCs w:val="21"/>
          <w14:textFill>
            <w14:solidFill>
              <w14:schemeClr w14:val="tx1"/>
            </w14:solidFill>
          </w14:textFill>
        </w:rPr>
        <w:t>三、投标文件的编制</w:t>
      </w:r>
      <w:bookmarkEnd w:id="57"/>
      <w:bookmarkEnd w:id="58"/>
      <w:bookmarkEnd w:id="59"/>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3.1</w:t>
      </w:r>
      <w:r>
        <w:rPr>
          <w:rFonts w:ascii="宋体" w:hAnsi="宋体" w:eastAsia="宋体" w:cs="宋体"/>
          <w:bCs/>
          <w:color w:val="000000" w:themeColor="text1"/>
          <w:spacing w:val="-2"/>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投标语言</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供应商提交的投标文件以及供应商与招标方就有关投标的所有来往函电均应使用中文</w:t>
      </w:r>
      <w:r>
        <w:rPr>
          <w:rFonts w:hint="eastAsia" w:ascii="Times New Roman" w:hAnsi="宋体" w:eastAsia="宋体" w:cs="Times New Roman"/>
          <w:color w:val="000000" w:themeColor="text1"/>
          <w:kern w:val="0"/>
          <w:szCs w:val="21"/>
          <w14:textFill>
            <w14:solidFill>
              <w14:schemeClr w14:val="tx1"/>
            </w14:solidFill>
          </w14:textFill>
        </w:rPr>
        <w:t>书写。供应商提供的外文资料应附有相应中文译本，并以中文译本为准。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3.2</w:t>
      </w:r>
      <w:r>
        <w:rPr>
          <w:rFonts w:ascii="Times New Roman" w:hAnsi="宋体" w:eastAsia="宋体" w:cs="Times New Roman"/>
          <w:bCs/>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计量单位</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2"/>
          <w:kern w:val="0"/>
          <w:szCs w:val="21"/>
          <w14:textFill>
            <w14:solidFill>
              <w14:schemeClr w14:val="tx1"/>
            </w14:solidFill>
          </w14:textFill>
        </w:rPr>
        <w:t>除在采购文件的技术规格中另有规定外，计量单位应使用中华人民共和国法定计量单</w:t>
      </w:r>
      <w:r>
        <w:rPr>
          <w:rFonts w:hint="eastAsia" w:ascii="Times New Roman" w:hAnsi="宋体" w:eastAsia="宋体" w:cs="Times New Roman"/>
          <w:color w:val="000000" w:themeColor="text1"/>
          <w:kern w:val="0"/>
          <w:szCs w:val="21"/>
          <w14:textFill>
            <w14:solidFill>
              <w14:schemeClr w14:val="tx1"/>
            </w14:solidFill>
          </w14:textFill>
        </w:rPr>
        <w:t>位。</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3.3</w:t>
      </w:r>
      <w:r>
        <w:rPr>
          <w:rFonts w:ascii="宋体" w:hAnsi="宋体" w:eastAsia="宋体" w:cs="宋体"/>
          <w:bCs/>
          <w:color w:val="000000" w:themeColor="text1"/>
          <w:spacing w:val="-6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投标文件的组成</w:t>
      </w:r>
      <w:r>
        <w:rPr>
          <w:rFonts w:ascii="宋体" w:hAnsi="宋体" w:eastAsia="宋体" w:cs="宋体"/>
          <w:bCs/>
          <w:color w:val="000000" w:themeColor="text1"/>
          <w:w w:val="99"/>
          <w:kern w:val="0"/>
          <w:szCs w:val="21"/>
          <w14:textFill>
            <w14:solidFill>
              <w14:schemeClr w14:val="tx1"/>
            </w14:solidFill>
          </w14:textFill>
        </w:rPr>
        <w:t xml:space="preserve"> </w:t>
      </w:r>
    </w:p>
    <w:p>
      <w:pPr>
        <w:tabs>
          <w:tab w:val="left" w:pos="570"/>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3.3.1</w:t>
      </w:r>
      <w:r>
        <w:rPr>
          <w:rFonts w:hint="eastAsia" w:ascii="Times New Roman" w:hAnsi="宋体" w:eastAsia="宋体" w:cs="Times New Roman"/>
          <w:color w:val="000000" w:themeColor="text1"/>
          <w:spacing w:val="6"/>
          <w:kern w:val="0"/>
          <w:szCs w:val="21"/>
          <w14:textFill>
            <w14:solidFill>
              <w14:schemeClr w14:val="tx1"/>
            </w14:solidFill>
          </w14:textFill>
        </w:rPr>
        <w:t>供应商应仔细阅读采购文件的所有内容，按采购文件的要求编制投标文件；</w:t>
      </w:r>
      <w:r>
        <w:rPr>
          <w:rFonts w:hint="eastAsia" w:ascii="Times New Roman" w:hAnsi="宋体" w:eastAsia="宋体" w:cs="Times New Roman"/>
          <w:color w:val="000000" w:themeColor="text1"/>
          <w:spacing w:val="-4"/>
          <w:kern w:val="0"/>
          <w:szCs w:val="21"/>
          <w14:textFill>
            <w14:solidFill>
              <w14:schemeClr w14:val="tx1"/>
            </w14:solidFill>
          </w14:textFill>
        </w:rPr>
        <w:t>供应商应保证所提供的全部资料的真实性、准确性、有效性，并使其投标对采购文件的实质</w:t>
      </w:r>
      <w:r>
        <w:rPr>
          <w:rFonts w:ascii="Times New Roman" w:hAnsi="宋体" w:eastAsia="宋体" w:cs="Times New Roman"/>
          <w:color w:val="000000" w:themeColor="text1"/>
          <w:spacing w:val="-10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性要求做出完全的响应，否则，其投标可能被拒绝。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3.3.2</w:t>
      </w:r>
      <w:r>
        <w:rPr>
          <w:rFonts w:ascii="Times New Roman" w:hAnsi="宋体" w:eastAsia="宋体" w:cs="Times New Roman"/>
          <w:color w:val="000000" w:themeColor="text1"/>
          <w:spacing w:val="-5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投标文件中包含下列内容（以下格式供参考）：</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default"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第一部分</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商务部分格式</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val="en-US" w:eastAsia="zh-CN"/>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一、法定代表人身份证明</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三、投标函及投标函附录</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四、投标报价明细表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spacing w:val="-28"/>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五、商务条款偏差表</w:t>
      </w:r>
      <w:r>
        <w:rPr>
          <w:rFonts w:ascii="Times New Roman" w:hAnsi="宋体" w:eastAsia="宋体" w:cs="Times New Roman"/>
          <w:color w:val="000000" w:themeColor="text1"/>
          <w:spacing w:val="-2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六、资格证明文件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七、供应商综合能力证明文件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312"/>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八、供应商反商业贿赂承诺书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lang w:eastAsia="zh-CN"/>
          <w14:textFill>
            <w14:solidFill>
              <w14:schemeClr w14:val="tx1"/>
            </w14:solidFill>
          </w14:textFill>
        </w:rPr>
        <w:t>九</w:t>
      </w:r>
      <w:r>
        <w:rPr>
          <w:rFonts w:hint="eastAsia" w:ascii="Times New Roman" w:hAnsi="宋体" w:eastAsia="宋体" w:cs="Times New Roman"/>
          <w:color w:val="000000" w:themeColor="text1"/>
          <w:kern w:val="0"/>
          <w:szCs w:val="21"/>
          <w14:textFill>
            <w14:solidFill>
              <w14:schemeClr w14:val="tx1"/>
            </w14:solidFill>
          </w14:textFill>
        </w:rPr>
        <w:t>、中小微企业声明函（</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十、监狱企业证明材料（如有）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一</w:t>
      </w:r>
      <w:r>
        <w:rPr>
          <w:rFonts w:hint="eastAsia" w:ascii="Times New Roman" w:hAnsi="宋体" w:eastAsia="宋体" w:cs="Times New Roman"/>
          <w:color w:val="000000" w:themeColor="text1"/>
          <w:kern w:val="0"/>
          <w:szCs w:val="21"/>
          <w14:textFill>
            <w14:solidFill>
              <w14:schemeClr w14:val="tx1"/>
            </w14:solidFill>
          </w14:textFill>
        </w:rPr>
        <w:t>、残疾人福利性单位声明函（如有）</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bookmarkStart w:id="60" w:name="_Hlk88446805"/>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二</w:t>
      </w:r>
      <w:r>
        <w:rPr>
          <w:rFonts w:hint="eastAsia" w:ascii="Times New Roman" w:hAnsi="宋体" w:eastAsia="宋体" w:cs="Times New Roman"/>
          <w:color w:val="000000" w:themeColor="text1"/>
          <w:kern w:val="0"/>
          <w:szCs w:val="21"/>
          <w14:textFill>
            <w14:solidFill>
              <w14:schemeClr w14:val="tx1"/>
            </w14:solidFill>
          </w14:textFill>
        </w:rPr>
        <w:t>、节能产品、环境标志产品明细表</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第二部分</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技术部分格式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三</w:t>
      </w:r>
      <w:r>
        <w:rPr>
          <w:rFonts w:hint="eastAsia" w:ascii="Times New Roman" w:hAnsi="宋体" w:eastAsia="宋体" w:cs="Times New Roman"/>
          <w:color w:val="000000" w:themeColor="text1"/>
          <w:kern w:val="0"/>
          <w:szCs w:val="21"/>
          <w14:textFill>
            <w14:solidFill>
              <w14:schemeClr w14:val="tx1"/>
            </w14:solidFill>
          </w14:textFill>
        </w:rPr>
        <w:t>、技术支持资料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四</w:t>
      </w:r>
      <w:r>
        <w:rPr>
          <w:rFonts w:hint="eastAsia" w:ascii="Times New Roman" w:hAnsi="宋体" w:eastAsia="宋体" w:cs="Times New Roman"/>
          <w:color w:val="000000" w:themeColor="text1"/>
          <w:kern w:val="0"/>
          <w:szCs w:val="21"/>
          <w14:textFill>
            <w14:solidFill>
              <w14:schemeClr w14:val="tx1"/>
            </w14:solidFill>
          </w14:textFill>
        </w:rPr>
        <w:t>、技术偏离表</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十</w:t>
      </w:r>
      <w:r>
        <w:rPr>
          <w:rFonts w:hint="eastAsia" w:ascii="Times New Roman" w:hAnsi="宋体" w:eastAsia="宋体" w:cs="Times New Roman"/>
          <w:color w:val="000000" w:themeColor="text1"/>
          <w:kern w:val="0"/>
          <w:szCs w:val="21"/>
          <w:lang w:eastAsia="zh-CN"/>
          <w14:textFill>
            <w14:solidFill>
              <w14:schemeClr w14:val="tx1"/>
            </w14:solidFill>
          </w14:textFill>
        </w:rPr>
        <w:t>五</w:t>
      </w:r>
      <w:r>
        <w:rPr>
          <w:rFonts w:hint="eastAsia" w:ascii="Times New Roman" w:hAnsi="宋体" w:eastAsia="宋体" w:cs="Times New Roman"/>
          <w:color w:val="000000" w:themeColor="text1"/>
          <w:kern w:val="0"/>
          <w:szCs w:val="21"/>
          <w14:textFill>
            <w14:solidFill>
              <w14:schemeClr w14:val="tx1"/>
            </w14:solidFill>
          </w14:textFill>
        </w:rPr>
        <w:t>、供应商认为需要加以说明的其他内容</w:t>
      </w:r>
    </w:p>
    <w:bookmarkEnd w:id="60"/>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3.4</w:t>
      </w:r>
      <w:r>
        <w:rPr>
          <w:rFonts w:hint="eastAsia" w:ascii="宋体" w:hAnsi="宋体" w:eastAsia="宋体" w:cs="宋体"/>
          <w:bCs/>
          <w:color w:val="000000" w:themeColor="text1"/>
          <w:kern w:val="0"/>
          <w:szCs w:val="21"/>
          <w14:textFill>
            <w14:solidFill>
              <w14:schemeClr w14:val="tx1"/>
            </w14:solidFill>
          </w14:textFill>
        </w:rPr>
        <w:t>投标报价</w:t>
      </w:r>
      <w:r>
        <w:rPr>
          <w:rFonts w:ascii="宋体" w:hAnsi="宋体" w:eastAsia="宋体" w:cs="宋体"/>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spacing w:val="-13"/>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3.4.1</w:t>
      </w:r>
      <w:r>
        <w:rPr>
          <w:rFonts w:hint="eastAsia" w:ascii="Times New Roman" w:hAnsi="宋体" w:eastAsia="宋体" w:cs="Times New Roman"/>
          <w:color w:val="000000" w:themeColor="text1"/>
          <w:spacing w:val="-5"/>
          <w:kern w:val="0"/>
          <w:szCs w:val="21"/>
          <w14:textFill>
            <w14:solidFill>
              <w14:schemeClr w14:val="tx1"/>
            </w14:solidFill>
          </w14:textFill>
        </w:rPr>
        <w:t>根据采购文件规定的供货和责任范围，供应商应对投标产品进行总报价。供应商</w:t>
      </w:r>
      <w:r>
        <w:rPr>
          <w:rFonts w:hint="eastAsia" w:ascii="Times New Roman" w:hAnsi="宋体" w:eastAsia="宋体" w:cs="Times New Roman"/>
          <w:color w:val="000000" w:themeColor="text1"/>
          <w:spacing w:val="-11"/>
          <w:kern w:val="0"/>
          <w:szCs w:val="21"/>
          <w14:textFill>
            <w14:solidFill>
              <w14:schemeClr w14:val="tx1"/>
            </w14:solidFill>
          </w14:textFill>
        </w:rPr>
        <w:t>提供的投标报价应为目的地交货价格，总报价应包括项目合同项下成交供应商提供技术、制</w:t>
      </w:r>
      <w:r>
        <w:rPr>
          <w:rFonts w:ascii="Times New Roman" w:hAnsi="宋体" w:eastAsia="宋体" w:cs="Times New Roman"/>
          <w:color w:val="000000" w:themeColor="text1"/>
          <w:spacing w:val="-99"/>
          <w:kern w:val="0"/>
          <w:szCs w:val="21"/>
          <w14:textFill>
            <w14:solidFill>
              <w14:schemeClr w14:val="tx1"/>
            </w14:solidFill>
          </w14:textFill>
        </w:rPr>
        <w:t xml:space="preserve"> </w:t>
      </w:r>
      <w:r>
        <w:rPr>
          <w:rFonts w:hint="eastAsia" w:ascii="Times New Roman" w:hAnsi="宋体" w:eastAsia="宋体" w:cs="Times New Roman"/>
          <w:color w:val="000000" w:themeColor="text1"/>
          <w:spacing w:val="-11"/>
          <w:kern w:val="0"/>
          <w:szCs w:val="21"/>
          <w14:textFill>
            <w14:solidFill>
              <w14:schemeClr w14:val="tx1"/>
            </w14:solidFill>
          </w14:textFill>
        </w:rPr>
        <w:t>造、运输及保险、装卸、安装、调试、验收检测费、技术服务、培训服务、售后服务、税金等的全部责任和义务。供应商未单独列明的分项价格将视该项目的费用已包含在其他分项中，合同执行中不另行支付。对采购文件中未详细</w:t>
      </w:r>
      <w:r>
        <w:rPr>
          <w:rFonts w:hint="eastAsia" w:ascii="宋体" w:hAnsi="宋体" w:eastAsia="宋体" w:cs="Times New Roman"/>
          <w:color w:val="000000" w:themeColor="text1"/>
          <w:spacing w:val="-11"/>
          <w:kern w:val="0"/>
          <w:szCs w:val="21"/>
          <w14:textFill>
            <w14:solidFill>
              <w14:schemeClr w14:val="tx1"/>
            </w14:solidFill>
          </w14:textFill>
        </w:rPr>
        <w:t>列明的</w:t>
      </w:r>
      <w:r>
        <w:rPr>
          <w:rFonts w:hint="eastAsia" w:ascii="Times New Roman" w:hAnsi="宋体" w:eastAsia="宋体" w:cs="Times New Roman"/>
          <w:color w:val="000000" w:themeColor="text1"/>
          <w:spacing w:val="-11"/>
          <w:kern w:val="0"/>
          <w:szCs w:val="21"/>
          <w14:textFill>
            <w14:solidFill>
              <w14:schemeClr w14:val="tx1"/>
            </w14:solidFill>
          </w14:textFill>
        </w:rPr>
        <w:t>，</w:t>
      </w:r>
      <w:r>
        <w:rPr>
          <w:rFonts w:hint="eastAsia" w:ascii="Times New Roman" w:hAnsi="宋体" w:eastAsia="宋体" w:cs="Times New Roman"/>
          <w:color w:val="000000" w:themeColor="text1"/>
          <w:spacing w:val="-13"/>
          <w:kern w:val="0"/>
          <w:szCs w:val="21"/>
          <w14:textFill>
            <w14:solidFill>
              <w14:schemeClr w14:val="tx1"/>
            </w14:solidFill>
          </w14:textFill>
        </w:rPr>
        <w:t>但为保证项目正常运行所需要的所有附件、零部件等费用均计入投标总价中。</w:t>
      </w:r>
    </w:p>
    <w:p>
      <w:pPr>
        <w:kinsoku w:val="0"/>
        <w:overflowPunct w:val="0"/>
        <w:autoSpaceDE w:val="0"/>
        <w:autoSpaceDN w:val="0"/>
        <w:adjustRightInd w:val="0"/>
        <w:spacing w:line="360" w:lineRule="auto"/>
        <w:ind w:firstLine="40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
          <w:kern w:val="0"/>
          <w:szCs w:val="21"/>
          <w14:textFill>
            <w14:solidFill>
              <w14:schemeClr w14:val="tx1"/>
            </w14:solidFill>
          </w14:textFill>
        </w:rPr>
        <w:t>3.4.</w:t>
      </w:r>
      <w:r>
        <w:rPr>
          <w:rFonts w:hint="eastAsia" w:ascii="Times New Roman" w:hAnsi="宋体" w:eastAsia="宋体" w:cs="Times New Roman"/>
          <w:color w:val="000000" w:themeColor="text1"/>
          <w:spacing w:val="-5"/>
          <w:kern w:val="0"/>
          <w:szCs w:val="21"/>
          <w14:textFill>
            <w14:solidFill>
              <w14:schemeClr w14:val="tx1"/>
            </w14:solidFill>
          </w14:textFill>
        </w:rPr>
        <w:t>2</w:t>
      </w:r>
      <w:r>
        <w:rPr>
          <w:rFonts w:hint="eastAsia" w:ascii="Times New Roman" w:hAnsi="宋体" w:eastAsia="宋体" w:cs="Times New Roman"/>
          <w:color w:val="000000" w:themeColor="text1"/>
          <w:spacing w:val="-13"/>
          <w:kern w:val="0"/>
          <w:szCs w:val="21"/>
          <w14:textFill>
            <w14:solidFill>
              <w14:schemeClr w14:val="tx1"/>
            </w14:solidFill>
          </w14:textFill>
        </w:rPr>
        <w:t>除非供应商须知前附表另有规定，供应商提</w:t>
      </w:r>
      <w:r>
        <w:rPr>
          <w:rFonts w:ascii="Times New Roman" w:hAnsi="宋体" w:eastAsia="宋体" w:cs="Times New Roman"/>
          <w:color w:val="000000" w:themeColor="text1"/>
          <w:spacing w:val="-115"/>
          <w:kern w:val="0"/>
          <w:szCs w:val="21"/>
          <w14:textFill>
            <w14:solidFill>
              <w14:schemeClr w14:val="tx1"/>
            </w14:solidFill>
          </w14:textFill>
        </w:rPr>
        <w:t xml:space="preserve"> </w:t>
      </w:r>
      <w:r>
        <w:rPr>
          <w:rFonts w:hint="eastAsia" w:ascii="Times New Roman" w:hAnsi="宋体" w:eastAsia="宋体" w:cs="Times New Roman"/>
          <w:color w:val="000000" w:themeColor="text1"/>
          <w:spacing w:val="-14"/>
          <w:kern w:val="0"/>
          <w:szCs w:val="21"/>
          <w14:textFill>
            <w14:solidFill>
              <w14:schemeClr w14:val="tx1"/>
            </w14:solidFill>
          </w14:textFill>
        </w:rPr>
        <w:t>供的所有货物和服务均采用人民币报价。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4.3</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供应商根据上述规定所作分项报价的目的只是为了评标时对投标文件进行比较的方便，但并不限制采购人订立合同的权力。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3.4.4</w:t>
      </w:r>
      <w:r>
        <w:rPr>
          <w:rFonts w:ascii="Times New Roman" w:hAnsi="宋体" w:eastAsia="宋体" w:cs="Times New Roman"/>
          <w:color w:val="000000" w:themeColor="text1"/>
          <w:spacing w:val="-8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除非采购文件另有规定，每一标包只允许有一个最终报价，任何有选择的报价或替代方案将导致投标无效。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3.4.5</w:t>
      </w:r>
      <w:r>
        <w:rPr>
          <w:rFonts w:ascii="Times New Roman" w:hAnsi="宋体" w:eastAsia="宋体" w:cs="Times New Roman"/>
          <w:color w:val="000000" w:themeColor="text1"/>
          <w:spacing w:val="-39"/>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供应商应充分了解该项目的总体情况以及影响投标报价的其他要素，供应商不</w:t>
      </w:r>
      <w:r>
        <w:rPr>
          <w:rFonts w:hint="eastAsia" w:ascii="Times New Roman" w:hAnsi="宋体" w:eastAsia="宋体" w:cs="Times New Roman"/>
          <w:color w:val="000000" w:themeColor="text1"/>
          <w:spacing w:val="-4"/>
          <w:kern w:val="0"/>
          <w:szCs w:val="21"/>
          <w14:textFill>
            <w14:solidFill>
              <w14:schemeClr w14:val="tx1"/>
            </w14:solidFill>
          </w14:textFill>
        </w:rPr>
        <w:t>得以任何理由在开标后对投标报价予以修改，报价在投标有效期内是固定的，不因任何原因</w:t>
      </w:r>
      <w:r>
        <w:rPr>
          <w:rFonts w:hint="eastAsia" w:ascii="Times New Roman" w:hAnsi="宋体" w:eastAsia="宋体" w:cs="Times New Roman"/>
          <w:color w:val="000000" w:themeColor="text1"/>
          <w:spacing w:val="-10"/>
          <w:kern w:val="0"/>
          <w:szCs w:val="21"/>
          <w14:textFill>
            <w14:solidFill>
              <w14:schemeClr w14:val="tx1"/>
            </w14:solidFill>
          </w14:textFill>
        </w:rPr>
        <w:t>而改变。任何包含价格调整要求和条件的投标，将被视为非实质性响应投标而予以拒绝。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3.4.6 </w:t>
      </w:r>
      <w:r>
        <w:rPr>
          <w:rFonts w:hint="eastAsia" w:ascii="Times New Roman" w:hAnsi="宋体" w:eastAsia="宋体" w:cs="Times New Roman"/>
          <w:color w:val="000000" w:themeColor="text1"/>
          <w:kern w:val="0"/>
          <w:szCs w:val="21"/>
          <w14:textFill>
            <w14:solidFill>
              <w14:schemeClr w14:val="tx1"/>
            </w14:solidFill>
          </w14:textFill>
        </w:rPr>
        <w:t>供应商应完整地填写采购文件中提供的投标函、投标函附录和投标报价明细表，如系统配置需增加设备应单独列出。投标报价为各分项报价金额之和，投标报价与分项报价的合价不一致的，应以各分项合价累计数为准，修正投标报价；如分项报价中存在缺</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漏项，则视为缺漏项价格已包含在其他分项报价之中。供应商在投标截止时间前修改投标函中的投标报价总额，应同时修改投标文件“投标报价明细表”中的相应报价。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3.4.7</w:t>
      </w:r>
      <w:r>
        <w:rPr>
          <w:rFonts w:hint="eastAsia" w:ascii="Times New Roman" w:hAnsi="宋体" w:eastAsia="宋体" w:cs="Times New Roman"/>
          <w:color w:val="000000" w:themeColor="text1"/>
          <w:spacing w:val="2"/>
          <w:kern w:val="0"/>
          <w:szCs w:val="21"/>
          <w14:textFill>
            <w14:solidFill>
              <w14:schemeClr w14:val="tx1"/>
            </w14:solidFill>
          </w14:textFill>
        </w:rPr>
        <w:t>质保期内、外备品备件和易耗品由供应商免费供应给采购</w:t>
      </w:r>
      <w:r>
        <w:rPr>
          <w:rFonts w:hint="eastAsia" w:ascii="Times New Roman" w:hAnsi="宋体" w:eastAsia="宋体" w:cs="Times New Roman"/>
          <w:color w:val="000000" w:themeColor="text1"/>
          <w:kern w:val="0"/>
          <w:szCs w:val="21"/>
          <w14:textFill>
            <w14:solidFill>
              <w14:schemeClr w14:val="tx1"/>
            </w14:solidFill>
          </w14:textFill>
        </w:rPr>
        <w:t>人，由供应商承担所有由此发生的所有费用。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3.4.8</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本项目预算金额及最高限价：见供应商须知前附表。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3.5</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投标有效期</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3.5.1</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除供应商须知前附表另有规定外，投标有效期为9</w:t>
      </w:r>
      <w:r>
        <w:rPr>
          <w:rFonts w:ascii="Times New Roman" w:hAnsi="宋体" w:eastAsia="宋体" w:cs="Times New Roman"/>
          <w:color w:val="000000" w:themeColor="text1"/>
          <w:kern w:val="0"/>
          <w:szCs w:val="21"/>
          <w14:textFill>
            <w14:solidFill>
              <w14:schemeClr w14:val="tx1"/>
            </w14:solidFill>
          </w14:textFill>
        </w:rPr>
        <w:t>0</w:t>
      </w:r>
      <w:r>
        <w:rPr>
          <w:rFonts w:hint="eastAsia" w:ascii="Times New Roman" w:hAnsi="宋体" w:eastAsia="宋体" w:cs="Times New Roman"/>
          <w:color w:val="000000" w:themeColor="text1"/>
          <w:kern w:val="0"/>
          <w:szCs w:val="21"/>
          <w14:textFill>
            <w14:solidFill>
              <w14:schemeClr w14:val="tx1"/>
            </w14:solidFill>
          </w14:textFill>
        </w:rPr>
        <w:t>日历天。</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17"/>
          <w:kern w:val="0"/>
          <w:szCs w:val="21"/>
          <w14:textFill>
            <w14:solidFill>
              <w14:schemeClr w14:val="tx1"/>
            </w14:solidFill>
          </w14:textFill>
        </w:rPr>
        <w:t>在投标有效期内，供应商撤销投标文件的，应承担采购文件和法律规定的责任。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4"/>
          <w:kern w:val="0"/>
          <w:szCs w:val="21"/>
          <w14:textFill>
            <w14:solidFill>
              <w14:schemeClr w14:val="tx1"/>
            </w14:solidFill>
          </w14:textFill>
        </w:rPr>
        <w:t>出现特殊情况需要延长投标有效期的，采购人以书面形式通知所有供应商延长投</w:t>
      </w:r>
      <w:r>
        <w:rPr>
          <w:rFonts w:hint="eastAsia" w:ascii="Times New Roman" w:hAnsi="宋体" w:eastAsia="宋体" w:cs="Times New Roman"/>
          <w:color w:val="000000" w:themeColor="text1"/>
          <w:spacing w:val="-10"/>
          <w:kern w:val="0"/>
          <w:szCs w:val="21"/>
          <w14:textFill>
            <w14:solidFill>
              <w14:schemeClr w14:val="tx1"/>
            </w14:solidFill>
          </w14:textFill>
        </w:rPr>
        <w:t>标有效期。供应商应予以书面答复，同意延长的，但不得</w:t>
      </w:r>
      <w:r>
        <w:rPr>
          <w:rFonts w:hint="eastAsia" w:ascii="Times New Roman" w:hAnsi="宋体" w:eastAsia="宋体" w:cs="Times New Roman"/>
          <w:color w:val="000000" w:themeColor="text1"/>
          <w:spacing w:val="-4"/>
          <w:kern w:val="0"/>
          <w:szCs w:val="21"/>
          <w14:textFill>
            <w14:solidFill>
              <w14:schemeClr w14:val="tx1"/>
            </w14:solidFill>
          </w14:textFill>
        </w:rPr>
        <w:t>要求或被允许修改其投标文件；供应商拒绝延长的，其投标失效</w:t>
      </w: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3.6</w:t>
      </w:r>
      <w:r>
        <w:rPr>
          <w:rFonts w:ascii="Times New Roman" w:hAnsi="宋体" w:eastAsia="宋体" w:cs="Times New Roman"/>
          <w:bCs/>
          <w:color w:val="000000" w:themeColor="text1"/>
          <w:spacing w:val="8"/>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投标保证金</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本项目不需投标保证金。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3.7</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供应商资格证明材料</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3.7.1</w:t>
      </w:r>
      <w:r>
        <w:rPr>
          <w:rFonts w:ascii="Times New Roman" w:hAnsi="宋体" w:eastAsia="宋体" w:cs="Times New Roman"/>
          <w:color w:val="000000" w:themeColor="text1"/>
          <w:spacing w:val="-2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供应商应按采购文件的规定提供相应的资格证明材料，附入投标文件中，以证明其有资格进行投标和有能力履行合同。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3.7.2 </w:t>
      </w:r>
      <w:r>
        <w:rPr>
          <w:rFonts w:hint="eastAsia" w:ascii="Times New Roman" w:hAnsi="宋体" w:eastAsia="宋体" w:cs="Times New Roman"/>
          <w:color w:val="000000" w:themeColor="text1"/>
          <w:kern w:val="0"/>
          <w:szCs w:val="21"/>
          <w14:textFill>
            <w14:solidFill>
              <w14:schemeClr w14:val="tx1"/>
            </w14:solidFill>
          </w14:textFill>
        </w:rPr>
        <w:t>供应商须提供的资格证明材料：见供应商须知前附表。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宋体" w:hAnsi="宋体" w:eastAsia="宋体" w:cs="宋体"/>
          <w:color w:val="000000" w:themeColor="text1"/>
          <w:kern w:val="0"/>
          <w:szCs w:val="21"/>
          <w14:textFill>
            <w14:solidFill>
              <w14:schemeClr w14:val="tx1"/>
            </w14:solidFill>
          </w14:textFill>
        </w:rPr>
      </w:pPr>
      <w:r>
        <w:rPr>
          <w:rFonts w:ascii="宋体" w:hAnsi="宋体" w:eastAsia="宋体" w:cs="宋体"/>
          <w:bCs/>
          <w:color w:val="000000" w:themeColor="text1"/>
          <w:kern w:val="0"/>
          <w:szCs w:val="21"/>
          <w14:textFill>
            <w14:solidFill>
              <w14:schemeClr w14:val="tx1"/>
            </w14:solidFill>
          </w14:textFill>
        </w:rPr>
        <w:t>3.8</w:t>
      </w:r>
      <w:r>
        <w:rPr>
          <w:rFonts w:ascii="宋体" w:hAnsi="宋体" w:eastAsia="宋体" w:cs="宋体"/>
          <w:bCs/>
          <w:color w:val="000000" w:themeColor="text1"/>
          <w:spacing w:val="40"/>
          <w:kern w:val="0"/>
          <w:szCs w:val="21"/>
          <w14:textFill>
            <w14:solidFill>
              <w14:schemeClr w14:val="tx1"/>
            </w14:solidFill>
          </w14:textFill>
        </w:rPr>
        <w:t xml:space="preserve"> </w:t>
      </w:r>
      <w:r>
        <w:rPr>
          <w:rFonts w:hint="eastAsia" w:ascii="宋体" w:hAnsi="宋体" w:eastAsia="宋体" w:cs="宋体"/>
          <w:bCs/>
          <w:color w:val="000000" w:themeColor="text1"/>
          <w:kern w:val="0"/>
          <w:szCs w:val="21"/>
          <w14:textFill>
            <w14:solidFill>
              <w14:schemeClr w14:val="tx1"/>
            </w14:solidFill>
          </w14:textFill>
        </w:rPr>
        <w:t>证明投标货物符合采购文件技术要求的文件</w:t>
      </w:r>
      <w:r>
        <w:rPr>
          <w:rFonts w:ascii="宋体" w:hAnsi="宋体" w:eastAsia="宋体" w:cs="宋体"/>
          <w:bCs/>
          <w:color w:val="000000" w:themeColor="text1"/>
          <w:w w:val="99"/>
          <w:kern w:val="0"/>
          <w:szCs w:val="21"/>
          <w14:textFill>
            <w14:solidFill>
              <w14:schemeClr w14:val="tx1"/>
            </w14:solidFill>
          </w14:textFill>
        </w:rPr>
        <w:t xml:space="preserve"> </w:t>
      </w:r>
      <w:r>
        <w:rPr>
          <w:rFonts w:hint="eastAsia" w:ascii="宋体" w:hAnsi="宋体" w:eastAsia="宋体" w:cs="宋体"/>
          <w:b/>
          <w:bCs/>
          <w:color w:val="000000" w:themeColor="text1"/>
          <w:kern w:val="0"/>
          <w:szCs w:val="21"/>
          <w14:textFill>
            <w14:solidFill>
              <w14:schemeClr w14:val="tx1"/>
            </w14:solidFill>
          </w14:textFill>
        </w:rPr>
        <w:t>（如有）</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3.8.1 供应商应提交证明其拟供货物和服务符合采购文件规定的技术响应文件，作为投标文件的一部分。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3.8.2采购文件中为简述货物品质、基本性能而标示的品牌或型号仅供供应商选择货物在质量、水平上的比照参考，不具有限制性。供应商可提供品质相同或优于同类产品的货物。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3.8.</w:t>
      </w:r>
      <w:r>
        <w:rPr>
          <w:rFonts w:hint="eastAsia"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spacing w:val="-5"/>
          <w:kern w:val="0"/>
          <w:szCs w:val="21"/>
          <w14:textFill>
            <w14:solidFill>
              <w14:schemeClr w14:val="tx1"/>
            </w14:solidFill>
          </w14:textFill>
        </w:rPr>
        <w:t>证明文件可以是文字资料、图纸、彩页和数据</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lang w:eastAsia="zh-CN"/>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供应商应对采购文件技术要求逐条应答，并标明与采购文件条文的偏差和例外。对采购文件有具体规格、参数的指标，供应商必须提供其所投货物的具体数值。</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3.9</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投标文件的编制</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3.9.1</w:t>
      </w:r>
      <w:r>
        <w:rPr>
          <w:rFonts w:ascii="Times New Roman" w:hAnsi="宋体" w:eastAsia="宋体" w:cs="Times New Roman"/>
          <w:color w:val="000000" w:themeColor="text1"/>
          <w:spacing w:val="-1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投标文件应按第六章“投标文件格式”进行编写，如有必要，可以增加附页，</w:t>
      </w:r>
      <w:r>
        <w:rPr>
          <w:rFonts w:hint="eastAsia" w:ascii="Times New Roman" w:hAnsi="宋体" w:eastAsia="宋体" w:cs="Times New Roman"/>
          <w:color w:val="000000" w:themeColor="text1"/>
          <w:spacing w:val="-7"/>
          <w:kern w:val="0"/>
          <w:szCs w:val="21"/>
          <w14:textFill>
            <w14:solidFill>
              <w14:schemeClr w14:val="tx1"/>
            </w14:solidFill>
          </w14:textFill>
        </w:rPr>
        <w:t>作为投标文件的组成部分。格式中如供应商投标不涉及的内容，可以不予提供；采购文件未</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提供格式的投标内容，供应商可自行提供。</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3.9.2 </w:t>
      </w:r>
      <w:r>
        <w:rPr>
          <w:rFonts w:hint="eastAsia" w:ascii="Times New Roman" w:hAnsi="宋体" w:eastAsia="宋体" w:cs="Times New Roman"/>
          <w:color w:val="000000" w:themeColor="text1"/>
          <w:kern w:val="0"/>
          <w:szCs w:val="21"/>
          <w14:textFill>
            <w14:solidFill>
              <w14:schemeClr w14:val="tx1"/>
            </w14:solidFill>
          </w14:textFill>
        </w:rPr>
        <w:t>投标文件应当对采购文件交货期、质保期、投标</w:t>
      </w:r>
      <w:r>
        <w:rPr>
          <w:rFonts w:hint="eastAsia" w:ascii="Times New Roman" w:hAnsi="宋体" w:eastAsia="宋体" w:cs="Times New Roman"/>
          <w:color w:val="000000" w:themeColor="text1"/>
          <w:spacing w:val="-10"/>
          <w:kern w:val="0"/>
          <w:szCs w:val="21"/>
          <w14:textFill>
            <w14:solidFill>
              <w14:schemeClr w14:val="tx1"/>
            </w14:solidFill>
          </w14:textFill>
        </w:rPr>
        <w:t>有效期等实质性内容作出响应。投标文件在满足采购文件实质性要求的基础上，</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可以提出比采购文件要求更有利于采购人的承诺。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3.9.3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投标文件的其他内容详见供应商须知前附表。</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61" w:name="_Toc17887124"/>
      <w:bookmarkStart w:id="62" w:name="_Toc5960099"/>
      <w:bookmarkStart w:id="63" w:name="_Toc26529"/>
      <w:r>
        <w:rPr>
          <w:rFonts w:hint="eastAsia" w:ascii="宋体" w:hAnsi="宋体" w:eastAsia="宋体" w:cs="宋体"/>
          <w:b/>
          <w:bCs/>
          <w:color w:val="000000" w:themeColor="text1"/>
          <w:kern w:val="0"/>
          <w:szCs w:val="21"/>
          <w14:textFill>
            <w14:solidFill>
              <w14:schemeClr w14:val="tx1"/>
            </w14:solidFill>
          </w14:textFill>
        </w:rPr>
        <w:t>四、投标文件的递交</w:t>
      </w:r>
      <w:bookmarkEnd w:id="61"/>
      <w:bookmarkEnd w:id="62"/>
      <w:bookmarkEnd w:id="63"/>
      <w:r>
        <w:rPr>
          <w:rFonts w:ascii="宋体" w:hAnsi="宋体" w:eastAsia="宋体" w:cs="宋体"/>
          <w:b/>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kern w:val="0"/>
          <w:szCs w:val="21"/>
          <w14:textFill>
            <w14:solidFill>
              <w14:schemeClr w14:val="tx1"/>
            </w14:solidFill>
          </w14:textFill>
        </w:rPr>
      </w:pPr>
      <w:bookmarkStart w:id="64" w:name="_Toc5946372"/>
      <w:bookmarkStart w:id="65" w:name="_Toc5955989"/>
      <w:bookmarkStart w:id="66" w:name="_Toc5960100"/>
      <w:bookmarkStart w:id="67" w:name="_Toc8940"/>
      <w:bookmarkStart w:id="68" w:name="_Toc17887125"/>
      <w:r>
        <w:rPr>
          <w:rFonts w:ascii="Times New Roman" w:hAnsi="宋体" w:eastAsia="宋体" w:cs="Times New Roman"/>
          <w:bCs/>
          <w:color w:val="000000" w:themeColor="text1"/>
          <w:kern w:val="0"/>
          <w:szCs w:val="21"/>
          <w14:textFill>
            <w14:solidFill>
              <w14:schemeClr w14:val="tx1"/>
            </w14:solidFill>
          </w14:textFill>
        </w:rPr>
        <w:t xml:space="preserve">4.1 </w:t>
      </w:r>
      <w:r>
        <w:rPr>
          <w:rFonts w:hint="eastAsia" w:ascii="Times New Roman" w:hAnsi="宋体" w:eastAsia="宋体" w:cs="Times New Roman"/>
          <w:bCs/>
          <w:color w:val="000000" w:themeColor="text1"/>
          <w:kern w:val="0"/>
          <w:szCs w:val="21"/>
          <w14:textFill>
            <w14:solidFill>
              <w14:schemeClr w14:val="tx1"/>
            </w14:solidFill>
          </w14:textFill>
        </w:rPr>
        <w:t>投标文件的递交</w:t>
      </w:r>
      <w:bookmarkEnd w:id="64"/>
      <w:bookmarkEnd w:id="65"/>
      <w:bookmarkEnd w:id="66"/>
      <w:bookmarkEnd w:id="67"/>
      <w:bookmarkEnd w:id="68"/>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69" w:name="_Toc17887126"/>
      <w:bookmarkStart w:id="70" w:name="_Toc26069"/>
      <w:bookmarkStart w:id="71" w:name="_Toc5955990"/>
      <w:bookmarkStart w:id="72" w:name="_Toc5960101"/>
      <w:bookmarkStart w:id="73" w:name="_Toc5946373"/>
      <w:r>
        <w:rPr>
          <w:rFonts w:hint="eastAsia" w:ascii="Times New Roman" w:hAnsi="宋体" w:eastAsia="宋体" w:cs="Times New Roman"/>
          <w:color w:val="000000" w:themeColor="text1"/>
          <w:kern w:val="0"/>
          <w:szCs w:val="21"/>
          <w14:textFill>
            <w14:solidFill>
              <w14:schemeClr w14:val="tx1"/>
            </w14:solidFill>
          </w14:textFill>
        </w:rPr>
        <w:t xml:space="preserve">供应商应在投标截止时间前通过交易平台上传加密的电子投标文件到会员系统的指定位置，并确认上传成功。请供应商在上传时认真检查上传投标文件是否完整、正确。供应商因交易中心投标系统问题无法上传电子投标文件时，请在工作时间与郑州市公共资源交易中心联系。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4.2</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投标文件的修改和撤回</w:t>
      </w:r>
      <w:bookmarkEnd w:id="69"/>
      <w:bookmarkEnd w:id="70"/>
      <w:bookmarkEnd w:id="71"/>
      <w:bookmarkEnd w:id="72"/>
      <w:bookmarkEnd w:id="73"/>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bookmarkStart w:id="74" w:name="_Toc17887127"/>
      <w:bookmarkStart w:id="75" w:name="_Toc5960102"/>
      <w:bookmarkStart w:id="76" w:name="_Toc13553"/>
      <w:r>
        <w:rPr>
          <w:rFonts w:hAnsi="宋体"/>
          <w:color w:val="000000" w:themeColor="text1"/>
          <w:sz w:val="21"/>
          <w:szCs w:val="21"/>
          <w14:textFill>
            <w14:solidFill>
              <w14:schemeClr w14:val="tx1"/>
            </w14:solidFill>
          </w14:textFill>
        </w:rPr>
        <w:t>4.2.1</w:t>
      </w:r>
      <w:r>
        <w:rPr>
          <w:rFonts w:hAnsi="宋体"/>
          <w:color w:val="000000" w:themeColor="text1"/>
          <w:spacing w:val="-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供应商（供应商）应当在招标（采购）文件确定的投标截止时间前</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登录远程开标大厅</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在线准时参加开标活动并进行文件解密、答疑澄清等。</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4.2.2 </w:t>
      </w:r>
      <w:r>
        <w:rPr>
          <w:rFonts w:hint="eastAsia" w:hAnsi="宋体"/>
          <w:color w:val="000000" w:themeColor="text1"/>
          <w:sz w:val="21"/>
          <w:szCs w:val="21"/>
          <w14:textFill>
            <w14:solidFill>
              <w14:schemeClr w14:val="tx1"/>
            </w14:solidFill>
          </w14:textFill>
        </w:rPr>
        <w:t>供应商递交投标文件的地点：见供应商须知前附表。</w:t>
      </w:r>
      <w:r>
        <w:rPr>
          <w:rFonts w:hAnsi="宋体"/>
          <w:color w:val="000000" w:themeColor="text1"/>
          <w:sz w:val="21"/>
          <w:szCs w:val="21"/>
          <w14:textFill>
            <w14:solidFill>
              <w14:schemeClr w14:val="tx1"/>
            </w14:solidFill>
          </w14:textFill>
        </w:rPr>
        <w:t xml:space="preserve"> </w:t>
      </w:r>
    </w:p>
    <w:p>
      <w:pPr>
        <w:pStyle w:val="7"/>
        <w:kinsoku w:val="0"/>
        <w:overflowPunct w:val="0"/>
        <w:spacing w:before="0" w:line="360" w:lineRule="auto"/>
        <w:ind w:left="0" w:firstLine="420" w:firstLineChars="200"/>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 xml:space="preserve">4.2.3 </w:t>
      </w:r>
      <w:r>
        <w:rPr>
          <w:rFonts w:hint="eastAsia" w:hAnsi="宋体"/>
          <w:color w:val="000000" w:themeColor="text1"/>
          <w:sz w:val="21"/>
          <w:szCs w:val="21"/>
          <w14:textFill>
            <w14:solidFill>
              <w14:schemeClr w14:val="tx1"/>
            </w14:solidFill>
          </w14:textFill>
        </w:rPr>
        <w:t>除供应商须知前附表另有规定外，供应商所递交的投标文件不予退还。</w:t>
      </w:r>
    </w:p>
    <w:p>
      <w:pPr>
        <w:kinsoku w:val="0"/>
        <w:overflowPunct w:val="0"/>
        <w:autoSpaceDE w:val="0"/>
        <w:autoSpaceDN w:val="0"/>
        <w:adjustRightInd w:val="0"/>
        <w:spacing w:line="360" w:lineRule="auto"/>
        <w:ind w:firstLine="420" w:firstLineChars="200"/>
        <w:jc w:val="left"/>
        <w:rPr>
          <w:rFonts w:hAnsi="宋体"/>
          <w:color w:val="000000" w:themeColor="text1"/>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4.2.4 逾期送达的或者未送达指定地点或未解密的投标文件，采购人不予受理。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r>
        <w:rPr>
          <w:rFonts w:hint="eastAsia" w:ascii="Times New Roman" w:hAnsi="宋体" w:eastAsia="宋体" w:cs="Times New Roman"/>
          <w:b/>
          <w:bCs/>
          <w:color w:val="000000" w:themeColor="text1"/>
          <w:kern w:val="0"/>
          <w:szCs w:val="21"/>
          <w14:textFill>
            <w14:solidFill>
              <w14:schemeClr w14:val="tx1"/>
            </w14:solidFill>
          </w14:textFill>
        </w:rPr>
        <w:t>五、开标与评标</w:t>
      </w:r>
      <w:bookmarkEnd w:id="74"/>
      <w:bookmarkEnd w:id="75"/>
      <w:bookmarkEnd w:id="76"/>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5.1</w:t>
      </w:r>
      <w:r>
        <w:rPr>
          <w:rFonts w:hint="eastAsia" w:ascii="Times New Roman" w:hAnsi="宋体" w:eastAsia="宋体" w:cs="Times New Roman"/>
          <w:bCs/>
          <w:color w:val="000000" w:themeColor="text1"/>
          <w:kern w:val="0"/>
          <w:szCs w:val="21"/>
          <w14:textFill>
            <w14:solidFill>
              <w14:schemeClr w14:val="tx1"/>
            </w14:solidFill>
          </w14:textFill>
        </w:rPr>
        <w:t>开标</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bookmarkStart w:id="77" w:name="_Toc5955992"/>
      <w:bookmarkStart w:id="78" w:name="_Toc17887128"/>
      <w:bookmarkStart w:id="79" w:name="_Toc23939"/>
      <w:bookmarkStart w:id="80" w:name="_Toc5946375"/>
      <w:bookmarkStart w:id="81" w:name="_Toc5960103"/>
      <w:r>
        <w:rPr>
          <w:rFonts w:hAnsi="宋体"/>
          <w:color w:val="000000" w:themeColor="text1"/>
          <w:sz w:val="21"/>
          <w:szCs w:val="21"/>
          <w14:textFill>
            <w14:solidFill>
              <w14:schemeClr w14:val="tx1"/>
            </w14:solidFill>
          </w14:textFill>
        </w:rPr>
        <w:t xml:space="preserve">5.1.1 </w:t>
      </w:r>
      <w:r>
        <w:rPr>
          <w:rFonts w:hint="eastAsia" w:hAnsi="宋体"/>
          <w:color w:val="000000" w:themeColor="text1"/>
          <w:sz w:val="21"/>
          <w:szCs w:val="21"/>
          <w14:textFill>
            <w14:solidFill>
              <w14:schemeClr w14:val="tx1"/>
            </w14:solidFill>
          </w14:textFill>
        </w:rPr>
        <w:t>采购人或采购代理机构将在供应商须知前附表规定的时间和地点通过电子交易平台公开开标。开标时，各供应商应在规定时间内对本单位的投标文件进行解密。</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2</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因供应商加密电子投标文件未能成功上传或误传而导致的解密失败</w:t>
      </w:r>
      <w:r>
        <w:rPr>
          <w:rFonts w:hAnsi="宋体"/>
          <w:color w:val="000000" w:themeColor="text1"/>
          <w:sz w:val="21"/>
          <w:szCs w:val="21"/>
          <w14:textFill>
            <w14:solidFill>
              <w14:schemeClr w14:val="tx1"/>
            </w14:solidFill>
          </w14:textFill>
        </w:rPr>
        <w:t>,</w:t>
      </w:r>
      <w:r>
        <w:rPr>
          <w:rFonts w:hint="eastAsia" w:hAnsi="宋体"/>
          <w:color w:val="000000" w:themeColor="text1"/>
          <w:sz w:val="21"/>
          <w:szCs w:val="21"/>
          <w14:textFill>
            <w14:solidFill>
              <w14:schemeClr w14:val="tx1"/>
            </w14:solidFill>
          </w14:textFill>
        </w:rPr>
        <w:t>投标将被拒绝。</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int="eastAsia"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3</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电子投标文件进行解密后进行唱标，公布供应商名称、投标报价、交货期等内容，并记录在案</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4</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供应商代表对开标过程和开标记录有疑义，应当场提出。采购人、采购代理机构对供应商代表提出的询问应当及时处理。</w:t>
      </w:r>
      <w:r>
        <w:rPr>
          <w:rFonts w:hAnsi="宋体"/>
          <w:color w:val="000000" w:themeColor="text1"/>
          <w:sz w:val="21"/>
          <w:szCs w:val="21"/>
          <w14:textFill>
            <w14:solidFill>
              <w14:schemeClr w14:val="tx1"/>
            </w14:solidFill>
          </w14:textFill>
        </w:rPr>
        <w:t xml:space="preserve"> </w:t>
      </w:r>
    </w:p>
    <w:p>
      <w:pPr>
        <w:pStyle w:val="7"/>
        <w:keepNext w:val="0"/>
        <w:keepLines w:val="0"/>
        <w:pageBreakBefore w:val="0"/>
        <w:widowControl w:val="0"/>
        <w:kinsoku/>
        <w:wordWrap w:val="0"/>
        <w:overflowPunct/>
        <w:topLinePunct w:val="0"/>
        <w:autoSpaceDE w:val="0"/>
        <w:autoSpaceDN w:val="0"/>
        <w:bidi w:val="0"/>
        <w:adjustRightInd w:val="0"/>
        <w:snapToGrid/>
        <w:spacing w:before="0" w:line="360" w:lineRule="auto"/>
        <w:ind w:left="0" w:firstLine="420" w:firstLineChars="200"/>
        <w:textAlignment w:val="auto"/>
        <w:rPr>
          <w:rFonts w:hAnsi="宋体"/>
          <w:color w:val="000000" w:themeColor="text1"/>
          <w:sz w:val="21"/>
          <w:szCs w:val="21"/>
          <w14:textFill>
            <w14:solidFill>
              <w14:schemeClr w14:val="tx1"/>
            </w14:solidFill>
          </w14:textFill>
        </w:rPr>
      </w:pPr>
      <w:r>
        <w:rPr>
          <w:rFonts w:hAnsi="宋体"/>
          <w:color w:val="000000" w:themeColor="text1"/>
          <w:sz w:val="21"/>
          <w:szCs w:val="21"/>
          <w14:textFill>
            <w14:solidFill>
              <w14:schemeClr w14:val="tx1"/>
            </w14:solidFill>
          </w14:textFill>
        </w:rPr>
        <w:t>5.1.</w:t>
      </w:r>
      <w:r>
        <w:rPr>
          <w:rFonts w:hint="eastAsia" w:hAnsi="宋体"/>
          <w:color w:val="000000" w:themeColor="text1"/>
          <w:sz w:val="21"/>
          <w:szCs w:val="21"/>
          <w14:textFill>
            <w14:solidFill>
              <w14:schemeClr w14:val="tx1"/>
            </w14:solidFill>
          </w14:textFill>
        </w:rPr>
        <w:t>5</w:t>
      </w:r>
      <w:r>
        <w:rPr>
          <w:rFonts w:hAnsi="宋体"/>
          <w:color w:val="000000" w:themeColor="text1"/>
          <w:sz w:val="21"/>
          <w:szCs w:val="21"/>
          <w14:textFill>
            <w14:solidFill>
              <w14:schemeClr w14:val="tx1"/>
            </w14:solidFill>
          </w14:textFill>
        </w:rPr>
        <w:t xml:space="preserve"> </w:t>
      </w:r>
      <w:r>
        <w:rPr>
          <w:rFonts w:hint="eastAsia" w:hAnsi="宋体"/>
          <w:color w:val="000000" w:themeColor="text1"/>
          <w:sz w:val="21"/>
          <w:szCs w:val="21"/>
          <w14:textFill>
            <w14:solidFill>
              <w14:schemeClr w14:val="tx1"/>
            </w14:solidFill>
          </w14:textFill>
        </w:rPr>
        <w:t>供应商不足</w:t>
      </w:r>
      <w:r>
        <w:rPr>
          <w:rFonts w:hAnsi="宋体"/>
          <w:color w:val="000000" w:themeColor="text1"/>
          <w:sz w:val="21"/>
          <w:szCs w:val="21"/>
          <w14:textFill>
            <w14:solidFill>
              <w14:schemeClr w14:val="tx1"/>
            </w14:solidFill>
          </w14:textFill>
        </w:rPr>
        <w:t>3</w:t>
      </w:r>
      <w:r>
        <w:rPr>
          <w:rFonts w:hint="eastAsia" w:hAnsi="宋体"/>
          <w:color w:val="000000" w:themeColor="text1"/>
          <w:sz w:val="21"/>
          <w:szCs w:val="21"/>
          <w14:textFill>
            <w14:solidFill>
              <w14:schemeClr w14:val="tx1"/>
            </w14:solidFill>
          </w14:textFill>
        </w:rPr>
        <w:t>家的，不得开标。供应商未参加开标的，视同认可开标结果。</w:t>
      </w:r>
      <w:r>
        <w:rPr>
          <w:rFonts w:hAnsi="宋体"/>
          <w:color w:val="000000" w:themeColor="text1"/>
          <w:sz w:val="21"/>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5.2</w:t>
      </w:r>
      <w:r>
        <w:rPr>
          <w:rFonts w:ascii="Times New Roman" w:hAnsi="宋体" w:eastAsia="宋体" w:cs="Times New Roman"/>
          <w:bCs/>
          <w:color w:val="000000" w:themeColor="text1"/>
          <w:spacing w:val="4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资格审查</w:t>
      </w:r>
      <w:bookmarkEnd w:id="77"/>
      <w:bookmarkEnd w:id="78"/>
      <w:bookmarkEnd w:id="79"/>
      <w:bookmarkEnd w:id="80"/>
      <w:bookmarkEnd w:id="81"/>
      <w:r>
        <w:rPr>
          <w:rFonts w:ascii="Times New Roman" w:hAnsi="宋体" w:eastAsia="宋体" w:cs="Times New Roman"/>
          <w:bCs/>
          <w:color w:val="000000" w:themeColor="text1"/>
          <w:w w:val="99"/>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5.2.1</w:t>
      </w:r>
      <w:r>
        <w:rPr>
          <w:rFonts w:hint="eastAsia" w:ascii="Times New Roman" w:hAnsi="宋体" w:eastAsia="宋体" w:cs="Times New Roman"/>
          <w:color w:val="000000" w:themeColor="text1"/>
          <w:spacing w:val="-9"/>
          <w:kern w:val="0"/>
          <w:szCs w:val="21"/>
          <w:lang w:eastAsia="zh-CN"/>
          <w14:textFill>
            <w14:solidFill>
              <w14:schemeClr w14:val="tx1"/>
            </w14:solidFill>
          </w14:textFill>
        </w:rPr>
        <w:t>由</w:t>
      </w:r>
      <w:r>
        <w:rPr>
          <w:rFonts w:hint="eastAsia" w:ascii="宋体" w:hAnsi="宋体" w:eastAsia="宋体" w:cs="宋体"/>
        </w:rPr>
        <w:t>采购人或采购代理机构</w:t>
      </w:r>
      <w:r>
        <w:rPr>
          <w:rFonts w:hint="eastAsia" w:ascii="宋体" w:hAnsi="宋体" w:eastAsia="宋体" w:cs="宋体"/>
          <w:lang w:eastAsia="zh-CN"/>
        </w:rPr>
        <w:t>对</w:t>
      </w:r>
      <w:r>
        <w:rPr>
          <w:rFonts w:hint="eastAsia" w:ascii="Times New Roman" w:hAnsi="宋体" w:eastAsia="宋体" w:cs="Times New Roman"/>
          <w:color w:val="000000" w:themeColor="text1"/>
          <w:spacing w:val="-9"/>
          <w:kern w:val="0"/>
          <w:szCs w:val="21"/>
          <w14:textFill>
            <w14:solidFill>
              <w14:schemeClr w14:val="tx1"/>
            </w14:solidFill>
          </w14:textFill>
        </w:rPr>
        <w:t>供应商的资格</w:t>
      </w:r>
      <w:r>
        <w:rPr>
          <w:rFonts w:hint="eastAsia" w:ascii="Times New Roman" w:hAnsi="宋体" w:eastAsia="宋体" w:cs="Times New Roman"/>
          <w:color w:val="000000" w:themeColor="text1"/>
          <w:kern w:val="0"/>
          <w:szCs w:val="21"/>
          <w14:textFill>
            <w14:solidFill>
              <w14:schemeClr w14:val="tx1"/>
            </w14:solidFill>
          </w14:textFill>
        </w:rPr>
        <w:t>进行审查。</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5.2.2</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资格审查内容及标准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96"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6"/>
          <w:kern w:val="0"/>
          <w:szCs w:val="21"/>
          <w14:textFill>
            <w14:solidFill>
              <w14:schemeClr w14:val="tx1"/>
            </w14:solidFill>
          </w14:textFill>
        </w:rPr>
        <w:t>（</w:t>
      </w:r>
      <w:r>
        <w:rPr>
          <w:rFonts w:ascii="Times New Roman" w:hAnsi="宋体" w:eastAsia="宋体" w:cs="Times New Roman"/>
          <w:color w:val="000000" w:themeColor="text1"/>
          <w:spacing w:val="-6"/>
          <w:kern w:val="0"/>
          <w:szCs w:val="21"/>
          <w14:textFill>
            <w14:solidFill>
              <w14:schemeClr w14:val="tx1"/>
            </w14:solidFill>
          </w14:textFill>
        </w:rPr>
        <w:t>1</w:t>
      </w:r>
      <w:r>
        <w:rPr>
          <w:rFonts w:hint="eastAsia" w:ascii="Times New Roman" w:hAnsi="宋体" w:eastAsia="宋体" w:cs="Times New Roman"/>
          <w:color w:val="000000" w:themeColor="text1"/>
          <w:spacing w:val="-6"/>
          <w:kern w:val="0"/>
          <w:szCs w:val="21"/>
          <w14:textFill>
            <w14:solidFill>
              <w14:schemeClr w14:val="tx1"/>
            </w14:solidFill>
          </w14:textFill>
        </w:rPr>
        <w:t>）资格性检查指依据法律法规和采购文件的规定，对投标文件中的资格证明材料进</w:t>
      </w:r>
      <w:r>
        <w:rPr>
          <w:rFonts w:hint="eastAsia" w:ascii="Times New Roman" w:hAnsi="宋体" w:eastAsia="宋体" w:cs="Times New Roman"/>
          <w:color w:val="000000" w:themeColor="text1"/>
          <w:kern w:val="0"/>
          <w:szCs w:val="21"/>
          <w14:textFill>
            <w14:solidFill>
              <w14:schemeClr w14:val="tx1"/>
            </w14:solidFill>
          </w14:textFill>
        </w:rPr>
        <w:t>行审查，以确定供应商是否具备投标资格。</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供应商须在投标文件中按采购文件要求提供资格证明材料，供应商若没有提供资格证明材料或资格证明材料不全的，其投标将被拒绝，不能进入评标。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82" w:name="_Toc17887129"/>
      <w:bookmarkStart w:id="83" w:name="_Toc18891"/>
      <w:bookmarkStart w:id="84" w:name="_Toc5955993"/>
      <w:bookmarkStart w:id="85" w:name="_Toc5960104"/>
      <w:bookmarkStart w:id="86" w:name="_Toc5946376"/>
      <w:r>
        <w:rPr>
          <w:rFonts w:ascii="Times New Roman" w:hAnsi="宋体" w:eastAsia="宋体" w:cs="Times New Roman"/>
          <w:bCs/>
          <w:color w:val="000000" w:themeColor="text1"/>
          <w:kern w:val="0"/>
          <w:szCs w:val="21"/>
          <w14:textFill>
            <w14:solidFill>
              <w14:schemeClr w14:val="tx1"/>
            </w14:solidFill>
          </w14:textFill>
        </w:rPr>
        <w:t>5.3</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评标</w:t>
      </w:r>
      <w:bookmarkEnd w:id="82"/>
      <w:bookmarkEnd w:id="83"/>
      <w:bookmarkEnd w:id="84"/>
      <w:bookmarkEnd w:id="85"/>
      <w:bookmarkEnd w:id="86"/>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5.3.1</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评标委员会</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auto"/>
          <w:kern w:val="0"/>
          <w:szCs w:val="21"/>
        </w:rPr>
      </w:pPr>
      <w:r>
        <w:rPr>
          <w:rFonts w:hint="eastAsia" w:ascii="Times New Roman" w:hAnsi="宋体" w:eastAsia="宋体" w:cs="Times New Roman"/>
          <w:color w:val="auto"/>
          <w:spacing w:val="3"/>
          <w:kern w:val="0"/>
          <w:szCs w:val="21"/>
        </w:rPr>
        <w:t>（1）采购人将根据招标采购设备的特点依法组建</w:t>
      </w:r>
      <w:r>
        <w:rPr>
          <w:rFonts w:hint="eastAsia" w:ascii="Times New Roman" w:hAnsi="宋体" w:eastAsia="宋体" w:cs="Times New Roman"/>
          <w:color w:val="auto"/>
          <w:spacing w:val="3"/>
          <w:kern w:val="0"/>
          <w:szCs w:val="21"/>
          <w:lang w:val="en-US" w:eastAsia="zh-CN"/>
        </w:rPr>
        <w:t>5</w:t>
      </w:r>
      <w:r>
        <w:rPr>
          <w:rFonts w:hint="eastAsia" w:ascii="Times New Roman" w:hAnsi="宋体" w:eastAsia="宋体" w:cs="Times New Roman"/>
          <w:color w:val="auto"/>
          <w:spacing w:val="3"/>
          <w:kern w:val="0"/>
          <w:szCs w:val="21"/>
        </w:rPr>
        <w:t>人的评标委员会，</w:t>
      </w:r>
      <w:r>
        <w:rPr>
          <w:rFonts w:hint="eastAsia" w:ascii="Times New Roman" w:hAnsi="宋体" w:eastAsia="宋体" w:cs="Times New Roman"/>
          <w:color w:val="auto"/>
          <w:spacing w:val="-10"/>
          <w:kern w:val="0"/>
          <w:szCs w:val="21"/>
        </w:rPr>
        <w:t>其成员由政府</w:t>
      </w:r>
      <w:r>
        <w:rPr>
          <w:rFonts w:hint="eastAsia" w:ascii="Times New Roman" w:hAnsi="宋体" w:eastAsia="宋体" w:cs="Times New Roman"/>
          <w:color w:val="auto"/>
          <w:spacing w:val="-10"/>
          <w:kern w:val="0"/>
          <w:szCs w:val="21"/>
          <w:lang w:eastAsia="zh-CN"/>
        </w:rPr>
        <w:t>组件的</w:t>
      </w:r>
      <w:r>
        <w:rPr>
          <w:rFonts w:hint="eastAsia" w:ascii="Times New Roman" w:hAnsi="宋体" w:eastAsia="宋体" w:cs="Times New Roman"/>
          <w:color w:val="auto"/>
          <w:spacing w:val="-10"/>
          <w:kern w:val="0"/>
          <w:szCs w:val="21"/>
        </w:rPr>
        <w:t>专家库中随机抽取的评审专家和采购人代表</w:t>
      </w:r>
      <w:r>
        <w:rPr>
          <w:rFonts w:hint="eastAsia" w:ascii="Times New Roman" w:hAnsi="宋体" w:eastAsia="宋体" w:cs="Times New Roman"/>
          <w:color w:val="auto"/>
          <w:spacing w:val="-5"/>
          <w:kern w:val="0"/>
          <w:szCs w:val="21"/>
        </w:rPr>
        <w:t>组成，其中评审专家不得少于成员总数的三分之二。</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2"/>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）评审专家与参加采购活动的供应商存在下列利害关系之一的，应当回避：</w:t>
      </w:r>
      <w:r>
        <w:rPr>
          <w:rFonts w:ascii="Times New Roman" w:hAnsi="宋体" w:eastAsia="宋体" w:cs="Times New Roman"/>
          <w:color w:val="000000" w:themeColor="text1"/>
          <w:spacing w:val="3"/>
          <w:kern w:val="0"/>
          <w:szCs w:val="21"/>
          <w14:textFill>
            <w14:solidFill>
              <w14:schemeClr w14:val="tx1"/>
            </w14:solidFill>
          </w14:textFill>
        </w:rPr>
        <w:t>1</w:t>
      </w:r>
      <w:r>
        <w:rPr>
          <w:rFonts w:hint="eastAsia" w:ascii="Times New Roman" w:hAnsi="宋体" w:eastAsia="宋体" w:cs="Times New Roman"/>
          <w:color w:val="000000" w:themeColor="text1"/>
          <w:spacing w:val="3"/>
          <w:kern w:val="0"/>
          <w:szCs w:val="21"/>
          <w14:textFill>
            <w14:solidFill>
              <w14:schemeClr w14:val="tx1"/>
            </w14:solidFill>
          </w14:textFill>
        </w:rPr>
        <w:t>）参加采购活动前三年内</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与供应商存在劳动关系，或者担任过供应商的董事监事</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（3）与供应商有其他可能影响政府采购活动公平、公正进行的关系。评审专家发现本人与参加采购活动的供应商有利害关系的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应当主动提出回避。采购人或者采购代理机构发</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现评审专家与参加采购活动的供应商有利害关系的</w:t>
      </w:r>
      <w:r>
        <w:rPr>
          <w:rFonts w:ascii="Times New Roman" w:hAnsi="宋体" w:eastAsia="宋体" w:cs="Times New Roman"/>
          <w:color w:val="000000" w:themeColor="text1"/>
          <w:spacing w:val="3"/>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应当要求其回避。</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（4）评标中因评标委员会成员缺席、回避或者健康等特殊原因导致评标委员会组成不符合规定的，采购人或者采</w:t>
      </w:r>
      <w:r>
        <w:rPr>
          <w:rFonts w:hint="eastAsia" w:ascii="Times New Roman" w:hAnsi="宋体" w:eastAsia="宋体" w:cs="Times New Roman"/>
          <w:color w:val="000000" w:themeColor="text1"/>
          <w:spacing w:val="-4"/>
          <w:kern w:val="0"/>
          <w:szCs w:val="21"/>
          <w14:textFill>
            <w14:solidFill>
              <w14:schemeClr w14:val="tx1"/>
            </w14:solidFill>
          </w14:textFill>
        </w:rPr>
        <w:t>购代理机构应当依法补足后继续评标。被更换的评标委员会</w:t>
      </w:r>
      <w:r>
        <w:rPr>
          <w:rFonts w:hint="eastAsia" w:ascii="Times New Roman" w:hAnsi="宋体" w:eastAsia="宋体" w:cs="Times New Roman"/>
          <w:color w:val="000000" w:themeColor="text1"/>
          <w:kern w:val="0"/>
          <w:szCs w:val="21"/>
          <w14:textFill>
            <w14:solidFill>
              <w14:schemeClr w14:val="tx1"/>
            </w14:solidFill>
          </w14:textFill>
        </w:rPr>
        <w:t>成员所作出的评标意见无效。无法及时补足评标委员会成员的，采购人或者采购代理机构</w:t>
      </w:r>
      <w:r>
        <w:rPr>
          <w:rFonts w:hint="eastAsia" w:ascii="Times New Roman" w:hAnsi="宋体" w:eastAsia="宋体" w:cs="Times New Roman"/>
          <w:color w:val="000000" w:themeColor="text1"/>
          <w:spacing w:val="-4"/>
          <w:kern w:val="0"/>
          <w:szCs w:val="21"/>
          <w14:textFill>
            <w14:solidFill>
              <w14:schemeClr w14:val="tx1"/>
            </w14:solidFill>
          </w14:textFill>
        </w:rPr>
        <w:t>应当停止评标活动，封存所有投标文件和开标、评标资料，依法重新组建评标委员会进行评</w:t>
      </w:r>
      <w:r>
        <w:rPr>
          <w:rFonts w:hint="eastAsia" w:ascii="Times New Roman" w:hAnsi="宋体" w:eastAsia="宋体" w:cs="Times New Roman"/>
          <w:color w:val="000000" w:themeColor="text1"/>
          <w:kern w:val="0"/>
          <w:szCs w:val="21"/>
          <w14:textFill>
            <w14:solidFill>
              <w14:schemeClr w14:val="tx1"/>
            </w14:solidFill>
          </w14:textFill>
        </w:rPr>
        <w:t>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32"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5）评标委员会负责具体评标事务，对符合资格的供应商的投标文件进行符合性审查，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5.3.2</w:t>
      </w:r>
      <w:r>
        <w:rPr>
          <w:rFonts w:hint="eastAsia" w:ascii="Times New Roman" w:hAnsi="宋体" w:eastAsia="宋体" w:cs="Times New Roman"/>
          <w:color w:val="000000" w:themeColor="text1"/>
          <w:spacing w:val="3"/>
          <w:kern w:val="0"/>
          <w:szCs w:val="21"/>
          <w14:textFill>
            <w14:solidFill>
              <w14:schemeClr w14:val="tx1"/>
            </w14:solidFill>
          </w14:textFill>
        </w:rPr>
        <w:t xml:space="preserve"> 评标原则</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评标活动遵循公平、公正、科学和择优的原则。</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5.3.3 </w:t>
      </w:r>
      <w:r>
        <w:rPr>
          <w:rFonts w:hint="eastAsia" w:ascii="Times New Roman" w:hAnsi="宋体" w:eastAsia="宋体" w:cs="Times New Roman"/>
          <w:color w:val="000000" w:themeColor="text1"/>
          <w:spacing w:val="3"/>
          <w:kern w:val="0"/>
          <w:szCs w:val="21"/>
          <w14:textFill>
            <w14:solidFill>
              <w14:schemeClr w14:val="tx1"/>
            </w14:solidFill>
          </w14:textFill>
        </w:rPr>
        <w:t>评标方法</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本此招标采用综合评分法，具体内容详见采购文件第三章评标方法和标准。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5.3.4 </w:t>
      </w:r>
      <w:r>
        <w:rPr>
          <w:rFonts w:hint="eastAsia" w:ascii="Times New Roman" w:hAnsi="宋体" w:eastAsia="宋体" w:cs="Times New Roman"/>
          <w:color w:val="000000" w:themeColor="text1"/>
          <w:spacing w:val="3"/>
          <w:kern w:val="0"/>
          <w:szCs w:val="21"/>
          <w14:textFill>
            <w14:solidFill>
              <w14:schemeClr w14:val="tx1"/>
            </w14:solidFill>
          </w14:textFill>
        </w:rPr>
        <w:t>同品牌产品评审出现多个供应商提供相同品牌产品的，评审原则见供应商须知前附表。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 xml:space="preserve">5.3.5 </w:t>
      </w:r>
      <w:r>
        <w:rPr>
          <w:rFonts w:hint="eastAsia" w:ascii="Times New Roman" w:hAnsi="宋体" w:eastAsia="宋体" w:cs="Times New Roman"/>
          <w:color w:val="000000" w:themeColor="text1"/>
          <w:spacing w:val="3"/>
          <w:kern w:val="0"/>
          <w:szCs w:val="21"/>
          <w14:textFill>
            <w14:solidFill>
              <w14:schemeClr w14:val="tx1"/>
            </w14:solidFill>
          </w14:textFill>
        </w:rPr>
        <w:t>废标条件</w:t>
      </w:r>
      <w:r>
        <w:rPr>
          <w:rFonts w:ascii="Times New Roman" w:hAnsi="宋体" w:eastAsia="宋体" w:cs="Times New Roman"/>
          <w:color w:val="000000" w:themeColor="text1"/>
          <w:spacing w:val="3"/>
          <w:kern w:val="0"/>
          <w:szCs w:val="21"/>
          <w14:textFill>
            <w14:solidFill>
              <w14:schemeClr w14:val="tx1"/>
            </w14:solidFill>
          </w14:textFill>
        </w:rPr>
        <w:t xml:space="preserve"> </w:t>
      </w:r>
      <w:r>
        <w:rPr>
          <w:rFonts w:hint="eastAsia" w:ascii="Times New Roman" w:hAnsi="宋体" w:eastAsia="宋体" w:cs="Times New Roman"/>
          <w:color w:val="000000" w:themeColor="text1"/>
          <w:spacing w:val="3"/>
          <w:kern w:val="0"/>
          <w:szCs w:val="21"/>
          <w14:textFill>
            <w14:solidFill>
              <w14:schemeClr w14:val="tx1"/>
            </w14:solidFill>
          </w14:textFill>
        </w:rPr>
        <w:t>出现下列情形之一，将导致项目废标即本项目的所有投标被拒绝：</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）符合专业条件的供应商或者对采购文件做实质性响应的供应商不足三家；</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）出现影响采购公正的违法、违规行为的；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）供应商的报价均超过了采购预算或最高限价，采购人不能支付的；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235"/>
        </w:tabs>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）因重大变故，采购任务取消的。</w:t>
      </w:r>
    </w:p>
    <w:p>
      <w:pPr>
        <w:tabs>
          <w:tab w:val="left" w:pos="1235"/>
        </w:tabs>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spacing w:val="-2"/>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5.3.6</w:t>
      </w:r>
      <w:r>
        <w:rPr>
          <w:rFonts w:hint="eastAsia" w:ascii="Times New Roman" w:hAnsi="宋体" w:eastAsia="宋体" w:cs="Times New Roman"/>
          <w:color w:val="000000" w:themeColor="text1"/>
          <w:spacing w:val="-2"/>
          <w:kern w:val="0"/>
          <w:szCs w:val="21"/>
          <w14:textFill>
            <w14:solidFill>
              <w14:schemeClr w14:val="tx1"/>
            </w14:solidFill>
          </w14:textFill>
        </w:rPr>
        <w:t>保密原则</w:t>
      </w:r>
      <w:r>
        <w:rPr>
          <w:rFonts w:ascii="Times New Roman" w:hAnsi="宋体" w:eastAsia="宋体" w:cs="Times New Roman"/>
          <w:color w:val="000000" w:themeColor="text1"/>
          <w:spacing w:val="-2"/>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）评标将在严格保密的情况下进行。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）除了依法向政府采购监管部门提供情况外，评标委员会成员及与评标活动有</w:t>
      </w:r>
      <w:r>
        <w:rPr>
          <w:rFonts w:hint="eastAsia" w:ascii="Times New Roman" w:hAnsi="宋体" w:eastAsia="宋体" w:cs="Times New Roman"/>
          <w:color w:val="000000" w:themeColor="text1"/>
          <w:spacing w:val="-7"/>
          <w:kern w:val="0"/>
          <w:szCs w:val="21"/>
          <w14:textFill>
            <w14:solidFill>
              <w14:schemeClr w14:val="tx1"/>
            </w14:solidFill>
          </w14:textFill>
        </w:rPr>
        <w:t>关的工作人员不得泄露有关投标文件的评审和比较、中标候选供应商的推荐以及与评</w:t>
      </w:r>
      <w:r>
        <w:rPr>
          <w:rFonts w:hint="eastAsia" w:ascii="Times New Roman" w:hAnsi="宋体" w:eastAsia="宋体" w:cs="Times New Roman"/>
          <w:color w:val="000000" w:themeColor="text1"/>
          <w:kern w:val="0"/>
          <w:szCs w:val="21"/>
          <w14:textFill>
            <w14:solidFill>
              <w14:schemeClr w14:val="tx1"/>
            </w14:solidFill>
          </w14:textFill>
        </w:rPr>
        <w:t>标有关的其他情况。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供应商试图影响招标采购单位和评标委员会的任何活动，将导致其投标被拒绝，</w:t>
      </w:r>
      <w:r>
        <w:rPr>
          <w:rFonts w:hint="eastAsia" w:ascii="Times New Roman" w:hAnsi="宋体" w:eastAsia="宋体" w:cs="Times New Roman"/>
          <w:color w:val="000000" w:themeColor="text1"/>
          <w:spacing w:val="-5"/>
          <w:kern w:val="0"/>
          <w:szCs w:val="21"/>
          <w14:textFill>
            <w14:solidFill>
              <w14:schemeClr w14:val="tx1"/>
            </w14:solidFill>
          </w14:textFill>
        </w:rPr>
        <w:t>并承担相应的法律责任。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Times New Roman" w:hAnsi="宋体" w:eastAsia="宋体" w:cs="Times New Roman"/>
          <w:b/>
          <w:bCs/>
          <w:color w:val="000000" w:themeColor="text1"/>
          <w:kern w:val="0"/>
          <w:szCs w:val="21"/>
          <w14:textFill>
            <w14:solidFill>
              <w14:schemeClr w14:val="tx1"/>
            </w14:solidFill>
          </w14:textFill>
        </w:rPr>
      </w:pPr>
      <w:bookmarkStart w:id="87" w:name="_Toc7148"/>
      <w:bookmarkStart w:id="88" w:name="_Toc17887130"/>
      <w:bookmarkStart w:id="89" w:name="_Toc5960105"/>
      <w:r>
        <w:rPr>
          <w:rFonts w:hint="eastAsia" w:ascii="Times New Roman" w:hAnsi="宋体" w:eastAsia="宋体" w:cs="Times New Roman"/>
          <w:b/>
          <w:bCs/>
          <w:color w:val="000000" w:themeColor="text1"/>
          <w:kern w:val="0"/>
          <w:szCs w:val="21"/>
          <w14:textFill>
            <w14:solidFill>
              <w14:schemeClr w14:val="tx1"/>
            </w14:solidFill>
          </w14:textFill>
        </w:rPr>
        <w:t>六、中标和合同</w:t>
      </w:r>
      <w:bookmarkEnd w:id="87"/>
      <w:bookmarkEnd w:id="88"/>
      <w:bookmarkEnd w:id="89"/>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6.1</w:t>
      </w:r>
      <w:r>
        <w:rPr>
          <w:rFonts w:hint="eastAsia" w:ascii="Times New Roman" w:hAnsi="宋体" w:eastAsia="宋体" w:cs="Times New Roman"/>
          <w:bCs/>
          <w:color w:val="000000" w:themeColor="text1"/>
          <w:kern w:val="0"/>
          <w:szCs w:val="21"/>
          <w14:textFill>
            <w14:solidFill>
              <w14:schemeClr w14:val="tx1"/>
            </w14:solidFill>
          </w14:textFill>
        </w:rPr>
        <w:t>确定中标人</w:t>
      </w:r>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采购代理机构应当在评标结束后</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个工作日内将评标报告送采购人。采购人应当自收到评标报告之日起</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个工作日内，在评标报告确定的中标候选人名单中按顺序确定中标人。采购人在收到评标报告</w:t>
      </w:r>
      <w:r>
        <w:rPr>
          <w:rFonts w:ascii="Times New Roman" w:hAnsi="宋体" w:eastAsia="宋体" w:cs="Times New Roman"/>
          <w:color w:val="000000" w:themeColor="text1"/>
          <w:spacing w:val="3"/>
          <w:kern w:val="0"/>
          <w:szCs w:val="21"/>
          <w14:textFill>
            <w14:solidFill>
              <w14:schemeClr w14:val="tx1"/>
            </w14:solidFill>
          </w14:textFill>
        </w:rPr>
        <w:t>5</w:t>
      </w:r>
      <w:r>
        <w:rPr>
          <w:rFonts w:hint="eastAsia" w:ascii="Times New Roman" w:hAnsi="宋体" w:eastAsia="宋体" w:cs="Times New Roman"/>
          <w:color w:val="000000" w:themeColor="text1"/>
          <w:spacing w:val="3"/>
          <w:kern w:val="0"/>
          <w:szCs w:val="21"/>
          <w14:textFill>
            <w14:solidFill>
              <w14:schemeClr w14:val="tx1"/>
            </w14:solidFill>
          </w14:textFill>
        </w:rPr>
        <w:t>个工作日内未按评标报告推荐的中标候选人顺序确定中标人，又不能说明合法理由的，视同按评标报告推荐的顺序确定排名第一的中标候选人为中标人。</w:t>
      </w:r>
    </w:p>
    <w:p>
      <w:pPr>
        <w:kinsoku w:val="0"/>
        <w:overflowPunct w:val="0"/>
        <w:autoSpaceDE w:val="0"/>
        <w:autoSpaceDN w:val="0"/>
        <w:adjustRightInd w:val="0"/>
        <w:spacing w:line="360" w:lineRule="auto"/>
        <w:jc w:val="left"/>
        <w:rPr>
          <w:rFonts w:hint="eastAsia" w:ascii="Times New Roman" w:hAnsi="宋体" w:eastAsia="宋体" w:cs="Times New Roman"/>
          <w:bCs/>
          <w:color w:val="000000" w:themeColor="text1"/>
          <w:w w:val="99"/>
          <w:kern w:val="0"/>
          <w:szCs w:val="21"/>
          <w:lang w:eastAsia="zh-CN"/>
          <w14:textFill>
            <w14:solidFill>
              <w14:schemeClr w14:val="tx1"/>
            </w14:solidFill>
          </w14:textFill>
        </w:rPr>
      </w:pPr>
      <w:r>
        <w:rPr>
          <w:rFonts w:ascii="Times New Roman" w:hAnsi="宋体" w:eastAsia="宋体" w:cs="Times New Roman"/>
          <w:bCs/>
          <w:color w:val="000000" w:themeColor="text1"/>
          <w:kern w:val="0"/>
          <w:szCs w:val="21"/>
          <w14:textFill>
            <w14:solidFill>
              <w14:schemeClr w14:val="tx1"/>
            </w14:solidFill>
          </w14:textFill>
        </w:rPr>
        <w:t>6.2</w:t>
      </w:r>
      <w:r>
        <w:rPr>
          <w:rFonts w:hint="eastAsia"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lang w:eastAsia="zh-CN"/>
          <w14:textFill>
            <w14:solidFill>
              <w14:schemeClr w14:val="tx1"/>
            </w14:solidFill>
          </w14:textFill>
        </w:rPr>
        <w:t>评标结果</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00" w:firstLineChars="200"/>
        <w:jc w:val="left"/>
        <w:textAlignment w:val="auto"/>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5"/>
          <w:kern w:val="0"/>
          <w:szCs w:val="21"/>
          <w14:textFill>
            <w14:solidFill>
              <w14:schemeClr w14:val="tx1"/>
            </w14:solidFill>
          </w14:textFill>
        </w:rPr>
        <w:t>采</w:t>
      </w:r>
      <w:r>
        <w:rPr>
          <w:rFonts w:hint="eastAsia" w:ascii="Times New Roman" w:hAnsi="宋体" w:eastAsia="宋体" w:cs="Times New Roman"/>
          <w:color w:val="000000" w:themeColor="text1"/>
          <w:spacing w:val="3"/>
          <w:kern w:val="0"/>
          <w:szCs w:val="21"/>
          <w14:textFill>
            <w14:solidFill>
              <w14:schemeClr w14:val="tx1"/>
            </w14:solidFill>
          </w14:textFill>
        </w:rPr>
        <w:t>购人或者采购代理机构应自中标人确定之日起</w:t>
      </w:r>
      <w:r>
        <w:rPr>
          <w:rFonts w:ascii="Times New Roman" w:hAnsi="宋体" w:eastAsia="宋体" w:cs="Times New Roman"/>
          <w:color w:val="000000" w:themeColor="text1"/>
          <w:spacing w:val="3"/>
          <w:kern w:val="0"/>
          <w:szCs w:val="21"/>
          <w14:textFill>
            <w14:solidFill>
              <w14:schemeClr w14:val="tx1"/>
            </w14:solidFill>
          </w14:textFill>
        </w:rPr>
        <w:t>2</w:t>
      </w:r>
      <w:r>
        <w:rPr>
          <w:rFonts w:hint="eastAsia" w:ascii="Times New Roman" w:hAnsi="宋体" w:eastAsia="宋体" w:cs="Times New Roman"/>
          <w:color w:val="000000" w:themeColor="text1"/>
          <w:spacing w:val="3"/>
          <w:kern w:val="0"/>
          <w:szCs w:val="21"/>
          <w14:textFill>
            <w14:solidFill>
              <w14:schemeClr w14:val="tx1"/>
            </w14:solidFill>
          </w14:textFill>
        </w:rPr>
        <w:t>个工作日内，</w:t>
      </w:r>
      <w:r>
        <w:rPr>
          <w:rFonts w:hint="eastAsia" w:ascii="宋体" w:hAnsi="宋体"/>
          <w:szCs w:val="21"/>
          <w:highlight w:val="none"/>
        </w:rPr>
        <w:t>在省级以上财政部门指定的政府采购信息发布媒体上公告</w:t>
      </w:r>
      <w:r>
        <w:rPr>
          <w:rFonts w:hint="eastAsia" w:ascii="宋体" w:hAnsi="宋体"/>
          <w:szCs w:val="21"/>
          <w:highlight w:val="none"/>
          <w:lang w:val="en-US" w:eastAsia="zh-CN"/>
        </w:rPr>
        <w:t>中标</w:t>
      </w:r>
      <w:r>
        <w:rPr>
          <w:rFonts w:hint="eastAsia" w:ascii="宋体" w:hAnsi="宋体"/>
          <w:szCs w:val="21"/>
          <w:highlight w:val="none"/>
        </w:rPr>
        <w:t>结果</w:t>
      </w:r>
      <w:r>
        <w:rPr>
          <w:rFonts w:hint="eastAsia" w:ascii="Times New Roman" w:hAnsi="宋体" w:eastAsia="宋体" w:cs="Times New Roman"/>
          <w:color w:val="000000" w:themeColor="text1"/>
          <w:spacing w:val="3"/>
          <w:kern w:val="0"/>
          <w:szCs w:val="21"/>
          <w14:textFill>
            <w14:solidFill>
              <w14:schemeClr w14:val="tx1"/>
            </w14:solidFill>
          </w14:textFill>
        </w:rPr>
        <w:t>。供应商对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结果有异议的，须在中标公告发布之日起</w:t>
      </w:r>
      <w:r>
        <w:rPr>
          <w:rFonts w:ascii="Times New Roman" w:hAnsi="宋体" w:eastAsia="宋体" w:cs="Times New Roman"/>
          <w:color w:val="000000" w:themeColor="text1"/>
          <w:spacing w:val="3"/>
          <w:kern w:val="0"/>
          <w:szCs w:val="21"/>
          <w14:textFill>
            <w14:solidFill>
              <w14:schemeClr w14:val="tx1"/>
            </w14:solidFill>
          </w14:textFill>
        </w:rPr>
        <w:t>7</w:t>
      </w:r>
      <w:r>
        <w:rPr>
          <w:rFonts w:hint="eastAsia" w:ascii="Times New Roman" w:hAnsi="宋体" w:eastAsia="宋体" w:cs="Times New Roman"/>
          <w:color w:val="000000" w:themeColor="text1"/>
          <w:spacing w:val="3"/>
          <w:kern w:val="0"/>
          <w:szCs w:val="21"/>
          <w14:textFill>
            <w14:solidFill>
              <w14:schemeClr w14:val="tx1"/>
            </w14:solidFill>
          </w14:textFill>
        </w:rPr>
        <w:t>个工作日内对</w:t>
      </w:r>
      <w:r>
        <w:rPr>
          <w:rFonts w:hint="eastAsia" w:ascii="Times New Roman" w:hAnsi="宋体" w:eastAsia="宋体" w:cs="Times New Roman"/>
          <w:color w:val="000000" w:themeColor="text1"/>
          <w:spacing w:val="3"/>
          <w:kern w:val="0"/>
          <w:szCs w:val="21"/>
          <w:lang w:val="en-US" w:eastAsia="zh-CN"/>
          <w14:textFill>
            <w14:solidFill>
              <w14:schemeClr w14:val="tx1"/>
            </w14:solidFill>
          </w14:textFill>
        </w:rPr>
        <w:t>中标</w:t>
      </w:r>
      <w:r>
        <w:rPr>
          <w:rFonts w:hint="eastAsia" w:ascii="Times New Roman" w:hAnsi="宋体" w:eastAsia="宋体" w:cs="Times New Roman"/>
          <w:color w:val="000000" w:themeColor="text1"/>
          <w:spacing w:val="3"/>
          <w:kern w:val="0"/>
          <w:szCs w:val="21"/>
          <w14:textFill>
            <w14:solidFill>
              <w14:schemeClr w14:val="tx1"/>
            </w14:solidFill>
          </w14:textFill>
        </w:rPr>
        <w:t>结果以书面形式提出质疑，质疑应当有明确的请求和必要的证明材料，供应商需对质疑内容的真实性承担责任，逾期提出的质疑，采购人或采购代理机构将不予以受理。</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90" w:name="_Toc5955995"/>
      <w:bookmarkStart w:id="91" w:name="_Toc17873"/>
      <w:bookmarkStart w:id="92" w:name="_Toc5960106"/>
      <w:bookmarkStart w:id="93" w:name="_Toc17887131"/>
      <w:bookmarkStart w:id="94" w:name="_Toc5946378"/>
      <w:r>
        <w:rPr>
          <w:rFonts w:ascii="Times New Roman" w:hAnsi="宋体" w:eastAsia="宋体" w:cs="Times New Roman"/>
          <w:bCs/>
          <w:color w:val="000000" w:themeColor="text1"/>
          <w:kern w:val="0"/>
          <w:szCs w:val="21"/>
          <w14:textFill>
            <w14:solidFill>
              <w14:schemeClr w14:val="tx1"/>
            </w14:solidFill>
          </w14:textFill>
        </w:rPr>
        <w:t>6.3</w:t>
      </w:r>
      <w:r>
        <w:rPr>
          <w:rFonts w:hint="eastAsia" w:ascii="Times New Roman" w:hAnsi="宋体" w:eastAsia="宋体" w:cs="Times New Roman"/>
          <w:bCs/>
          <w:color w:val="000000" w:themeColor="text1"/>
          <w:kern w:val="0"/>
          <w:szCs w:val="21"/>
          <w14:textFill>
            <w14:solidFill>
              <w14:schemeClr w14:val="tx1"/>
            </w14:solidFill>
          </w14:textFill>
        </w:rPr>
        <w:t xml:space="preserve"> 接受和拒绝任何或所有投标的权利</w:t>
      </w:r>
      <w:bookmarkEnd w:id="90"/>
      <w:bookmarkEnd w:id="91"/>
      <w:bookmarkEnd w:id="92"/>
      <w:bookmarkEnd w:id="93"/>
      <w:bookmarkEnd w:id="9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hint="eastAsia" w:ascii="Times New Roman" w:hAnsi="宋体" w:eastAsia="宋体" w:cs="Times New Roman"/>
          <w:color w:val="000000" w:themeColor="text1"/>
          <w:spacing w:val="3"/>
          <w:kern w:val="0"/>
          <w:szCs w:val="21"/>
          <w14:textFill>
            <w14:solidFill>
              <w14:schemeClr w14:val="tx1"/>
            </w14:solidFill>
          </w14:textFill>
        </w:rPr>
        <w:t>如出现重大变故，采购任务取消情况，采购代理机构和采购人保留因此原因在授标之前任何时候接受或拒绝任何投标、以及宣布招标无效或拒绝所有投标的权力，对受影响的供应商不承担任何责任。</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95" w:name="_Toc17887132"/>
      <w:bookmarkStart w:id="96" w:name="_Toc5960107"/>
      <w:bookmarkStart w:id="97" w:name="_Toc5955996"/>
      <w:bookmarkStart w:id="98" w:name="_Toc30646"/>
      <w:bookmarkStart w:id="99" w:name="_Toc5946379"/>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4</w:t>
      </w:r>
      <w:r>
        <w:rPr>
          <w:rFonts w:ascii="Times New Roman" w:hAnsi="宋体" w:eastAsia="宋体" w:cs="Times New Roman"/>
          <w:bCs/>
          <w:color w:val="000000" w:themeColor="text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中标通知书</w:t>
      </w:r>
      <w:bookmarkEnd w:id="95"/>
      <w:bookmarkEnd w:id="96"/>
      <w:bookmarkEnd w:id="97"/>
      <w:bookmarkEnd w:id="98"/>
      <w:bookmarkEnd w:id="9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10"/>
          <w:kern w:val="0"/>
          <w:szCs w:val="21"/>
          <w14:textFill>
            <w14:solidFill>
              <w14:schemeClr w14:val="tx1"/>
            </w14:solidFill>
          </w14:textFill>
        </w:rPr>
        <w:t>在公告中标结果的同时，采购人或者采购代理机构将向中标人发出中标通知书。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2</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中标通知书发出后，采购人不得违法改变中标结果，中标人无正当理由不得放弃中标。</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6.4.</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中标通知书是合同的组成部分。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bCs/>
          <w:color w:val="000000" w:themeColor="text1"/>
          <w:w w:val="99"/>
          <w:kern w:val="0"/>
          <w:szCs w:val="21"/>
          <w14:textFill>
            <w14:solidFill>
              <w14:schemeClr w14:val="tx1"/>
            </w14:solidFill>
          </w14:textFill>
        </w:rPr>
      </w:pPr>
      <w:bookmarkStart w:id="100" w:name="_Toc5960109"/>
      <w:bookmarkStart w:id="101" w:name="_Toc5955998"/>
      <w:bookmarkStart w:id="102" w:name="_Toc14140"/>
      <w:bookmarkStart w:id="103" w:name="_Toc17887134"/>
      <w:bookmarkStart w:id="104" w:name="_Toc5946381"/>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5 授标时更改招标设备数量的权力</w:t>
      </w:r>
      <w:bookmarkEnd w:id="100"/>
      <w:bookmarkEnd w:id="101"/>
      <w:bookmarkEnd w:id="102"/>
      <w:bookmarkEnd w:id="103"/>
      <w:bookmarkEnd w:id="10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采购人在授予合同时有权对采购文件中规定的设备数量和服务予以增加或减少，</w:t>
      </w:r>
      <w:r>
        <w:rPr>
          <w:rFonts w:hint="eastAsia" w:ascii="Times New Roman" w:hAnsi="宋体" w:eastAsia="宋体" w:cs="Times New Roman"/>
          <w:color w:val="000000" w:themeColor="text1"/>
          <w:spacing w:val="-8"/>
          <w:kern w:val="0"/>
          <w:szCs w:val="21"/>
          <w14:textFill>
            <w14:solidFill>
              <w14:schemeClr w14:val="tx1"/>
            </w14:solidFill>
          </w14:textFill>
        </w:rPr>
        <w:t>或在</w:t>
      </w:r>
      <w:r>
        <w:rPr>
          <w:rFonts w:hint="eastAsia" w:ascii="Times New Roman" w:hAnsi="宋体" w:eastAsia="宋体" w:cs="Times New Roman"/>
          <w:color w:val="000000" w:themeColor="text1"/>
          <w:spacing w:val="2"/>
          <w:kern w:val="0"/>
          <w:szCs w:val="21"/>
          <w14:textFill>
            <w14:solidFill>
              <w14:schemeClr w14:val="tx1"/>
            </w14:solidFill>
          </w14:textFill>
        </w:rPr>
        <w:t>总额不变的情况下对设备品种进行变更，但不得对单价或其它主要条款和条件做实质性改</w:t>
      </w:r>
      <w:r>
        <w:rPr>
          <w:rFonts w:hint="eastAsia" w:ascii="Times New Roman" w:hAnsi="宋体" w:eastAsia="宋体" w:cs="Times New Roman"/>
          <w:color w:val="000000" w:themeColor="text1"/>
          <w:kern w:val="0"/>
          <w:szCs w:val="21"/>
          <w14:textFill>
            <w14:solidFill>
              <w14:schemeClr w14:val="tx1"/>
            </w14:solidFill>
          </w14:textFill>
        </w:rPr>
        <w:t>变。</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05" w:name="_Toc5946382"/>
      <w:bookmarkStart w:id="106" w:name="_Toc17887135"/>
      <w:bookmarkStart w:id="107" w:name="_Toc5955999"/>
      <w:bookmarkStart w:id="108" w:name="_Toc5960110"/>
      <w:bookmarkStart w:id="109" w:name="_Toc32626"/>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6</w:t>
      </w:r>
      <w:r>
        <w:rPr>
          <w:rFonts w:ascii="Times New Roman" w:hAnsi="宋体" w:eastAsia="宋体" w:cs="Times New Roman"/>
          <w:bCs/>
          <w:color w:val="000000" w:themeColor="text1"/>
          <w:spacing w:val="-80"/>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签订合同</w:t>
      </w:r>
      <w:bookmarkEnd w:id="105"/>
      <w:bookmarkEnd w:id="106"/>
      <w:bookmarkEnd w:id="107"/>
      <w:bookmarkEnd w:id="108"/>
      <w:bookmarkEnd w:id="109"/>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spacing w:val="-34"/>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采购人应当自中标通知书发出之日起2个工作日内，按照采购文件和中标人投标文件</w:t>
      </w:r>
      <w:r>
        <w:rPr>
          <w:rFonts w:hint="eastAsia" w:ascii="Times New Roman" w:hAnsi="宋体" w:eastAsia="宋体" w:cs="Times New Roman"/>
          <w:color w:val="000000" w:themeColor="text1"/>
          <w:spacing w:val="-10"/>
          <w:kern w:val="0"/>
          <w:szCs w:val="21"/>
          <w14:textFill>
            <w14:solidFill>
              <w14:schemeClr w14:val="tx1"/>
            </w14:solidFill>
          </w14:textFill>
        </w:rPr>
        <w:t>的规定，与中标人签订书面合同。所签订的合同不得对采购文件确定的事项和中标人投标文件</w:t>
      </w:r>
      <w:r>
        <w:rPr>
          <w:rFonts w:ascii="Times New Roman" w:hAnsi="宋体" w:eastAsia="宋体" w:cs="Times New Roman"/>
          <w:color w:val="000000" w:themeColor="text1"/>
          <w:spacing w:val="-9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作实质性修改。采购人不得向中标人提出任何不合理的要求作为签订合同的条件。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采购文件、中标人的投标文件及其澄清文件等，均为签订合同的依据。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 xml:space="preserve"> 中标通知书发出后，中标人放弃中标（不可抗力因素除外），须承担相应的法律责任。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6</w:t>
      </w:r>
      <w:r>
        <w:rPr>
          <w:rFonts w:ascii="Times New Roman" w:hAnsi="宋体" w:eastAsia="宋体" w:cs="Times New Roman"/>
          <w:color w:val="000000" w:themeColor="text1"/>
          <w:kern w:val="0"/>
          <w:szCs w:val="21"/>
          <w14:textFill>
            <w14:solidFill>
              <w14:schemeClr w14:val="tx1"/>
            </w14:solidFill>
          </w14:textFill>
        </w:rPr>
        <w:t>.4</w:t>
      </w:r>
      <w:r>
        <w:rPr>
          <w:rFonts w:hint="eastAsia" w:ascii="Times New Roman" w:hAnsi="宋体" w:eastAsia="宋体" w:cs="Times New Roman"/>
          <w:color w:val="000000" w:themeColor="text1"/>
          <w:kern w:val="0"/>
          <w:szCs w:val="21"/>
          <w14:textFill>
            <w14:solidFill>
              <w14:schemeClr w14:val="tx1"/>
            </w14:solidFill>
          </w14:textFill>
        </w:rPr>
        <w:t xml:space="preserve"> 中标</w:t>
      </w:r>
      <w:r>
        <w:rPr>
          <w:rFonts w:hint="eastAsia" w:ascii="Times New Roman" w:hAnsi="宋体" w:eastAsia="宋体" w:cs="Times New Roman"/>
          <w:color w:val="000000" w:themeColor="text1"/>
          <w:spacing w:val="-7"/>
          <w:kern w:val="0"/>
          <w:szCs w:val="21"/>
          <w14:textFill>
            <w14:solidFill>
              <w14:schemeClr w14:val="tx1"/>
            </w14:solidFill>
          </w14:textFill>
        </w:rPr>
        <w:t>人拒绝与采购人签订合同的，采购人可以按照评审报告推荐的中标候选人</w:t>
      </w:r>
      <w:r>
        <w:rPr>
          <w:rFonts w:hint="eastAsia" w:ascii="Times New Roman" w:hAnsi="宋体" w:eastAsia="宋体" w:cs="Times New Roman"/>
          <w:color w:val="000000" w:themeColor="text1"/>
          <w:kern w:val="0"/>
          <w:szCs w:val="21"/>
          <w14:textFill>
            <w14:solidFill>
              <w14:schemeClr w14:val="tx1"/>
            </w14:solidFill>
          </w14:textFill>
        </w:rPr>
        <w:t>名</w:t>
      </w:r>
      <w:r>
        <w:rPr>
          <w:rFonts w:hint="eastAsia" w:ascii="Times New Roman" w:hAnsi="宋体" w:eastAsia="宋体" w:cs="Times New Roman"/>
          <w:color w:val="000000" w:themeColor="text1"/>
          <w:spacing w:val="-8"/>
          <w:kern w:val="0"/>
          <w:szCs w:val="21"/>
          <w14:textFill>
            <w14:solidFill>
              <w14:schemeClr w14:val="tx1"/>
            </w14:solidFill>
          </w14:textFill>
        </w:rPr>
        <w:t>单排序，确定下一候选人为中标人，也可以重新开展政府采购活动。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0" w:name="_Toc5960111"/>
      <w:bookmarkStart w:id="111" w:name="_Toc605"/>
      <w:bookmarkStart w:id="112" w:name="_Toc17887136"/>
      <w:bookmarkStart w:id="113" w:name="_Toc5946383"/>
      <w:bookmarkStart w:id="114" w:name="_Toc5956000"/>
      <w:r>
        <w:rPr>
          <w:rFonts w:ascii="Times New Roman" w:hAnsi="宋体" w:eastAsia="宋体" w:cs="Times New Roman"/>
          <w:bCs/>
          <w:color w:val="000000" w:themeColor="text1"/>
          <w:kern w:val="0"/>
          <w:szCs w:val="21"/>
          <w14:textFill>
            <w14:solidFill>
              <w14:schemeClr w14:val="tx1"/>
            </w14:solidFill>
          </w14:textFill>
        </w:rPr>
        <w:t>6.</w:t>
      </w:r>
      <w:r>
        <w:rPr>
          <w:rFonts w:hint="eastAsia" w:ascii="Times New Roman" w:hAnsi="宋体" w:eastAsia="宋体" w:cs="Times New Roman"/>
          <w:bCs/>
          <w:color w:val="000000" w:themeColor="text1"/>
          <w:kern w:val="0"/>
          <w:szCs w:val="21"/>
          <w14:textFill>
            <w14:solidFill>
              <w14:schemeClr w14:val="tx1"/>
            </w14:solidFill>
          </w14:textFill>
        </w:rPr>
        <w:t>7</w:t>
      </w:r>
      <w:r>
        <w:rPr>
          <w:rFonts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spacing w:val="-81"/>
          <w:kern w:val="0"/>
          <w:szCs w:val="21"/>
          <w14:textFill>
            <w14:solidFill>
              <w14:schemeClr w14:val="tx1"/>
            </w14:solidFill>
          </w14:textFill>
        </w:rPr>
        <w:t xml:space="preserve"> </w:t>
      </w:r>
      <w:r>
        <w:rPr>
          <w:rFonts w:hint="eastAsia" w:ascii="Times New Roman" w:hAnsi="宋体" w:eastAsia="宋体" w:cs="Times New Roman"/>
          <w:bCs/>
          <w:color w:val="000000" w:themeColor="text1"/>
          <w:kern w:val="0"/>
          <w:szCs w:val="21"/>
          <w14:textFill>
            <w14:solidFill>
              <w14:schemeClr w14:val="tx1"/>
            </w14:solidFill>
          </w14:textFill>
        </w:rPr>
        <w:t>纪律和监督</w:t>
      </w:r>
      <w:bookmarkEnd w:id="110"/>
      <w:bookmarkEnd w:id="111"/>
      <w:bookmarkEnd w:id="112"/>
      <w:bookmarkEnd w:id="113"/>
      <w:bookmarkEnd w:id="114"/>
      <w:r>
        <w:rPr>
          <w:rFonts w:ascii="Times New Roman" w:hAnsi="宋体" w:eastAsia="宋体" w:cs="Times New Roman"/>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.1 </w:t>
      </w:r>
      <w:r>
        <w:rPr>
          <w:rFonts w:hint="eastAsia" w:ascii="Times New Roman" w:hAnsi="宋体" w:eastAsia="宋体" w:cs="Times New Roman"/>
          <w:color w:val="000000" w:themeColor="text1"/>
          <w:spacing w:val="3"/>
          <w:kern w:val="0"/>
          <w:szCs w:val="21"/>
          <w14:textFill>
            <w14:solidFill>
              <w14:schemeClr w14:val="tx1"/>
            </w14:solidFill>
          </w14:textFill>
        </w:rPr>
        <w:t>对采购人的纪律要求</w:t>
      </w:r>
      <w:r>
        <w:rPr>
          <w:rFonts w:hint="eastAsia" w:ascii="Times New Roman" w:hAnsi="宋体" w:eastAsia="宋体" w:cs="Times New Roman"/>
          <w:color w:val="000000" w:themeColor="text1"/>
          <w:spacing w:val="2"/>
          <w:kern w:val="0"/>
          <w:szCs w:val="21"/>
          <w14:textFill>
            <w14:solidFill>
              <w14:schemeClr w14:val="tx1"/>
            </w14:solidFill>
          </w14:textFill>
        </w:rPr>
        <w:t>采购人不得泄露招标投标活动中应当保密的情况和资料，</w:t>
      </w:r>
      <w:r>
        <w:rPr>
          <w:rFonts w:hint="eastAsia" w:ascii="Times New Roman" w:hAnsi="宋体" w:eastAsia="宋体" w:cs="Times New Roman"/>
          <w:color w:val="000000" w:themeColor="text1"/>
          <w:kern w:val="0"/>
          <w:szCs w:val="21"/>
          <w14:textFill>
            <w14:solidFill>
              <w14:schemeClr w14:val="tx1"/>
            </w14:solidFill>
          </w14:textFill>
        </w:rPr>
        <w:t>不得与供应商串通损害国家利益、社会公共利益或者他人合法权益。</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.2 </w:t>
      </w:r>
      <w:r>
        <w:rPr>
          <w:rFonts w:hint="eastAsia" w:ascii="Times New Roman" w:hAnsi="宋体" w:eastAsia="宋体" w:cs="Times New Roman"/>
          <w:color w:val="000000" w:themeColor="text1"/>
          <w:spacing w:val="-4"/>
          <w:kern w:val="0"/>
          <w:szCs w:val="21"/>
          <w14:textFill>
            <w14:solidFill>
              <w14:schemeClr w14:val="tx1"/>
            </w14:solidFill>
          </w14:textFill>
        </w:rPr>
        <w:t>对供应商的纪律要求供应商不得相互串通投标或者与采购人串通投标，不得向采购人或者评标委员会成员行贿谋取中标，不得以他人名义投标或者以其他方式弄虚作假骗取</w:t>
      </w:r>
      <w:r>
        <w:rPr>
          <w:rFonts w:hint="eastAsia" w:ascii="Times New Roman" w:hAnsi="宋体" w:eastAsia="宋体" w:cs="Times New Roman"/>
          <w:color w:val="000000" w:themeColor="text1"/>
          <w:kern w:val="0"/>
          <w:szCs w:val="21"/>
          <w14:textFill>
            <w14:solidFill>
              <w14:schemeClr w14:val="tx1"/>
            </w14:solidFill>
          </w14:textFill>
        </w:rPr>
        <w:t>中标；供应商不得以任何方式干扰、影响评标工作。</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32" w:firstLineChars="200"/>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3"/>
          <w:kern w:val="0"/>
          <w:szCs w:val="21"/>
          <w14:textFill>
            <w14:solidFill>
              <w14:schemeClr w14:val="tx1"/>
            </w14:solidFill>
          </w14:textFill>
        </w:rPr>
        <w:t>6.</w:t>
      </w:r>
      <w:r>
        <w:rPr>
          <w:rFonts w:hint="eastAsia" w:ascii="Times New Roman" w:hAnsi="宋体" w:eastAsia="宋体" w:cs="Times New Roman"/>
          <w:color w:val="000000" w:themeColor="text1"/>
          <w:spacing w:val="3"/>
          <w:kern w:val="0"/>
          <w:szCs w:val="21"/>
          <w14:textFill>
            <w14:solidFill>
              <w14:schemeClr w14:val="tx1"/>
            </w14:solidFill>
          </w14:textFill>
        </w:rPr>
        <w:t>7</w:t>
      </w:r>
      <w:r>
        <w:rPr>
          <w:rFonts w:ascii="Times New Roman" w:hAnsi="宋体" w:eastAsia="宋体" w:cs="Times New Roman"/>
          <w:color w:val="000000" w:themeColor="text1"/>
          <w:spacing w:val="3"/>
          <w:kern w:val="0"/>
          <w:szCs w:val="21"/>
          <w14:textFill>
            <w14:solidFill>
              <w14:schemeClr w14:val="tx1"/>
            </w14:solidFill>
          </w14:textFill>
        </w:rPr>
        <w:t xml:space="preserve">.3 </w:t>
      </w:r>
      <w:r>
        <w:rPr>
          <w:rFonts w:hint="eastAsia" w:ascii="Times New Roman" w:hAnsi="宋体" w:eastAsia="宋体" w:cs="Times New Roman"/>
          <w:color w:val="000000" w:themeColor="text1"/>
          <w:spacing w:val="3"/>
          <w:kern w:val="0"/>
          <w:szCs w:val="21"/>
          <w14:textFill>
            <w14:solidFill>
              <w14:schemeClr w14:val="tx1"/>
            </w14:solidFill>
          </w14:textFill>
        </w:rPr>
        <w:t>对评标委员会成员的纪律要求评标委员会成员不得收受他人的财物或者其他好处，不得向他人透露对投标文件的评审和比较、中标候选人的推荐情况以及评标有关的其他情况。在评标活动中，评标委员会成员应当客观、公正地履行职责，遵守职业道德，不得擅离职守，影响评标程序正常进行，不得使用第三章“评标办法和标准”没有规定的评审因素和标准进行评标。</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6.</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.4 </w:t>
      </w:r>
      <w:r>
        <w:rPr>
          <w:rFonts w:hint="eastAsia" w:ascii="Times New Roman" w:hAnsi="宋体" w:eastAsia="宋体" w:cs="Times New Roman"/>
          <w:color w:val="000000" w:themeColor="text1"/>
          <w:kern w:val="0"/>
          <w:szCs w:val="21"/>
          <w14:textFill>
            <w14:solidFill>
              <w14:schemeClr w14:val="tx1"/>
            </w14:solidFill>
          </w14:textFill>
        </w:rPr>
        <w:t>对与评标活动有关的工作人员的纪律要求与评标活动有关的工作人员不得收受</w:t>
      </w:r>
      <w:r>
        <w:rPr>
          <w:rFonts w:hint="eastAsia" w:ascii="Times New Roman" w:hAnsi="宋体" w:eastAsia="宋体" w:cs="Times New Roman"/>
          <w:color w:val="000000" w:themeColor="text1"/>
          <w:spacing w:val="-8"/>
          <w:kern w:val="0"/>
          <w:szCs w:val="21"/>
          <w14:textFill>
            <w14:solidFill>
              <w14:schemeClr w14:val="tx1"/>
            </w14:solidFill>
          </w14:textFill>
        </w:rPr>
        <w:t>他人的财物或者其他好处，不得向他人透露对投标文件的评审和比较、中标候选人的推荐情</w:t>
      </w:r>
      <w:r>
        <w:rPr>
          <w:rFonts w:ascii="Times New Roman" w:hAnsi="宋体" w:eastAsia="宋体" w:cs="Times New Roman"/>
          <w:color w:val="000000" w:themeColor="text1"/>
          <w:spacing w:val="-97"/>
          <w:kern w:val="0"/>
          <w:szCs w:val="21"/>
          <w14:textFill>
            <w14:solidFill>
              <w14:schemeClr w14:val="tx1"/>
            </w14:solidFill>
          </w14:textFill>
        </w:rPr>
        <w:t xml:space="preserve"> </w:t>
      </w:r>
      <w:r>
        <w:rPr>
          <w:rFonts w:hint="eastAsia" w:ascii="Times New Roman" w:hAnsi="宋体" w:eastAsia="宋体" w:cs="Times New Roman"/>
          <w:color w:val="000000" w:themeColor="text1"/>
          <w:spacing w:val="-6"/>
          <w:kern w:val="0"/>
          <w:szCs w:val="21"/>
          <w14:textFill>
            <w14:solidFill>
              <w14:schemeClr w14:val="tx1"/>
            </w14:solidFill>
          </w14:textFill>
        </w:rPr>
        <w:t>况以及评标有关的其他情况。在评标活动中，与评标活动有关的工作人员不得擅离职守，影</w:t>
      </w:r>
      <w:r>
        <w:rPr>
          <w:rFonts w:ascii="Times New Roman" w:hAnsi="宋体" w:eastAsia="宋体" w:cs="Times New Roman"/>
          <w:color w:val="000000" w:themeColor="text1"/>
          <w:spacing w:val="-9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响评标程序正常进行。</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outlineLvl w:val="1"/>
        <w:rPr>
          <w:rFonts w:ascii="宋体" w:hAnsi="宋体" w:eastAsia="宋体" w:cs="宋体"/>
          <w:b/>
          <w:color w:val="000000" w:themeColor="text1"/>
          <w:kern w:val="0"/>
          <w:szCs w:val="21"/>
          <w14:textFill>
            <w14:solidFill>
              <w14:schemeClr w14:val="tx1"/>
            </w14:solidFill>
          </w14:textFill>
        </w:rPr>
      </w:pPr>
      <w:bookmarkStart w:id="115" w:name="_Toc5960114"/>
      <w:bookmarkStart w:id="116" w:name="_Toc17887138"/>
      <w:bookmarkStart w:id="117" w:name="_Toc939"/>
      <w:r>
        <w:rPr>
          <w:rFonts w:hint="eastAsia" w:ascii="宋体" w:hAnsi="宋体" w:eastAsia="宋体" w:cs="宋体"/>
          <w:b/>
          <w:bCs/>
          <w:color w:val="000000" w:themeColor="text1"/>
          <w:kern w:val="0"/>
          <w:szCs w:val="21"/>
          <w14:textFill>
            <w14:solidFill>
              <w14:schemeClr w14:val="tx1"/>
            </w14:solidFill>
          </w14:textFill>
        </w:rPr>
        <w:t>七、质疑和投诉</w:t>
      </w:r>
      <w:bookmarkEnd w:id="115"/>
      <w:bookmarkEnd w:id="116"/>
      <w:bookmarkEnd w:id="11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政府采购供应商提出质疑和投诉应当坚持依法依规、诚实信用原则。</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7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质疑函的接收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7.2.1</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接收质疑函的方式：详见供应商须知前附表。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7.2.2</w:t>
      </w:r>
      <w:r>
        <w:rPr>
          <w:rFonts w:hint="eastAsia"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57"/>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质疑函接收联系事宜：详见供应商须知前附表。</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供应商可以委托代理人进行质疑和投诉。其授权委托书应当载明代理人的姓名或</w:t>
      </w:r>
      <w:r>
        <w:rPr>
          <w:rFonts w:hint="eastAsia" w:ascii="Times New Roman" w:hAnsi="宋体" w:eastAsia="宋体" w:cs="Times New Roman"/>
          <w:color w:val="000000" w:themeColor="text1"/>
          <w:spacing w:val="-10"/>
          <w:kern w:val="0"/>
          <w:szCs w:val="21"/>
          <w14:textFill>
            <w14:solidFill>
              <w14:schemeClr w14:val="tx1"/>
            </w14:solidFill>
          </w14:textFill>
        </w:rPr>
        <w:t>者名称、代理事项、具体权限、期限和相关事项。供应商为自然人的，应当由本人签字；供应</w:t>
      </w:r>
      <w:r>
        <w:rPr>
          <w:rFonts w:hint="eastAsia" w:ascii="Times New Roman" w:hAnsi="宋体" w:eastAsia="宋体" w:cs="Times New Roman"/>
          <w:color w:val="000000" w:themeColor="text1"/>
          <w:spacing w:val="-11"/>
          <w:kern w:val="0"/>
          <w:szCs w:val="21"/>
          <w14:textFill>
            <w14:solidFill>
              <w14:schemeClr w14:val="tx1"/>
            </w14:solidFill>
          </w14:textFill>
        </w:rPr>
        <w:t>商为法人或者其他组织的，应当由法定代表人、主要负责人签字或者盖章，</w:t>
      </w:r>
      <w:r>
        <w:rPr>
          <w:rFonts w:hint="eastAsia" w:ascii="Times New Roman" w:hAnsi="宋体" w:eastAsia="宋体" w:cs="Times New Roman"/>
          <w:color w:val="000000" w:themeColor="text1"/>
          <w:kern w:val="0"/>
          <w:szCs w:val="21"/>
          <w14:textFill>
            <w14:solidFill>
              <w14:schemeClr w14:val="tx1"/>
            </w14:solidFill>
          </w14:textFill>
        </w:rPr>
        <w:t>并加盖公章。代</w:t>
      </w:r>
      <w:r>
        <w:rPr>
          <w:rFonts w:ascii="Times New Roman" w:hAnsi="宋体" w:eastAsia="宋体" w:cs="Times New Roman"/>
          <w:color w:val="000000" w:themeColor="text1"/>
          <w:spacing w:val="-100"/>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理人提出质疑和投诉，应当提交供应商签署的授权委托书。</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bookmarkStart w:id="118" w:name="_Toc17887139"/>
      <w:bookmarkStart w:id="119" w:name="_Toc12341"/>
      <w:bookmarkStart w:id="120" w:name="_Toc5956004"/>
      <w:bookmarkStart w:id="121" w:name="_Toc5960115"/>
      <w:bookmarkStart w:id="122" w:name="_Toc5946387"/>
      <w:r>
        <w:rPr>
          <w:rFonts w:ascii="Times New Roman" w:hAnsi="宋体" w:eastAsia="宋体" w:cs="Times New Roman"/>
          <w:color w:val="000000" w:themeColor="text1"/>
          <w:spacing w:val="-1"/>
          <w:kern w:val="0"/>
          <w:szCs w:val="21"/>
          <w14:textFill>
            <w14:solidFill>
              <w14:schemeClr w14:val="tx1"/>
            </w14:solidFill>
          </w14:textFill>
        </w:rPr>
        <w:t>7.</w:t>
      </w:r>
      <w:r>
        <w:rPr>
          <w:rFonts w:hint="eastAsia" w:ascii="Times New Roman" w:hAnsi="宋体" w:eastAsia="宋体" w:cs="Times New Roman"/>
          <w:color w:val="000000" w:themeColor="text1"/>
          <w:spacing w:val="-1"/>
          <w:kern w:val="0"/>
          <w:szCs w:val="21"/>
          <w14:textFill>
            <w14:solidFill>
              <w14:schemeClr w14:val="tx1"/>
            </w14:solidFill>
          </w14:textFill>
        </w:rPr>
        <w:t>4</w:t>
      </w:r>
      <w:r>
        <w:rPr>
          <w:rFonts w:ascii="Times New Roman" w:hAnsi="宋体" w:eastAsia="宋体" w:cs="Times New Roman"/>
          <w:color w:val="000000" w:themeColor="text1"/>
          <w:spacing w:val="-1"/>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以联合体形式参加政府采购活动的，其质疑和投诉应当由组成联合体的所有供应商</w:t>
      </w:r>
      <w:r>
        <w:rPr>
          <w:rFonts w:hint="eastAsia" w:ascii="Times New Roman" w:hAnsi="宋体" w:eastAsia="宋体" w:cs="Times New Roman"/>
          <w:color w:val="000000" w:themeColor="text1"/>
          <w:kern w:val="0"/>
          <w:szCs w:val="21"/>
          <w14:textFill>
            <w14:solidFill>
              <w14:schemeClr w14:val="tx1"/>
            </w14:solidFill>
          </w14:textFill>
        </w:rPr>
        <w:t>共同提出。</w:t>
      </w:r>
      <w:bookmarkEnd w:id="118"/>
      <w:bookmarkEnd w:id="119"/>
      <w:bookmarkEnd w:id="120"/>
      <w:bookmarkEnd w:id="121"/>
      <w:bookmarkEnd w:id="122"/>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7.5 </w:t>
      </w:r>
      <w:r>
        <w:rPr>
          <w:rFonts w:hint="eastAsia" w:ascii="Times New Roman" w:hAnsi="宋体" w:eastAsia="宋体" w:cs="Times New Roman"/>
          <w:color w:val="000000" w:themeColor="text1"/>
          <w:spacing w:val="5"/>
          <w:kern w:val="0"/>
          <w:szCs w:val="21"/>
          <w14:textFill>
            <w14:solidFill>
              <w14:schemeClr w14:val="tx1"/>
            </w14:solidFill>
          </w14:textFill>
        </w:rPr>
        <w:t>供应商认为采购文件、采购过程、中标或者成交结果使自己的权益受到损害的，</w:t>
      </w:r>
      <w:r>
        <w:rPr>
          <w:rFonts w:hint="eastAsia" w:ascii="Times New Roman" w:hAnsi="宋体" w:eastAsia="宋体" w:cs="Times New Roman"/>
          <w:color w:val="000000" w:themeColor="text1"/>
          <w:kern w:val="0"/>
          <w:szCs w:val="21"/>
          <w14:textFill>
            <w14:solidFill>
              <w14:schemeClr w14:val="tx1"/>
            </w14:solidFill>
          </w14:textFill>
        </w:rPr>
        <w:t>可以在知道或者应知其权益受到损害之日起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个工作日内，以书面形式向采购人、采购代理</w:t>
      </w:r>
      <w:r>
        <w:rPr>
          <w:rFonts w:hint="eastAsia" w:ascii="Times New Roman" w:hAnsi="宋体" w:eastAsia="宋体" w:cs="Times New Roman"/>
          <w:color w:val="000000" w:themeColor="text1"/>
          <w:spacing w:val="-11"/>
          <w:kern w:val="0"/>
          <w:szCs w:val="21"/>
          <w14:textFill>
            <w14:solidFill>
              <w14:schemeClr w14:val="tx1"/>
            </w14:solidFill>
          </w14:textFill>
        </w:rPr>
        <w:t>机构提出质疑；供应商应在法定质疑期内一次性提出针对同一采购程序环节的质疑。</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7.6</w:t>
      </w:r>
      <w:r>
        <w:rPr>
          <w:rFonts w:ascii="Times New Roman" w:hAnsi="宋体" w:eastAsia="宋体" w:cs="Times New Roman"/>
          <w:color w:val="000000" w:themeColor="text1"/>
          <w:spacing w:val="-6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提出质疑的供应商应当是参与所质疑项目采购活动的供应商。潜在供应商已依法</w:t>
      </w:r>
      <w:r>
        <w:rPr>
          <w:rFonts w:hint="eastAsia" w:ascii="Times New Roman" w:hAnsi="宋体" w:eastAsia="宋体" w:cs="Times New Roman"/>
          <w:color w:val="000000" w:themeColor="text1"/>
          <w:spacing w:val="-4"/>
          <w:kern w:val="0"/>
          <w:szCs w:val="21"/>
          <w14:textFill>
            <w14:solidFill>
              <w14:schemeClr w14:val="tx1"/>
            </w14:solidFill>
          </w14:textFill>
        </w:rPr>
        <w:t>获取其可质疑的采购文件的，可以对该文件提出质疑。对采购文件提出质疑的，应当在获取</w:t>
      </w:r>
      <w:r>
        <w:rPr>
          <w:rFonts w:hint="eastAsia" w:ascii="Times New Roman" w:hAnsi="宋体" w:eastAsia="宋体" w:cs="Times New Roman"/>
          <w:color w:val="000000" w:themeColor="text1"/>
          <w:kern w:val="0"/>
          <w:szCs w:val="21"/>
          <w14:textFill>
            <w14:solidFill>
              <w14:schemeClr w14:val="tx1"/>
            </w14:solidFill>
          </w14:textFill>
        </w:rPr>
        <w:t>采购文件或者采购文件公告期限届满之日起</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个工作日内提出。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7</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供应商提出质疑应当提交质疑函和必要的证明材料。质疑函应当包括下列内容：</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（一）供应商的姓名或者名称、地址、邮编、联系人及联系电话；</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（二）质疑项目的名称、编号；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（三）具体、明确的质疑事项和与质疑事项相关的请求；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（四）事实依据；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（五）必要的法律依据；</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hint="eastAsia" w:ascii="Times New Roman" w:hAnsi="宋体" w:eastAsia="宋体" w:cs="Times New Roman"/>
          <w:color w:val="000000" w:themeColor="text1"/>
          <w:kern w:val="0"/>
          <w:szCs w:val="21"/>
          <w:lang w:val="en-US" w:eastAsia="zh-CN"/>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（六）提出质疑的日期。供应商为自然人的，应当由本人签字；供应商为法人或者其</w:t>
      </w:r>
      <w:r>
        <w:rPr>
          <w:rFonts w:hint="eastAsia" w:ascii="Times New Roman" w:hAnsi="宋体" w:eastAsia="宋体" w:cs="Times New Roman"/>
          <w:color w:val="000000" w:themeColor="text1"/>
          <w:spacing w:val="-4"/>
          <w:kern w:val="0"/>
          <w:szCs w:val="21"/>
          <w14:textFill>
            <w14:solidFill>
              <w14:schemeClr w14:val="tx1"/>
            </w14:solidFill>
          </w14:textFill>
        </w:rPr>
        <w:t>他组织的，应当由法定代表人、主要负责人，或者其授权代表签字或者盖章，并加盖公章</w:t>
      </w:r>
      <w:r>
        <w:rPr>
          <w:rFonts w:hint="eastAsia" w:ascii="Times New Roman" w:hAnsi="宋体" w:eastAsia="宋体" w:cs="Times New Roman"/>
          <w:color w:val="000000" w:themeColor="text1"/>
          <w:spacing w:val="-4"/>
          <w:kern w:val="0"/>
          <w:szCs w:val="21"/>
          <w:lang w:eastAsia="zh-CN"/>
          <w14:textFill>
            <w14:solidFill>
              <w14:schemeClr w14:val="tx1"/>
            </w14:solidFill>
          </w14:textFill>
        </w:rPr>
        <w:t>。</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采购人、采购代理机构不得拒收质疑供应商在法定质疑期内发出的质疑函，应当在收到质疑函后</w:t>
      </w:r>
      <w:r>
        <w:rPr>
          <w:rFonts w:ascii="Times New Roman" w:hAnsi="宋体" w:eastAsia="宋体" w:cs="Times New Roman"/>
          <w:color w:val="000000" w:themeColor="text1"/>
          <w:kern w:val="0"/>
          <w:szCs w:val="21"/>
          <w14:textFill>
            <w14:solidFill>
              <w14:schemeClr w14:val="tx1"/>
            </w14:solidFill>
          </w14:textFill>
        </w:rPr>
        <w:t>7</w:t>
      </w:r>
      <w:r>
        <w:rPr>
          <w:rFonts w:hint="eastAsia" w:ascii="Times New Roman" w:hAnsi="宋体" w:eastAsia="宋体" w:cs="Times New Roman"/>
          <w:color w:val="000000" w:themeColor="text1"/>
          <w:kern w:val="0"/>
          <w:szCs w:val="21"/>
          <w14:textFill>
            <w14:solidFill>
              <w14:schemeClr w14:val="tx1"/>
            </w14:solidFill>
          </w14:textFill>
        </w:rPr>
        <w:t>个工作日内作出答复，并以书面形式通知质疑供应商和其他有关供应商。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7.9 </w:t>
      </w:r>
      <w:r>
        <w:rPr>
          <w:rFonts w:hint="eastAsia" w:ascii="Times New Roman" w:hAnsi="宋体" w:eastAsia="宋体" w:cs="Times New Roman"/>
          <w:color w:val="000000" w:themeColor="text1"/>
          <w:kern w:val="0"/>
          <w:szCs w:val="21"/>
          <w14:textFill>
            <w14:solidFill>
              <w14:schemeClr w14:val="tx1"/>
            </w14:solidFill>
          </w14:textFill>
        </w:rPr>
        <w:t>质疑供应商对采购人、采购代理机构的答复不满意，或者采购人、采购代理机构未在规定时间内作出答复的，可以在答复期满后</w:t>
      </w:r>
      <w:r>
        <w:rPr>
          <w:rFonts w:ascii="Times New Roman" w:hAnsi="宋体" w:eastAsia="宋体" w:cs="Times New Roman"/>
          <w:color w:val="000000" w:themeColor="text1"/>
          <w:kern w:val="0"/>
          <w:szCs w:val="21"/>
          <w14:textFill>
            <w14:solidFill>
              <w14:schemeClr w14:val="tx1"/>
            </w14:solidFill>
          </w14:textFill>
        </w:rPr>
        <w:t>15</w:t>
      </w:r>
      <w:r>
        <w:rPr>
          <w:rFonts w:hint="eastAsia" w:ascii="Times New Roman" w:hAnsi="宋体" w:eastAsia="宋体" w:cs="Times New Roman"/>
          <w:color w:val="000000" w:themeColor="text1"/>
          <w:kern w:val="0"/>
          <w:szCs w:val="21"/>
          <w14:textFill>
            <w14:solidFill>
              <w14:schemeClr w14:val="tx1"/>
            </w14:solidFill>
          </w14:textFill>
        </w:rPr>
        <w:t>个工作日内按《政府采购质疑和投诉办法》（财政部令第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号）的规定向财政部门提起投诉。</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7.10 </w:t>
      </w:r>
      <w:r>
        <w:rPr>
          <w:rFonts w:hint="eastAsia" w:ascii="Times New Roman" w:hAnsi="宋体" w:eastAsia="宋体" w:cs="Times New Roman"/>
          <w:color w:val="000000" w:themeColor="text1"/>
          <w:kern w:val="0"/>
          <w:szCs w:val="21"/>
          <w14:textFill>
            <w14:solidFill>
              <w14:schemeClr w14:val="tx1"/>
            </w14:solidFill>
          </w14:textFill>
        </w:rPr>
        <w:t>投诉人在全国范围</w:t>
      </w:r>
      <w:r>
        <w:rPr>
          <w:rFonts w:ascii="Times New Roman" w:hAnsi="宋体" w:eastAsia="宋体" w:cs="Times New Roman"/>
          <w:color w:val="000000" w:themeColor="text1"/>
          <w:kern w:val="0"/>
          <w:szCs w:val="21"/>
          <w14:textFill>
            <w14:solidFill>
              <w14:schemeClr w14:val="tx1"/>
            </w14:solidFill>
          </w14:textFill>
        </w:rPr>
        <w:t>12</w:t>
      </w:r>
      <w:r>
        <w:rPr>
          <w:rFonts w:hint="eastAsia" w:ascii="Times New Roman" w:hAnsi="宋体" w:eastAsia="宋体" w:cs="Times New Roman"/>
          <w:color w:val="000000" w:themeColor="text1"/>
          <w:kern w:val="0"/>
          <w:szCs w:val="21"/>
          <w14:textFill>
            <w14:solidFill>
              <w14:schemeClr w14:val="tx1"/>
            </w14:solidFill>
          </w14:textFill>
        </w:rPr>
        <w:t>个月内三次以上投诉查无实据的，由财政部门列入不良行为记录名单，投诉人有下列行为之一的，属于虚假、恶意投诉，由财政部门列入不良行为记录名单，禁止其</w:t>
      </w: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至</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年内参加政府采购活动：</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3" w:name="_Toc15401"/>
      <w:bookmarkStart w:id="124" w:name="_Toc5956005"/>
      <w:bookmarkStart w:id="125" w:name="_Toc5946388"/>
      <w:bookmarkStart w:id="126" w:name="_Toc5960116"/>
      <w:bookmarkStart w:id="127" w:name="_Toc17887140"/>
      <w:r>
        <w:rPr>
          <w:rFonts w:hint="eastAsia" w:ascii="Times New Roman" w:hAnsi="宋体" w:eastAsia="宋体" w:cs="Times New Roman"/>
          <w:color w:val="000000" w:themeColor="text1"/>
          <w:kern w:val="0"/>
          <w:szCs w:val="21"/>
          <w14:textFill>
            <w14:solidFill>
              <w14:schemeClr w14:val="tx1"/>
            </w14:solidFill>
          </w14:textFill>
        </w:rPr>
        <w:t>（一）捏造事实</w:t>
      </w:r>
      <w:bookmarkEnd w:id="123"/>
      <w:bookmarkEnd w:id="124"/>
      <w:bookmarkEnd w:id="125"/>
      <w:bookmarkEnd w:id="126"/>
      <w:bookmarkEnd w:id="127"/>
      <w:r>
        <w:rPr>
          <w:rFonts w:hint="eastAsia" w:ascii="Times New Roman" w:hAnsi="宋体" w:eastAsia="宋体" w:cs="Times New Roman"/>
          <w:color w:val="000000" w:themeColor="text1"/>
          <w:kern w:val="0"/>
          <w:szCs w:val="21"/>
          <w14:textFill>
            <w14:solidFill>
              <w14:schemeClr w14:val="tx1"/>
            </w14:solidFill>
          </w14:textFill>
        </w:rPr>
        <w:t>；</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bookmarkStart w:id="128" w:name="_Toc5956006"/>
      <w:bookmarkStart w:id="129" w:name="_Toc5960117"/>
      <w:bookmarkStart w:id="130" w:name="_Toc5946389"/>
      <w:bookmarkStart w:id="131" w:name="_Toc20548"/>
      <w:bookmarkStart w:id="132" w:name="_Toc17887141"/>
      <w:r>
        <w:rPr>
          <w:rFonts w:hint="eastAsia" w:ascii="Times New Roman" w:hAnsi="宋体" w:eastAsia="宋体" w:cs="Times New Roman"/>
          <w:color w:val="000000" w:themeColor="text1"/>
          <w:kern w:val="0"/>
          <w:szCs w:val="21"/>
          <w14:textFill>
            <w14:solidFill>
              <w14:schemeClr w14:val="tx1"/>
            </w14:solidFill>
          </w14:textFill>
        </w:rPr>
        <w:t>（二）提供虚假材料</w:t>
      </w:r>
      <w:bookmarkEnd w:id="128"/>
      <w:bookmarkEnd w:id="129"/>
      <w:bookmarkEnd w:id="130"/>
      <w:bookmarkEnd w:id="131"/>
      <w:bookmarkEnd w:id="132"/>
      <w:r>
        <w:rPr>
          <w:rFonts w:hint="eastAsia" w:ascii="Times New Roman" w:hAnsi="宋体" w:eastAsia="宋体" w:cs="Times New Roman"/>
          <w:color w:val="000000" w:themeColor="text1"/>
          <w:kern w:val="0"/>
          <w:szCs w:val="21"/>
          <w14:textFill>
            <w14:solidFill>
              <w14:schemeClr w14:val="tx1"/>
            </w14:solidFill>
          </w14:textFill>
        </w:rPr>
        <w:t>；</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420"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bookmarkStart w:id="133" w:name="_Toc17887142"/>
      <w:bookmarkStart w:id="134" w:name="_Toc5946390"/>
      <w:bookmarkStart w:id="135" w:name="_Toc5960118"/>
      <w:bookmarkStart w:id="136" w:name="_Toc26114"/>
      <w:bookmarkStart w:id="137" w:name="_Toc5956007"/>
      <w:r>
        <w:rPr>
          <w:rFonts w:hint="eastAsia" w:ascii="Times New Roman" w:hAnsi="宋体" w:eastAsia="宋体" w:cs="Times New Roman"/>
          <w:color w:val="000000" w:themeColor="text1"/>
          <w:kern w:val="0"/>
          <w:szCs w:val="21"/>
          <w14:textFill>
            <w14:solidFill>
              <w14:schemeClr w14:val="tx1"/>
            </w14:solidFill>
          </w14:textFill>
        </w:rPr>
        <w:t>（三）以非法手段取得证明材料。证据来源的合法性存在明显疑问，投诉人无法证明其取得方式合法的，视为以非法手段取得证明材料。</w:t>
      </w:r>
      <w:bookmarkEnd w:id="133"/>
      <w:bookmarkEnd w:id="134"/>
      <w:bookmarkEnd w:id="135"/>
      <w:bookmarkEnd w:id="136"/>
      <w:bookmarkEnd w:id="137"/>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7.1</w:t>
      </w:r>
      <w:r>
        <w:rPr>
          <w:rFonts w:hint="eastAsia" w:ascii="Times New Roman" w:hAnsi="宋体" w:eastAsia="宋体" w:cs="Times New Roman"/>
          <w:color w:val="000000" w:themeColor="text1"/>
          <w:kern w:val="0"/>
          <w:szCs w:val="21"/>
          <w14:textFill>
            <w14:solidFill>
              <w14:schemeClr w14:val="tx1"/>
            </w14:solidFill>
          </w14:textFill>
        </w:rPr>
        <w:t>1</w:t>
      </w:r>
      <w:r>
        <w:rPr>
          <w:rFonts w:ascii="Times New Roman" w:hAnsi="宋体" w:eastAsia="宋体" w:cs="Times New Roman"/>
          <w:color w:val="000000" w:themeColor="text1"/>
          <w:kern w:val="0"/>
          <w:szCs w:val="21"/>
          <w14:textFill>
            <w14:solidFill>
              <w14:schemeClr w14:val="tx1"/>
            </w14:solidFill>
          </w14:textFill>
        </w:rPr>
        <w:t xml:space="preserve"> </w:t>
      </w:r>
      <w:r>
        <w:rPr>
          <w:rFonts w:ascii="Times New Roman" w:hAnsi="宋体" w:eastAsia="宋体" w:cs="Times New Roman"/>
          <w:color w:val="000000" w:themeColor="text1"/>
          <w:spacing w:val="-6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其它未尽事宜按《政府采购质疑和投诉办法》（财政部令第</w:t>
      </w:r>
      <w:r>
        <w:rPr>
          <w:rFonts w:ascii="Times New Roman" w:hAnsi="宋体" w:eastAsia="宋体" w:cs="Times New Roman"/>
          <w:color w:val="000000" w:themeColor="text1"/>
          <w:kern w:val="0"/>
          <w:szCs w:val="21"/>
          <w14:textFill>
            <w14:solidFill>
              <w14:schemeClr w14:val="tx1"/>
            </w14:solidFill>
          </w14:textFill>
        </w:rPr>
        <w:t>94</w:t>
      </w:r>
      <w:r>
        <w:rPr>
          <w:rFonts w:hint="eastAsia" w:ascii="Times New Roman" w:hAnsi="宋体" w:eastAsia="宋体" w:cs="Times New Roman"/>
          <w:color w:val="000000" w:themeColor="text1"/>
          <w:kern w:val="0"/>
          <w:szCs w:val="21"/>
          <w14:textFill>
            <w14:solidFill>
              <w14:schemeClr w14:val="tx1"/>
            </w14:solidFill>
          </w14:textFill>
        </w:rPr>
        <w:t>号）执行。</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各参与政府采购活动的供应商（格式见附件），在中标成交后可以持政府采购合同向融资机构申请贷款。</w:t>
      </w:r>
    </w:p>
    <w:p>
      <w:pPr>
        <w:widowControl/>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br w:type="page"/>
      </w:r>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6"/>
          <w:szCs w:val="16"/>
          <w14:textFill>
            <w14:solidFill>
              <w14:schemeClr w14:val="tx1"/>
            </w14:solidFill>
          </w14:textFill>
        </w:rPr>
      </w:pPr>
    </w:p>
    <w:p>
      <w:pPr>
        <w:kinsoku w:val="0"/>
        <w:overflowPunct w:val="0"/>
        <w:autoSpaceDE w:val="0"/>
        <w:autoSpaceDN w:val="0"/>
        <w:adjustRightInd w:val="0"/>
        <w:spacing w:line="402" w:lineRule="exact"/>
        <w:ind w:left="3489"/>
        <w:jc w:val="left"/>
        <w:outlineLvl w:val="0"/>
        <w:rPr>
          <w:rFonts w:ascii="宋体" w:hAnsi="Times New Roman" w:eastAsia="宋体" w:cs="宋体"/>
          <w:color w:val="000000" w:themeColor="text1"/>
          <w:kern w:val="0"/>
          <w:sz w:val="32"/>
          <w:szCs w:val="32"/>
          <w14:textFill>
            <w14:solidFill>
              <w14:schemeClr w14:val="tx1"/>
            </w14:solidFill>
          </w14:textFill>
        </w:rPr>
      </w:pPr>
      <w:bookmarkStart w:id="138" w:name="_Toc3592"/>
      <w:bookmarkStart w:id="139" w:name="_Toc29087"/>
      <w:bookmarkStart w:id="140" w:name="_Toc4140"/>
      <w:r>
        <w:rPr>
          <w:rFonts w:hint="eastAsia" w:ascii="宋体" w:hAnsi="Times New Roman" w:eastAsia="宋体" w:cs="宋体"/>
          <w:b/>
          <w:bCs/>
          <w:color w:val="000000" w:themeColor="text1"/>
          <w:spacing w:val="2"/>
          <w:kern w:val="0"/>
          <w:sz w:val="32"/>
          <w:szCs w:val="32"/>
          <w14:textFill>
            <w14:solidFill>
              <w14:schemeClr w14:val="tx1"/>
            </w14:solidFill>
          </w14:textFill>
        </w:rPr>
        <w:t>第三章</w:t>
      </w:r>
      <w:r>
        <w:rPr>
          <w:rFonts w:ascii="宋体" w:hAnsi="Times New Roman" w:eastAsia="宋体" w:cs="宋体"/>
          <w:b/>
          <w:bCs/>
          <w:color w:val="000000" w:themeColor="text1"/>
          <w:spacing w:val="-8"/>
          <w:kern w:val="0"/>
          <w:sz w:val="32"/>
          <w:szCs w:val="32"/>
          <w14:textFill>
            <w14:solidFill>
              <w14:schemeClr w14:val="tx1"/>
            </w14:solidFill>
          </w14:textFill>
        </w:rPr>
        <w:t xml:space="preserve"> </w:t>
      </w:r>
      <w:r>
        <w:rPr>
          <w:rFonts w:hint="eastAsia" w:ascii="宋体" w:hAnsi="Times New Roman" w:eastAsia="宋体" w:cs="宋体"/>
          <w:b/>
          <w:bCs/>
          <w:color w:val="000000" w:themeColor="text1"/>
          <w:kern w:val="0"/>
          <w:sz w:val="32"/>
          <w:szCs w:val="32"/>
          <w14:textFill>
            <w14:solidFill>
              <w14:schemeClr w14:val="tx1"/>
            </w14:solidFill>
          </w14:textFill>
        </w:rPr>
        <w:t>评标方法和标准</w:t>
      </w:r>
      <w:bookmarkEnd w:id="138"/>
      <w:bookmarkEnd w:id="139"/>
      <w:bookmarkEnd w:id="140"/>
      <w:r>
        <w:rPr>
          <w:rFonts w:ascii="宋体" w:hAnsi="Times New Roman"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before="12"/>
        <w:jc w:val="left"/>
        <w:rPr>
          <w:rFonts w:ascii="Times New Roman" w:hAnsi="宋体"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41" w:name="_Toc25444"/>
      <w:bookmarkStart w:id="142" w:name="_Toc8356"/>
      <w:bookmarkStart w:id="143" w:name="_Toc3123"/>
      <w:bookmarkStart w:id="144" w:name="_Toc17887158"/>
      <w:bookmarkStart w:id="145" w:name="_Toc5960134"/>
      <w:bookmarkStart w:id="146" w:name="_Toc22660"/>
      <w:bookmarkStart w:id="147" w:name="_Toc26463"/>
      <w:r>
        <w:rPr>
          <w:rFonts w:hint="eastAsia" w:ascii="宋体" w:hAnsi="宋体" w:eastAsia="宋体" w:cs="宋体"/>
          <w:b/>
          <w:bCs/>
          <w:color w:val="000000" w:themeColor="text1"/>
          <w:kern w:val="0"/>
          <w:szCs w:val="21"/>
          <w14:textFill>
            <w14:solidFill>
              <w14:schemeClr w14:val="tx1"/>
            </w14:solidFill>
          </w14:textFill>
        </w:rPr>
        <w:t>一、评标依据</w:t>
      </w:r>
      <w:bookmarkEnd w:id="141"/>
      <w:bookmarkEnd w:id="142"/>
      <w:bookmarkEnd w:id="143"/>
      <w:bookmarkEnd w:id="144"/>
      <w:bookmarkEnd w:id="145"/>
      <w:bookmarkEnd w:id="146"/>
      <w:bookmarkEnd w:id="147"/>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1.1</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1.2</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《中华人民共和国政府采购法实施条例》；</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1.3</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《政府采购货物和服务招标投标管理办法》（财政部第</w:t>
      </w:r>
      <w:r>
        <w:rPr>
          <w:rFonts w:ascii="Times New Roman" w:hAnsi="宋体" w:eastAsia="宋体" w:cs="Times New Roman"/>
          <w:color w:val="000000" w:themeColor="text1"/>
          <w:kern w:val="0"/>
          <w:szCs w:val="21"/>
          <w14:textFill>
            <w14:solidFill>
              <w14:schemeClr w14:val="tx1"/>
            </w14:solidFill>
          </w14:textFill>
        </w:rPr>
        <w:t>87</w:t>
      </w:r>
      <w:r>
        <w:rPr>
          <w:rFonts w:hint="eastAsia" w:ascii="Times New Roman" w:hAnsi="宋体" w:eastAsia="宋体" w:cs="Times New Roman"/>
          <w:color w:val="000000" w:themeColor="text1"/>
          <w:kern w:val="0"/>
          <w:szCs w:val="21"/>
          <w14:textFill>
            <w14:solidFill>
              <w14:schemeClr w14:val="tx1"/>
            </w14:solidFill>
          </w14:textFill>
        </w:rPr>
        <w:t>号令）；</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1.4</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《政府采购促进中小企业发展管理办法》（财库〔2020〕46号）；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spacing w:val="-7"/>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1.5</w:t>
      </w:r>
      <w:r>
        <w:rPr>
          <w:rFonts w:ascii="Times New Roman" w:hAnsi="宋体" w:eastAsia="宋体" w:cs="Times New Roman"/>
          <w:color w:val="000000" w:themeColor="text1"/>
          <w:spacing w:val="71"/>
          <w:kern w:val="0"/>
          <w:szCs w:val="21"/>
          <w14:textFill>
            <w14:solidFill>
              <w14:schemeClr w14:val="tx1"/>
            </w14:solidFill>
          </w14:textFill>
        </w:rPr>
        <w:t xml:space="preserve"> </w:t>
      </w:r>
      <w:r>
        <w:rPr>
          <w:rFonts w:hint="eastAsia" w:ascii="Times New Roman" w:hAnsi="宋体" w:eastAsia="宋体" w:cs="Times New Roman"/>
          <w:color w:val="000000" w:themeColor="text1"/>
          <w:spacing w:val="-7"/>
          <w:kern w:val="0"/>
          <w:szCs w:val="21"/>
          <w14:textFill>
            <w14:solidFill>
              <w14:schemeClr w14:val="tx1"/>
            </w14:solidFill>
          </w14:textFill>
        </w:rPr>
        <w:t>财政部、司法部关于政府采购支持监狱企业发展有关问题的通知（财库</w:t>
      </w:r>
      <w:r>
        <w:rPr>
          <w:rFonts w:ascii="Times New Roman" w:hAnsi="宋体" w:eastAsia="宋体" w:cs="Times New Roman"/>
          <w:color w:val="000000" w:themeColor="text1"/>
          <w:spacing w:val="-7"/>
          <w:kern w:val="0"/>
          <w:szCs w:val="21"/>
          <w14:textFill>
            <w14:solidFill>
              <w14:schemeClr w14:val="tx1"/>
            </w14:solidFill>
          </w14:textFill>
        </w:rPr>
        <w:t xml:space="preserve">[2014]68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1.6</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《三部门联合发布关于促进残疾人就业政府采购政策的通知》（财库</w:t>
      </w:r>
      <w:r>
        <w:rPr>
          <w:rFonts w:ascii="Times New Roman" w:hAnsi="宋体" w:eastAsia="宋体" w:cs="Times New Roman"/>
          <w:color w:val="000000" w:themeColor="text1"/>
          <w:kern w:val="0"/>
          <w:szCs w:val="21"/>
          <w14:textFill>
            <w14:solidFill>
              <w14:schemeClr w14:val="tx1"/>
            </w14:solidFill>
          </w14:textFill>
        </w:rPr>
        <w:t xml:space="preserve">[2017]141 </w:t>
      </w:r>
      <w:r>
        <w:rPr>
          <w:rFonts w:hint="eastAsia" w:ascii="Times New Roman" w:hAnsi="宋体" w:eastAsia="宋体" w:cs="Times New Roman"/>
          <w:color w:val="000000" w:themeColor="text1"/>
          <w:kern w:val="0"/>
          <w:szCs w:val="21"/>
          <w14:textFill>
            <w14:solidFill>
              <w14:schemeClr w14:val="tx1"/>
            </w14:solidFill>
          </w14:textFill>
        </w:rPr>
        <w:t>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1.7</w:t>
      </w:r>
      <w:r>
        <w:rPr>
          <w:rFonts w:ascii="Times New Roman" w:hAnsi="宋体" w:eastAsia="宋体" w:cs="Times New Roman"/>
          <w:color w:val="000000" w:themeColor="text1"/>
          <w:spacing w:val="44"/>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政府采购相关法律法规及本项目采购文件。</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Times New Roman" w:hAnsi="宋体" w:eastAsia="宋体" w:cs="Times New Roman"/>
          <w:color w:val="000000" w:themeColor="text1"/>
          <w:kern w:val="0"/>
          <w:szCs w:val="21"/>
          <w14:textFill>
            <w14:solidFill>
              <w14:schemeClr w14:val="tx1"/>
            </w14:solidFill>
          </w14:textFill>
        </w:rPr>
      </w:pPr>
      <w:bookmarkStart w:id="148" w:name="_Toc13171"/>
      <w:bookmarkStart w:id="149" w:name="_Toc8504"/>
      <w:bookmarkStart w:id="150" w:name="_Toc5137"/>
      <w:bookmarkStart w:id="151" w:name="_Toc17887159"/>
      <w:bookmarkStart w:id="152" w:name="_Toc4257"/>
      <w:bookmarkStart w:id="153" w:name="_Toc16639"/>
      <w:bookmarkStart w:id="154" w:name="_Toc5960135"/>
      <w:r>
        <w:rPr>
          <w:rFonts w:hint="eastAsia" w:ascii="Times New Roman" w:hAnsi="宋体" w:eastAsia="宋体" w:cs="Times New Roman"/>
          <w:b/>
          <w:bCs/>
          <w:color w:val="000000" w:themeColor="text1"/>
          <w:kern w:val="0"/>
          <w:szCs w:val="21"/>
          <w14:textFill>
            <w14:solidFill>
              <w14:schemeClr w14:val="tx1"/>
            </w14:solidFill>
          </w14:textFill>
        </w:rPr>
        <w:t>二、评标委员会</w:t>
      </w:r>
      <w:bookmarkEnd w:id="148"/>
      <w:bookmarkEnd w:id="149"/>
      <w:bookmarkEnd w:id="150"/>
      <w:bookmarkEnd w:id="151"/>
      <w:bookmarkEnd w:id="152"/>
      <w:bookmarkEnd w:id="153"/>
      <w:bookmarkEnd w:id="154"/>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auto"/>
          <w:spacing w:val="-4"/>
          <w:kern w:val="0"/>
          <w:szCs w:val="21"/>
        </w:rPr>
      </w:pPr>
      <w:r>
        <w:rPr>
          <w:rFonts w:ascii="Times New Roman" w:hAnsi="宋体" w:eastAsia="宋体" w:cs="Times New Roman"/>
          <w:color w:val="auto"/>
          <w:kern w:val="0"/>
          <w:szCs w:val="21"/>
        </w:rPr>
        <w:t>2.1</w:t>
      </w:r>
      <w:r>
        <w:rPr>
          <w:rFonts w:ascii="Times New Roman" w:hAnsi="宋体" w:eastAsia="宋体" w:cs="Times New Roman"/>
          <w:color w:val="auto"/>
          <w:spacing w:val="-61"/>
          <w:kern w:val="0"/>
          <w:szCs w:val="21"/>
        </w:rPr>
        <w:t xml:space="preserve"> </w:t>
      </w:r>
      <w:r>
        <w:rPr>
          <w:rFonts w:hint="eastAsia" w:ascii="Times New Roman" w:hAnsi="宋体" w:eastAsia="宋体" w:cs="Times New Roman"/>
          <w:color w:val="auto"/>
          <w:spacing w:val="-4"/>
          <w:kern w:val="0"/>
          <w:szCs w:val="21"/>
        </w:rPr>
        <w:t>采购人将根据招标采购设备的特点依法组建</w:t>
      </w:r>
      <w:r>
        <w:rPr>
          <w:rFonts w:hint="eastAsia" w:ascii="Times New Roman" w:hAnsi="宋体" w:eastAsia="宋体" w:cs="Times New Roman"/>
          <w:color w:val="auto"/>
          <w:spacing w:val="-4"/>
          <w:kern w:val="0"/>
          <w:szCs w:val="21"/>
          <w:lang w:val="en-US" w:eastAsia="zh-CN"/>
        </w:rPr>
        <w:t>5</w:t>
      </w:r>
      <w:r>
        <w:rPr>
          <w:rFonts w:hint="eastAsia" w:ascii="Times New Roman" w:hAnsi="宋体" w:eastAsia="宋体" w:cs="Times New Roman"/>
          <w:color w:val="auto"/>
          <w:spacing w:val="-4"/>
          <w:kern w:val="0"/>
          <w:szCs w:val="21"/>
        </w:rPr>
        <w:t>人评标委员会，除国务院财政部门规定的情形外，其成员由从政府采购专家库中随机抽取的评审专家和采购人代表组</w:t>
      </w:r>
      <w:r>
        <w:rPr>
          <w:rFonts w:ascii="Times New Roman" w:hAnsi="宋体" w:eastAsia="宋体" w:cs="Times New Roman"/>
          <w:color w:val="auto"/>
          <w:spacing w:val="-97"/>
          <w:kern w:val="0"/>
          <w:szCs w:val="21"/>
        </w:rPr>
        <w:t xml:space="preserve"> </w:t>
      </w:r>
      <w:r>
        <w:rPr>
          <w:rFonts w:hint="eastAsia" w:ascii="Times New Roman" w:hAnsi="宋体" w:eastAsia="宋体" w:cs="Times New Roman"/>
          <w:color w:val="auto"/>
          <w:kern w:val="0"/>
          <w:szCs w:val="21"/>
        </w:rPr>
        <w:t>成，其中评审专家</w:t>
      </w:r>
      <w:r>
        <w:rPr>
          <w:rFonts w:hint="eastAsia" w:ascii="Times New Roman" w:hAnsi="宋体" w:eastAsia="宋体" w:cs="Times New Roman"/>
          <w:color w:val="auto"/>
          <w:kern w:val="0"/>
          <w:szCs w:val="21"/>
          <w:lang w:val="en-US" w:eastAsia="zh-CN"/>
        </w:rPr>
        <w:t>4人，采购人代表1人</w:t>
      </w:r>
      <w:r>
        <w:rPr>
          <w:rFonts w:hint="eastAsia" w:ascii="Times New Roman" w:hAnsi="宋体" w:eastAsia="宋体" w:cs="Times New Roman"/>
          <w:color w:val="auto"/>
          <w:kern w:val="0"/>
          <w:szCs w:val="21"/>
        </w:rPr>
        <w:t>。</w:t>
      </w:r>
      <w:r>
        <w:rPr>
          <w:rFonts w:ascii="Times New Roman" w:hAnsi="宋体" w:eastAsia="宋体" w:cs="Times New Roman"/>
          <w:color w:val="auto"/>
          <w:kern w:val="0"/>
          <w:szCs w:val="21"/>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2.2</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评审专家与参加采购活动的供应商存在下列利害关系之一的，应当回避：</w:t>
      </w:r>
    </w:p>
    <w:p>
      <w:pPr>
        <w:kinsoku w:val="0"/>
        <w:overflowPunct w:val="0"/>
        <w:autoSpaceDE w:val="0"/>
        <w:autoSpaceDN w:val="0"/>
        <w:adjustRightInd w:val="0"/>
        <w:spacing w:line="360" w:lineRule="auto"/>
        <w:ind w:left="420" w:leftChars="200" w:firstLine="20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53"/>
          <w:kern w:val="0"/>
          <w:szCs w:val="21"/>
          <w14:textFill>
            <w14:solidFill>
              <w14:schemeClr w14:val="tx1"/>
            </w14:solidFill>
          </w14:textFill>
        </w:rPr>
        <w:t>1）</w:t>
      </w:r>
      <w:r>
        <w:rPr>
          <w:rFonts w:hint="eastAsia" w:ascii="Times New Roman" w:hAnsi="宋体" w:eastAsia="宋体" w:cs="Times New Roman"/>
          <w:color w:val="000000" w:themeColor="text1"/>
          <w:spacing w:val="-5"/>
          <w:kern w:val="0"/>
          <w:szCs w:val="21"/>
          <w14:textFill>
            <w14:solidFill>
              <w14:schemeClr w14:val="tx1"/>
            </w14:solidFill>
          </w14:textFill>
        </w:rPr>
        <w:t>参加采购活动前三年内</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与供应商存在劳动关系</w:t>
      </w:r>
      <w:r>
        <w:rPr>
          <w:rFonts w:ascii="Times New Roman" w:hAnsi="宋体" w:eastAsia="宋体" w:cs="Times New Roman"/>
          <w:color w:val="000000" w:themeColor="text1"/>
          <w:spacing w:val="-5"/>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或者担任过供应商的董事、监事</w:t>
      </w:r>
      <w:r>
        <w:rPr>
          <w:rFonts w:hint="eastAsia"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spacing w:val="-5"/>
          <w:kern w:val="0"/>
          <w:szCs w:val="21"/>
          <w14:textFill>
            <w14:solidFill>
              <w14:schemeClr w14:val="tx1"/>
            </w14:solidFill>
          </w14:textFill>
        </w:rPr>
        <w:t>或者是供应商的控股股东或实际控制人；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2</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48"/>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与供应商的法定代表人或者负责人有夫妻、直系血亲、三代以内旁系血亲或者近姻亲关系；</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420" w:leftChars="200" w:firstLine="208"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53"/>
          <w:kern w:val="0"/>
          <w:szCs w:val="21"/>
          <w14:textFill>
            <w14:solidFill>
              <w14:schemeClr w14:val="tx1"/>
            </w14:solidFill>
          </w14:textFill>
        </w:rPr>
        <w:t>3</w:t>
      </w:r>
      <w:r>
        <w:rPr>
          <w:rFonts w:hint="eastAsia" w:ascii="Times New Roman" w:hAnsi="宋体" w:eastAsia="宋体" w:cs="Times New Roman"/>
          <w:color w:val="000000" w:themeColor="text1"/>
          <w:spacing w:val="-53"/>
          <w:kern w:val="0"/>
          <w:szCs w:val="21"/>
          <w14:textFill>
            <w14:solidFill>
              <w14:schemeClr w14:val="tx1"/>
            </w14:solidFill>
          </w14:textFill>
        </w:rPr>
        <w:t>）</w:t>
      </w:r>
      <w:r>
        <w:rPr>
          <w:rFonts w:ascii="Times New Roman" w:hAnsi="宋体" w:eastAsia="宋体" w:cs="Times New Roman"/>
          <w:color w:val="000000" w:themeColor="text1"/>
          <w:spacing w:val="-53"/>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与供应商有其他可能影响政府采购活动公平、公正进行的关系。评审专家发现本人与参加采购活动的供应商有利害关系的，应当主动提出回避。采购人或者采购代理机构发现评审专家与参加采购活动的供应商有利害关系的</w:t>
      </w:r>
      <w:r>
        <w:rPr>
          <w:rFonts w:ascii="Times New Roman" w:hAnsi="宋体" w:eastAsia="宋体" w:cs="Times New Roman"/>
          <w:color w:val="000000" w:themeColor="text1"/>
          <w:kern w:val="0"/>
          <w:szCs w:val="21"/>
          <w14:textFill>
            <w14:solidFill>
              <w14:schemeClr w14:val="tx1"/>
            </w14:solidFill>
          </w14:textFill>
        </w:rPr>
        <w:t>,</w:t>
      </w:r>
      <w:r>
        <w:rPr>
          <w:rFonts w:hint="eastAsia" w:ascii="Times New Roman" w:hAnsi="宋体" w:eastAsia="宋体" w:cs="Times New Roman"/>
          <w:color w:val="000000" w:themeColor="text1"/>
          <w:kern w:val="0"/>
          <w:szCs w:val="21"/>
          <w14:textFill>
            <w14:solidFill>
              <w14:schemeClr w14:val="tx1"/>
            </w14:solidFill>
          </w14:textFill>
        </w:rPr>
        <w:t>应当要求其回避。</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2.3</w:t>
      </w:r>
      <w:r>
        <w:rPr>
          <w:rFonts w:ascii="Times New Roman" w:hAnsi="宋体" w:eastAsia="宋体" w:cs="Times New Roman"/>
          <w:color w:val="000000" w:themeColor="text1"/>
          <w:spacing w:val="-70"/>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评标中因评标委员会成员缺席、回避或者健康等特殊原因导致评标委员会组成不</w:t>
      </w:r>
      <w:r>
        <w:rPr>
          <w:rFonts w:hint="eastAsia" w:ascii="Times New Roman" w:hAnsi="宋体" w:eastAsia="宋体" w:cs="Times New Roman"/>
          <w:color w:val="000000" w:themeColor="text1"/>
          <w:spacing w:val="-4"/>
          <w:kern w:val="0"/>
          <w:szCs w:val="21"/>
          <w14:textFill>
            <w14:solidFill>
              <w14:schemeClr w14:val="tx1"/>
            </w14:solidFill>
          </w14:textFill>
        </w:rPr>
        <w:t>符合本办法规定的，采购人或者采购代理机构应当依法补足后继续评标。被更换的评标委员</w:t>
      </w:r>
      <w:r>
        <w:rPr>
          <w:rFonts w:hint="eastAsia" w:ascii="Times New Roman" w:hAnsi="宋体" w:eastAsia="宋体" w:cs="Times New Roman"/>
          <w:color w:val="000000" w:themeColor="text1"/>
          <w:kern w:val="0"/>
          <w:szCs w:val="21"/>
          <w14:textFill>
            <w14:solidFill>
              <w14:schemeClr w14:val="tx1"/>
            </w14:solidFill>
          </w14:textFill>
        </w:rPr>
        <w:t>会成员所作出的评标意见无效。无法及时补足评标委员会成员的，采购人或者采购代理机</w:t>
      </w:r>
      <w:r>
        <w:rPr>
          <w:rFonts w:hint="eastAsia" w:ascii="Times New Roman" w:hAnsi="宋体" w:eastAsia="宋体" w:cs="Times New Roman"/>
          <w:color w:val="000000" w:themeColor="text1"/>
          <w:spacing w:val="-4"/>
          <w:kern w:val="0"/>
          <w:szCs w:val="21"/>
          <w14:textFill>
            <w14:solidFill>
              <w14:schemeClr w14:val="tx1"/>
            </w14:solidFill>
          </w14:textFill>
        </w:rPr>
        <w:t>构应当停止评标活动，封存所有投标文件和开标、评标资料，依法重新组建评标委员会进行</w:t>
      </w:r>
      <w:r>
        <w:rPr>
          <w:rFonts w:ascii="Times New Roman" w:hAnsi="宋体" w:eastAsia="宋体" w:cs="Times New Roman"/>
          <w:color w:val="000000" w:themeColor="text1"/>
          <w:spacing w:val="-95"/>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评标。原评标委员会所作出的评标意见无效。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2.4</w:t>
      </w:r>
      <w:r>
        <w:rPr>
          <w:rFonts w:ascii="Times New Roman" w:hAnsi="宋体" w:eastAsia="宋体" w:cs="Times New Roman"/>
          <w:color w:val="000000" w:themeColor="text1"/>
          <w:spacing w:val="-54"/>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评标委员会负责具体评标事务，对符合资格的供应商的投标文件进行符合性审查，</w:t>
      </w:r>
      <w:r>
        <w:rPr>
          <w:rFonts w:hint="eastAsia" w:ascii="Times New Roman" w:hAnsi="宋体" w:eastAsia="宋体" w:cs="Times New Roman"/>
          <w:color w:val="000000" w:themeColor="text1"/>
          <w:kern w:val="0"/>
          <w:szCs w:val="21"/>
          <w14:textFill>
            <w14:solidFill>
              <w14:schemeClr w14:val="tx1"/>
            </w14:solidFill>
          </w14:textFill>
        </w:rPr>
        <w:t>以确定其是否满足采购文件的实质性要求，并按照采购文件中规定的评标方法和标准，对符合性审查合格的投标文件进行商务和技术评估，综合比较与评价。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55" w:name="_Toc28040"/>
      <w:bookmarkStart w:id="156" w:name="_Toc17887160"/>
      <w:bookmarkStart w:id="157" w:name="_Toc5960136"/>
      <w:bookmarkStart w:id="158" w:name="_Toc22676"/>
      <w:bookmarkStart w:id="159" w:name="_Toc9047"/>
      <w:bookmarkStart w:id="160" w:name="_Toc1592"/>
      <w:bookmarkStart w:id="161" w:name="_Toc16459"/>
      <w:r>
        <w:rPr>
          <w:rFonts w:hint="eastAsia" w:ascii="宋体" w:hAnsi="宋体" w:eastAsia="宋体" w:cs="宋体"/>
          <w:b/>
          <w:bCs/>
          <w:color w:val="000000" w:themeColor="text1"/>
          <w:kern w:val="0"/>
          <w:szCs w:val="21"/>
          <w14:textFill>
            <w14:solidFill>
              <w14:schemeClr w14:val="tx1"/>
            </w14:solidFill>
          </w14:textFill>
        </w:rPr>
        <w:t>三、评标方法及标准</w:t>
      </w:r>
      <w:bookmarkEnd w:id="155"/>
      <w:bookmarkEnd w:id="156"/>
      <w:bookmarkEnd w:id="157"/>
      <w:bookmarkEnd w:id="158"/>
      <w:bookmarkEnd w:id="159"/>
      <w:bookmarkEnd w:id="160"/>
      <w:bookmarkEnd w:id="161"/>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3.1 </w:t>
      </w:r>
      <w:r>
        <w:rPr>
          <w:rFonts w:hint="eastAsia" w:ascii="Times New Roman" w:hAnsi="宋体" w:eastAsia="宋体" w:cs="Times New Roman"/>
          <w:color w:val="000000" w:themeColor="text1"/>
          <w:kern w:val="0"/>
          <w:szCs w:val="21"/>
          <w14:textFill>
            <w14:solidFill>
              <w14:schemeClr w14:val="tx1"/>
            </w14:solidFill>
          </w14:textFill>
        </w:rPr>
        <w:t>本次招标采用综合评分法。评标委员会对符合资格的供应商的投标文件进行符合性审查，以确定其是否满足采购文件的实质性要求，并按照采购文件中规定的评标方法和标准，对符合性审查合格的投标文</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件进行商务和技术评估，综合比较与评价。按照本章规定的评审因素和评分标准进行打分，并按得分由高到低顺序推荐</w:t>
      </w:r>
      <w:r>
        <w:rPr>
          <w:rFonts w:ascii="Times New Roman" w:hAnsi="宋体" w:eastAsia="宋体" w:cs="Times New Roman"/>
          <w:color w:val="000000" w:themeColor="text1"/>
          <w:kern w:val="0"/>
          <w:szCs w:val="21"/>
          <w14:textFill>
            <w14:solidFill>
              <w14:schemeClr w14:val="tx1"/>
            </w14:solidFill>
          </w14:textFill>
        </w:rPr>
        <w:t>3</w:t>
      </w:r>
      <w:r>
        <w:rPr>
          <w:rFonts w:hint="eastAsia" w:ascii="Times New Roman" w:hAnsi="宋体" w:eastAsia="宋体" w:cs="Times New Roman"/>
          <w:color w:val="000000" w:themeColor="text1"/>
          <w:kern w:val="0"/>
          <w:szCs w:val="21"/>
          <w14:textFill>
            <w14:solidFill>
              <w14:schemeClr w14:val="tx1"/>
            </w14:solidFill>
          </w14:textFill>
        </w:rPr>
        <w:t>名中标候选人，但投标报价低于其成本的除外。综合评分相等时，以投标报价低的优先；投标报价也相等的，以技术得分高的优先；如果技术得分也相等，采取随机抽取方式确定中标候选人顺序。</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3.2 </w:t>
      </w:r>
      <w:r>
        <w:rPr>
          <w:rFonts w:hint="eastAsia" w:ascii="Times New Roman" w:hAnsi="宋体" w:eastAsia="宋体" w:cs="Times New Roman"/>
          <w:color w:val="000000" w:themeColor="text1"/>
          <w:kern w:val="0"/>
          <w:szCs w:val="21"/>
          <w14:textFill>
            <w14:solidFill>
              <w14:schemeClr w14:val="tx1"/>
            </w14:solidFill>
          </w14:textFill>
        </w:rPr>
        <w:t>采购人或者采购代理机构负责组织评标工作，并履行相关职责；评标委员会负责具体评标事务，并独立履行相关职责。</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3.3</w:t>
      </w:r>
      <w:r>
        <w:rPr>
          <w:rFonts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spacing w:val="-76"/>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出现多个供应商提供相同品牌产品的，按以下原则进行评审：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4"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3.3.1</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单一产品采购项目，提供相同品牌产品且通过资格审查、符合性审查的不同供应</w:t>
      </w:r>
      <w:r>
        <w:rPr>
          <w:rFonts w:hint="eastAsia" w:ascii="Times New Roman" w:hAnsi="宋体" w:eastAsia="宋体" w:cs="Times New Roman"/>
          <w:color w:val="000000" w:themeColor="text1"/>
          <w:spacing w:val="-14"/>
          <w:kern w:val="0"/>
          <w:szCs w:val="21"/>
          <w14:textFill>
            <w14:solidFill>
              <w14:schemeClr w14:val="tx1"/>
            </w14:solidFill>
          </w14:textFill>
        </w:rPr>
        <w:t>商参加同一合同项下投标的，按一家供应商计算，评审后得分最高的同品牌供应商获得中标人</w:t>
      </w:r>
      <w:r>
        <w:rPr>
          <w:rFonts w:ascii="Times New Roman" w:hAnsi="宋体" w:eastAsia="宋体" w:cs="Times New Roman"/>
          <w:color w:val="000000" w:themeColor="text1"/>
          <w:spacing w:val="-10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1"/>
          <w:kern w:val="0"/>
          <w:szCs w:val="21"/>
          <w14:textFill>
            <w14:solidFill>
              <w14:schemeClr w14:val="tx1"/>
            </w14:solidFill>
          </w14:textFill>
        </w:rPr>
        <w:t>推荐资格；评审得分相同的，投标报价低的供应商获得中标人推荐资格；</w:t>
      </w:r>
      <w:r>
        <w:rPr>
          <w:rFonts w:ascii="Times New Roman" w:hAnsi="宋体" w:eastAsia="宋体" w:cs="Times New Roman"/>
          <w:color w:val="000000" w:themeColor="text1"/>
          <w:spacing w:val="-2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投标报价也相同的，采</w:t>
      </w:r>
      <w:r>
        <w:rPr>
          <w:rFonts w:ascii="Times New Roman" w:hAnsi="宋体" w:eastAsia="宋体" w:cs="Times New Roman"/>
          <w:color w:val="000000" w:themeColor="text1"/>
          <w:spacing w:val="-106"/>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取随机抽取方式确定一家供应商获得中标人推荐资格，其他同品牌供应商不作为中标候选人。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8"/>
          <w:kern w:val="0"/>
          <w:szCs w:val="21"/>
          <w14:textFill>
            <w14:solidFill>
              <w14:schemeClr w14:val="tx1"/>
            </w14:solidFill>
          </w14:textFill>
        </w:rPr>
        <w:t>3.3.2</w:t>
      </w:r>
      <w:r>
        <w:rPr>
          <w:rFonts w:ascii="Times New Roman" w:hAnsi="宋体" w:eastAsia="宋体" w:cs="Times New Roman"/>
          <w:color w:val="000000" w:themeColor="text1"/>
          <w:spacing w:val="-7"/>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非单一产品采购项目，采购人将根据采购项目技术构成、产品价格比重等合理确</w:t>
      </w:r>
      <w:r>
        <w:rPr>
          <w:rFonts w:hint="eastAsia" w:ascii="Times New Roman" w:hAnsi="宋体" w:eastAsia="宋体" w:cs="Times New Roman"/>
          <w:color w:val="000000" w:themeColor="text1"/>
          <w:spacing w:val="-13"/>
          <w:kern w:val="0"/>
          <w:szCs w:val="21"/>
          <w14:textFill>
            <w14:solidFill>
              <w14:schemeClr w14:val="tx1"/>
            </w14:solidFill>
          </w14:textFill>
        </w:rPr>
        <w:t>定核心产品，确定的核心产品见第五章技术规格和要求，多家供应商提供的核心产品品牌相</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19"/>
          <w:kern w:val="0"/>
          <w:szCs w:val="21"/>
          <w14:textFill>
            <w14:solidFill>
              <w14:schemeClr w14:val="tx1"/>
            </w14:solidFill>
          </w14:textFill>
        </w:rPr>
        <w:t>同，且通过资格审查、符合性审查的不同供应商参加同一合同项下投标的，</w:t>
      </w:r>
      <w:r>
        <w:rPr>
          <w:rFonts w:ascii="Times New Roman" w:hAnsi="宋体" w:eastAsia="宋体" w:cs="Times New Roman"/>
          <w:color w:val="000000" w:themeColor="text1"/>
          <w:spacing w:val="-19"/>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按一家供应商计</w:t>
      </w:r>
      <w:r>
        <w:rPr>
          <w:rFonts w:ascii="Times New Roman" w:hAnsi="宋体" w:eastAsia="宋体" w:cs="Times New Roman"/>
          <w:color w:val="000000" w:themeColor="text1"/>
          <w:spacing w:val="-9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算，评审后得分最高的同品牌供应商获得中标人推荐资格；评审得分相同的，投标报价低的</w:t>
      </w:r>
      <w:r>
        <w:rPr>
          <w:rFonts w:hint="eastAsia" w:ascii="Times New Roman" w:hAnsi="宋体" w:eastAsia="宋体" w:cs="Times New Roman"/>
          <w:color w:val="000000" w:themeColor="text1"/>
          <w:spacing w:val="-11"/>
          <w:kern w:val="0"/>
          <w:szCs w:val="21"/>
          <w14:textFill>
            <w14:solidFill>
              <w14:schemeClr w14:val="tx1"/>
            </w14:solidFill>
          </w14:textFill>
        </w:rPr>
        <w:t>供应商获得中标人推荐资格；投标报价也相同的，采取随机抽取方式确定一家供应商获得中标</w:t>
      </w:r>
      <w:r>
        <w:rPr>
          <w:rFonts w:ascii="Times New Roman" w:hAnsi="宋体" w:eastAsia="宋体" w:cs="Times New Roman"/>
          <w:color w:val="000000" w:themeColor="text1"/>
          <w:spacing w:val="-117"/>
          <w:kern w:val="0"/>
          <w:szCs w:val="21"/>
          <w14:textFill>
            <w14:solidFill>
              <w14:schemeClr w14:val="tx1"/>
            </w14:solidFill>
          </w14:textFill>
        </w:rPr>
        <w:t xml:space="preserve"> </w:t>
      </w:r>
      <w:r>
        <w:rPr>
          <w:rFonts w:hint="eastAsia" w:ascii="Times New Roman" w:hAnsi="宋体" w:eastAsia="宋体" w:cs="Times New Roman"/>
          <w:color w:val="000000" w:themeColor="text1"/>
          <w:spacing w:val="-12"/>
          <w:kern w:val="0"/>
          <w:szCs w:val="21"/>
          <w14:textFill>
            <w14:solidFill>
              <w14:schemeClr w14:val="tx1"/>
            </w14:solidFill>
          </w14:textFill>
        </w:rPr>
        <w:t>人推荐资格，其他同品牌供应商不作为中标候选人。</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0" w:firstLineChars="200"/>
        <w:jc w:val="left"/>
        <w:rPr>
          <w:rFonts w:ascii="Times New Roman" w:hAnsi="宋体" w:eastAsia="宋体" w:cs="Times New Roman"/>
          <w:color w:val="000000" w:themeColor="text1"/>
          <w:spacing w:val="3"/>
          <w:kern w:val="0"/>
          <w:szCs w:val="21"/>
          <w14:textFill>
            <w14:solidFill>
              <w14:schemeClr w14:val="tx1"/>
            </w14:solidFill>
          </w14:textFill>
        </w:rPr>
      </w:pPr>
      <w:r>
        <w:rPr>
          <w:rFonts w:ascii="Times New Roman" w:hAnsi="宋体" w:eastAsia="宋体" w:cs="Times New Roman"/>
          <w:color w:val="000000" w:themeColor="text1"/>
          <w:spacing w:val="-10"/>
          <w:kern w:val="0"/>
          <w:szCs w:val="21"/>
          <w14:textFill>
            <w14:solidFill>
              <w14:schemeClr w14:val="tx1"/>
            </w14:solidFill>
          </w14:textFill>
        </w:rPr>
        <w:t>3.4</w:t>
      </w:r>
      <w:r>
        <w:rPr>
          <w:rFonts w:hint="eastAsia" w:ascii="Times New Roman" w:hAnsi="宋体" w:eastAsia="宋体" w:cs="Times New Roman"/>
          <w:color w:val="000000" w:themeColor="text1"/>
          <w:spacing w:val="-10"/>
          <w:kern w:val="0"/>
          <w:szCs w:val="21"/>
          <w14:textFill>
            <w14:solidFill>
              <w14:schemeClr w14:val="tx1"/>
            </w14:solidFill>
          </w14:textFill>
        </w:rPr>
        <w:t xml:space="preserve"> 评标步骤</w:t>
      </w:r>
      <w:r>
        <w:rPr>
          <w:rFonts w:ascii="Times New Roman" w:hAnsi="宋体" w:eastAsia="宋体" w:cs="Times New Roman"/>
          <w:color w:val="000000" w:themeColor="text1"/>
          <w:spacing w:val="3"/>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8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8"/>
          <w:kern w:val="0"/>
          <w:szCs w:val="21"/>
          <w14:textFill>
            <w14:solidFill>
              <w14:schemeClr w14:val="tx1"/>
            </w14:solidFill>
          </w14:textFill>
        </w:rPr>
        <w:t>评标分为符合性评审和详细评审两个阶段。</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3.5 </w:t>
      </w:r>
      <w:r>
        <w:rPr>
          <w:rFonts w:hint="eastAsia" w:ascii="Times New Roman" w:hAnsi="宋体" w:eastAsia="宋体" w:cs="Times New Roman"/>
          <w:color w:val="000000" w:themeColor="text1"/>
          <w:spacing w:val="-5"/>
          <w:kern w:val="0"/>
          <w:szCs w:val="21"/>
          <w14:textFill>
            <w14:solidFill>
              <w14:schemeClr w14:val="tx1"/>
            </w14:solidFill>
          </w14:textFill>
        </w:rPr>
        <w:t>符合性评审评标委员会对符合资格的供应商的投标文件进行符合性审查，以确定其</w:t>
      </w:r>
      <w:r>
        <w:rPr>
          <w:rFonts w:hint="eastAsia" w:ascii="Times New Roman" w:hAnsi="宋体" w:eastAsia="宋体" w:cs="Times New Roman"/>
          <w:color w:val="000000" w:themeColor="text1"/>
          <w:kern w:val="0"/>
          <w:szCs w:val="21"/>
          <w14:textFill>
            <w14:solidFill>
              <w14:schemeClr w14:val="tx1"/>
            </w14:solidFill>
          </w14:textFill>
        </w:rPr>
        <w:t>是否满足采购文件的实质性要求。</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2"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3.5.1</w:t>
      </w:r>
      <w:r>
        <w:rPr>
          <w:rFonts w:hint="eastAsia" w:ascii="Times New Roman" w:hAnsi="宋体" w:eastAsia="宋体" w:cs="Times New Roman"/>
          <w:color w:val="000000" w:themeColor="text1"/>
          <w:spacing w:val="-2"/>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符合性审查的内容：</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1） 签署、盖章：投标文件按采购文件要求签署或盖章的；</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2） 报价唯一：只有一个有效报价，未出现有选择的报价或替代方案；</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3） 投标报价：报价未超过采购文件中规定的预算金额或者最高限价；</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4） 投标有效期：满足采购文件要求；</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5） 交货期：满足采购文件要求；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 xml:space="preserve">6） 质保期：满足采购文件要求； </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7） 付款条件：满足采购文件要求。</w:t>
      </w:r>
    </w:p>
    <w:p>
      <w:pPr>
        <w:tabs>
          <w:tab w:val="left" w:pos="1441"/>
        </w:tabs>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kern w:val="0"/>
          <w:szCs w:val="21"/>
          <w14:textFill>
            <w14:solidFill>
              <w14:schemeClr w14:val="tx1"/>
            </w14:solidFill>
          </w14:textFill>
        </w:rPr>
        <w:t>8)   不同</w:t>
      </w:r>
      <w:r>
        <w:rPr>
          <w:rFonts w:hint="eastAsia" w:ascii="Times New Roman" w:hAnsi="宋体" w:eastAsia="宋体" w:cs="Times New Roman"/>
          <w:color w:val="000000" w:themeColor="text1"/>
          <w:kern w:val="0"/>
          <w:szCs w:val="21"/>
          <w:lang w:eastAsia="zh-CN"/>
          <w14:textFill>
            <w14:solidFill>
              <w14:schemeClr w14:val="tx1"/>
            </w14:solidFill>
          </w14:textFill>
        </w:rPr>
        <w:t>供应商</w:t>
      </w:r>
      <w:r>
        <w:rPr>
          <w:rFonts w:hint="eastAsia" w:ascii="Times New Roman" w:hAnsi="宋体" w:eastAsia="宋体" w:cs="Times New Roman"/>
          <w:color w:val="000000" w:themeColor="text1"/>
          <w:kern w:val="0"/>
          <w:szCs w:val="21"/>
          <w14:textFill>
            <w14:solidFill>
              <w14:schemeClr w14:val="tx1"/>
            </w14:solidFill>
          </w14:textFill>
        </w:rPr>
        <w:t>未使用同一台计算机编制投标文件。</w:t>
      </w:r>
    </w:p>
    <w:p>
      <w:pPr>
        <w:kinsoku w:val="0"/>
        <w:overflowPunct w:val="0"/>
        <w:autoSpaceDE w:val="0"/>
        <w:autoSpaceDN w:val="0"/>
        <w:adjustRightInd w:val="0"/>
        <w:spacing w:line="360" w:lineRule="auto"/>
        <w:ind w:left="119" w:right="131" w:firstLine="477"/>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2"/>
          <w:kern w:val="0"/>
          <w:szCs w:val="21"/>
          <w14:textFill>
            <w14:solidFill>
              <w14:schemeClr w14:val="tx1"/>
            </w14:solidFill>
          </w14:textFill>
        </w:rPr>
        <w:t xml:space="preserve">3.5.2 </w:t>
      </w:r>
      <w:r>
        <w:rPr>
          <w:rFonts w:hint="eastAsia" w:ascii="Times New Roman" w:hAnsi="宋体" w:eastAsia="宋体" w:cs="Times New Roman"/>
          <w:color w:val="000000" w:themeColor="text1"/>
          <w:spacing w:val="-1"/>
          <w:kern w:val="0"/>
          <w:szCs w:val="21"/>
          <w14:textFill>
            <w14:solidFill>
              <w14:schemeClr w14:val="tx1"/>
            </w14:solidFill>
          </w14:textFill>
        </w:rPr>
        <w:t>符合性检查依据采购文件的规定，从投标文件的有效性、完整性和对采购文件</w:t>
      </w:r>
      <w:r>
        <w:rPr>
          <w:rFonts w:hint="eastAsia" w:ascii="Times New Roman" w:hAnsi="宋体" w:eastAsia="宋体" w:cs="Times New Roman"/>
          <w:color w:val="000000" w:themeColor="text1"/>
          <w:kern w:val="0"/>
          <w:szCs w:val="21"/>
          <w14:textFill>
            <w14:solidFill>
              <w14:schemeClr w14:val="tx1"/>
            </w14:solidFill>
          </w14:textFill>
        </w:rPr>
        <w:t>的响应程度进行审查，以确定是否对采购文件的实质性要求做出响应。</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1</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spacing w:val="-2"/>
          <w:kern w:val="0"/>
          <w:szCs w:val="21"/>
          <w14:textFill>
            <w14:solidFill>
              <w14:schemeClr w14:val="tx1"/>
            </w14:solidFill>
          </w14:textFill>
        </w:rPr>
        <w:t>评标委员会将审查投标文件是否完整、总体编制是否有序、文件签署是否合</w:t>
      </w:r>
      <w:r>
        <w:rPr>
          <w:rFonts w:hint="eastAsia" w:ascii="Times New Roman" w:hAnsi="宋体" w:eastAsia="宋体" w:cs="Times New Roman"/>
          <w:color w:val="000000" w:themeColor="text1"/>
          <w:kern w:val="0"/>
          <w:szCs w:val="21"/>
          <w14:textFill>
            <w14:solidFill>
              <w14:schemeClr w14:val="tx1"/>
            </w14:solidFill>
          </w14:textFill>
        </w:rPr>
        <w:t>格、有无计算上的错误等。</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2</w:t>
      </w:r>
      <w:r>
        <w:rPr>
          <w:rFonts w:hint="eastAsia" w:ascii="Times New Roman" w:hAnsi="宋体" w:eastAsia="宋体" w:cs="Times New Roman"/>
          <w:color w:val="000000" w:themeColor="text1"/>
          <w:spacing w:val="-1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投标文件报价出现前后不一致的，按照下列规定修正：</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630"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1</w:t>
      </w:r>
      <w:r>
        <w:rPr>
          <w:rFonts w:hint="eastAsia" w:ascii="Times New Roman" w:hAnsi="宋体" w:eastAsia="宋体" w:cs="Times New Roman"/>
          <w:color w:val="000000" w:themeColor="text1"/>
          <w:kern w:val="0"/>
          <w:szCs w:val="21"/>
          <w14:textFill>
            <w14:solidFill>
              <w14:schemeClr w14:val="tx1"/>
            </w14:solidFill>
          </w14:textFill>
        </w:rPr>
        <w:t>）投标文件中开标一览表（报价表）内容与投标文件中相应内容不一致的，开标一览表（报价表）为准；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left="599"/>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2</w:t>
      </w:r>
      <w:r>
        <w:rPr>
          <w:rFonts w:hint="eastAsia" w:ascii="Times New Roman" w:hAnsi="宋体" w:eastAsia="宋体" w:cs="Times New Roman"/>
          <w:color w:val="000000" w:themeColor="text1"/>
          <w:kern w:val="0"/>
          <w:szCs w:val="21"/>
          <w14:textFill>
            <w14:solidFill>
              <w14:schemeClr w14:val="tx1"/>
            </w14:solidFill>
          </w14:textFill>
        </w:rPr>
        <w:t>）大写金额和小写金额不一致的，以大写金额为准；</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576" w:firstLineChars="3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3</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单价金额小数点或者百分比有明显错位的，以开标一览表的总价为准，并修改</w:t>
      </w:r>
      <w:r>
        <w:rPr>
          <w:rFonts w:hint="eastAsia" w:ascii="Times New Roman" w:hAnsi="宋体" w:eastAsia="宋体" w:cs="Times New Roman"/>
          <w:color w:val="000000" w:themeColor="text1"/>
          <w:kern w:val="0"/>
          <w:szCs w:val="21"/>
          <w14:textFill>
            <w14:solidFill>
              <w14:schemeClr w14:val="tx1"/>
            </w14:solidFill>
          </w14:textFill>
        </w:rPr>
        <w:t>单价；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576" w:firstLineChars="300"/>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spacing w:val="-9"/>
          <w:kern w:val="0"/>
          <w:szCs w:val="21"/>
          <w14:textFill>
            <w14:solidFill>
              <w14:schemeClr w14:val="tx1"/>
            </w14:solidFill>
          </w14:textFill>
        </w:rPr>
        <w:t>4</w:t>
      </w:r>
      <w:r>
        <w:rPr>
          <w:rFonts w:hint="eastAsia" w:ascii="Times New Roman" w:hAnsi="宋体" w:eastAsia="宋体" w:cs="Times New Roman"/>
          <w:color w:val="000000" w:themeColor="text1"/>
          <w:spacing w:val="-9"/>
          <w:kern w:val="0"/>
          <w:szCs w:val="21"/>
          <w14:textFill>
            <w14:solidFill>
              <w14:schemeClr w14:val="tx1"/>
            </w14:solidFill>
          </w14:textFill>
        </w:rPr>
        <w:t>）</w:t>
      </w:r>
      <w:r>
        <w:rPr>
          <w:rFonts w:hint="eastAsia" w:ascii="Times New Roman" w:hAnsi="宋体" w:eastAsia="宋体" w:cs="Times New Roman"/>
          <w:color w:val="000000" w:themeColor="text1"/>
          <w:spacing w:val="3"/>
          <w:kern w:val="0"/>
          <w:szCs w:val="21"/>
          <w14:textFill>
            <w14:solidFill>
              <w14:schemeClr w14:val="tx1"/>
            </w14:solidFill>
          </w14:textFill>
        </w:rPr>
        <w:t>总价金额与按单价汇总金额不一致的，以单价金额计算结果为准。同时出现</w:t>
      </w:r>
      <w:r>
        <w:rPr>
          <w:rFonts w:hint="eastAsia" w:ascii="Times New Roman" w:hAnsi="宋体" w:eastAsia="宋体" w:cs="Times New Roman"/>
          <w:color w:val="000000" w:themeColor="text1"/>
          <w:spacing w:val="-10"/>
          <w:kern w:val="0"/>
          <w:szCs w:val="21"/>
          <w14:textFill>
            <w14:solidFill>
              <w14:schemeClr w14:val="tx1"/>
            </w14:solidFill>
          </w14:textFill>
        </w:rPr>
        <w:t>两种以上不一致的，按照前款规定的顺序修正。修正后的报价经供应商确认后产生约束力，供</w:t>
      </w:r>
      <w:r>
        <w:rPr>
          <w:rFonts w:ascii="Times New Roman" w:hAnsi="宋体" w:eastAsia="宋体" w:cs="Times New Roman"/>
          <w:color w:val="000000" w:themeColor="text1"/>
          <w:spacing w:val="-89"/>
          <w:kern w:val="0"/>
          <w:szCs w:val="21"/>
          <w14:textFill>
            <w14:solidFill>
              <w14:schemeClr w14:val="tx1"/>
            </w14:solidFill>
          </w14:textFill>
        </w:rPr>
        <w:t xml:space="preserve"> </w:t>
      </w:r>
      <w:r>
        <w:rPr>
          <w:rFonts w:hint="eastAsia" w:ascii="Times New Roman" w:hAnsi="宋体" w:eastAsia="宋体" w:cs="Times New Roman"/>
          <w:color w:val="000000" w:themeColor="text1"/>
          <w:spacing w:val="-5"/>
          <w:kern w:val="0"/>
          <w:szCs w:val="21"/>
          <w14:textFill>
            <w14:solidFill>
              <w14:schemeClr w14:val="tx1"/>
            </w14:solidFill>
          </w14:textFill>
        </w:rPr>
        <w:t>应商不确认的，其投标无效。</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3</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6"/>
          <w:kern w:val="0"/>
          <w:szCs w:val="21"/>
          <w14:textFill>
            <w14:solidFill>
              <w14:schemeClr w14:val="tx1"/>
            </w14:solidFill>
          </w14:textFill>
        </w:rPr>
        <w:t>评标委员会认为供应商的报价明显低于其他通过符合性审查供应商的报价，有</w:t>
      </w:r>
      <w:r>
        <w:rPr>
          <w:rFonts w:hint="eastAsia" w:ascii="Times New Roman" w:hAnsi="宋体" w:eastAsia="宋体" w:cs="Times New Roman"/>
          <w:color w:val="000000" w:themeColor="text1"/>
          <w:spacing w:val="-4"/>
          <w:kern w:val="0"/>
          <w:szCs w:val="21"/>
          <w14:textFill>
            <w14:solidFill>
              <w14:schemeClr w14:val="tx1"/>
            </w14:solidFill>
          </w14:textFill>
        </w:rPr>
        <w:t>可能影响产品质量或者不能诚信履约的，供应商不能证明其报价合理性的，评标委员会应当</w:t>
      </w:r>
      <w:r>
        <w:rPr>
          <w:rFonts w:ascii="Times New Roman" w:hAnsi="宋体" w:eastAsia="宋体" w:cs="Times New Roman"/>
          <w:color w:val="000000" w:themeColor="text1"/>
          <w:spacing w:val="-98"/>
          <w:kern w:val="0"/>
          <w:szCs w:val="21"/>
          <w14:textFill>
            <w14:solidFill>
              <w14:schemeClr w14:val="tx1"/>
            </w14:solidFill>
          </w14:textFill>
        </w:rPr>
        <w:t xml:space="preserve"> </w:t>
      </w:r>
      <w:r>
        <w:rPr>
          <w:rFonts w:hint="eastAsia" w:ascii="Times New Roman" w:hAnsi="宋体" w:eastAsia="宋体" w:cs="Times New Roman"/>
          <w:color w:val="000000" w:themeColor="text1"/>
          <w:kern w:val="0"/>
          <w:szCs w:val="21"/>
          <w14:textFill>
            <w14:solidFill>
              <w14:schemeClr w14:val="tx1"/>
            </w14:solidFill>
          </w14:textFill>
        </w:rPr>
        <w:t>将其作为无效投标处理。</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4</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1"/>
          <w:kern w:val="0"/>
          <w:szCs w:val="21"/>
          <w14:textFill>
            <w14:solidFill>
              <w14:schemeClr w14:val="tx1"/>
            </w14:solidFill>
          </w14:textFill>
        </w:rPr>
        <w:t>对于投标文件中不构成实质性偏差的不正规、不一致或不规则，评标委员会可</w:t>
      </w:r>
      <w:r>
        <w:rPr>
          <w:rFonts w:hint="eastAsia" w:ascii="Times New Roman" w:hAnsi="宋体" w:eastAsia="宋体" w:cs="Times New Roman"/>
          <w:color w:val="000000" w:themeColor="text1"/>
          <w:kern w:val="0"/>
          <w:szCs w:val="21"/>
          <w14:textFill>
            <w14:solidFill>
              <w14:schemeClr w14:val="tx1"/>
            </w14:solidFill>
          </w14:textFill>
        </w:rPr>
        <w:t>以接受，但这种接受不能损坏或影响任何供应商的相对排序。</w:t>
      </w:r>
      <w:r>
        <w:rPr>
          <w:rFonts w:ascii="Times New Roman" w:hAnsi="宋体" w:eastAsia="宋体" w:cs="Times New Roman"/>
          <w:color w:val="000000" w:themeColor="text1"/>
          <w:kern w:val="0"/>
          <w:szCs w:val="21"/>
          <w14:textFill>
            <w14:solidFill>
              <w14:schemeClr w14:val="tx1"/>
            </w14:solidFill>
          </w14:textFill>
        </w:rPr>
        <w:t xml:space="preserve"> </w:t>
      </w:r>
    </w:p>
    <w:p>
      <w:pPr>
        <w:keepNext w:val="0"/>
        <w:keepLines w:val="0"/>
        <w:pageBreakBefore w:val="0"/>
        <w:widowControl w:val="0"/>
        <w:kinsoku/>
        <w:wordWrap w:val="0"/>
        <w:overflowPunct/>
        <w:topLinePunct w:val="0"/>
        <w:autoSpaceDE w:val="0"/>
        <w:autoSpaceDN w:val="0"/>
        <w:bidi w:val="0"/>
        <w:adjustRightInd w:val="0"/>
        <w:snapToGrid/>
        <w:spacing w:line="360" w:lineRule="auto"/>
        <w:ind w:firstLine="348" w:firstLineChars="200"/>
        <w:jc w:val="left"/>
        <w:textAlignment w:val="auto"/>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ascii="Times New Roman" w:hAnsi="宋体" w:eastAsia="宋体" w:cs="Times New Roman"/>
          <w:color w:val="000000" w:themeColor="text1"/>
          <w:spacing w:val="-18"/>
          <w:kern w:val="0"/>
          <w:szCs w:val="21"/>
          <w14:textFill>
            <w14:solidFill>
              <w14:schemeClr w14:val="tx1"/>
            </w14:solidFill>
          </w14:textFill>
        </w:rPr>
        <w:t>5</w:t>
      </w:r>
      <w:r>
        <w:rPr>
          <w:rFonts w:hint="eastAsia" w:ascii="Times New Roman" w:hAnsi="宋体" w:eastAsia="宋体" w:cs="Times New Roman"/>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在比较与评价之前，评标委员会要审查每份投标文件是否实质上响应了采购文件</w:t>
      </w:r>
      <w:r>
        <w:rPr>
          <w:rFonts w:hint="eastAsia" w:ascii="Times New Roman" w:hAnsi="宋体" w:eastAsia="宋体" w:cs="Times New Roman"/>
          <w:color w:val="000000" w:themeColor="text1"/>
          <w:spacing w:val="-4"/>
          <w:kern w:val="0"/>
          <w:szCs w:val="21"/>
          <w14:textFill>
            <w14:solidFill>
              <w14:schemeClr w14:val="tx1"/>
            </w14:solidFill>
          </w14:textFill>
        </w:rPr>
        <w:t>的要求。实质上响应的投标应该是与采购文件要求的全部条款、条件相符，没有重大偏</w:t>
      </w:r>
      <w:r>
        <w:rPr>
          <w:rFonts w:ascii="Times New Roman" w:hAnsi="宋体" w:eastAsia="宋体" w:cs="Times New Roman"/>
          <w:color w:val="000000" w:themeColor="text1"/>
          <w:spacing w:val="-103"/>
          <w:kern w:val="0"/>
          <w:szCs w:val="21"/>
          <w14:textFill>
            <w14:solidFill>
              <w14:schemeClr w14:val="tx1"/>
            </w14:solidFill>
          </w14:textFill>
        </w:rPr>
        <w:t xml:space="preserve"> </w:t>
      </w:r>
      <w:r>
        <w:rPr>
          <w:rFonts w:hint="eastAsia" w:ascii="Times New Roman" w:hAnsi="宋体" w:eastAsia="宋体" w:cs="Times New Roman"/>
          <w:color w:val="000000" w:themeColor="text1"/>
          <w:spacing w:val="-9"/>
          <w:kern w:val="0"/>
          <w:szCs w:val="21"/>
          <w14:textFill>
            <w14:solidFill>
              <w14:schemeClr w14:val="tx1"/>
            </w14:solidFill>
          </w14:textFill>
        </w:rPr>
        <w:t>离的投标。对关键条款的偏离、保留和反对，将被认为是实质上的偏离，属于</w:t>
      </w:r>
      <w:r>
        <w:rPr>
          <w:rFonts w:hint="eastAsia" w:ascii="Times New Roman" w:hAnsi="宋体" w:eastAsia="宋体" w:cs="Times New Roman"/>
          <w:color w:val="000000" w:themeColor="text1"/>
          <w:spacing w:val="-10"/>
          <w:kern w:val="0"/>
          <w:szCs w:val="21"/>
          <w14:textFill>
            <w14:solidFill>
              <w14:schemeClr w14:val="tx1"/>
            </w14:solidFill>
          </w14:textFill>
        </w:rPr>
        <w:t>无效投标被拒绝。评标委员会决定投标的响应性只根据投标文件本身的内容，而不寻求</w:t>
      </w:r>
      <w:r>
        <w:rPr>
          <w:rFonts w:hint="eastAsia" w:ascii="Times New Roman" w:hAnsi="宋体" w:eastAsia="宋体" w:cs="Times New Roman"/>
          <w:color w:val="000000" w:themeColor="text1"/>
          <w:kern w:val="0"/>
          <w:szCs w:val="21"/>
          <w14:textFill>
            <w14:solidFill>
              <w14:schemeClr w14:val="tx1"/>
            </w14:solidFill>
          </w14:textFill>
        </w:rPr>
        <w:t>外部的证据。</w:t>
      </w:r>
      <w:r>
        <w:rPr>
          <w:rFonts w:ascii="Times New Roman" w:hAnsi="宋体" w:eastAsia="宋体" w:cs="Times New Roman"/>
          <w:color w:val="000000" w:themeColor="text1"/>
          <w:kern w:val="0"/>
          <w:szCs w:val="21"/>
          <w14:textFill>
            <w14:solidFill>
              <w14:schemeClr w14:val="tx1"/>
            </w14:solidFill>
          </w14:textFill>
        </w:rPr>
        <w:t xml:space="preserve"> </w:t>
      </w:r>
    </w:p>
    <w:p>
      <w:pPr>
        <w:tabs>
          <w:tab w:val="left" w:pos="1441"/>
        </w:tabs>
        <w:kinsoku w:val="0"/>
        <w:overflowPunct w:val="0"/>
        <w:autoSpaceDE w:val="0"/>
        <w:autoSpaceDN w:val="0"/>
        <w:adjustRightInd w:val="0"/>
        <w:spacing w:line="360" w:lineRule="auto"/>
        <w:ind w:firstLine="348"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ascii="Times New Roman" w:hAnsi="宋体" w:eastAsia="宋体" w:cs="Times New Roman"/>
          <w:bCs/>
          <w:color w:val="000000" w:themeColor="text1"/>
          <w:spacing w:val="-18"/>
          <w:kern w:val="0"/>
          <w:szCs w:val="21"/>
          <w14:textFill>
            <w14:solidFill>
              <w14:schemeClr w14:val="tx1"/>
            </w14:solidFill>
          </w14:textFill>
        </w:rPr>
        <w:t>6</w:t>
      </w:r>
      <w:r>
        <w:rPr>
          <w:rFonts w:hint="eastAsia" w:ascii="Times New Roman" w:hAnsi="宋体" w:eastAsia="宋体" w:cs="Times New Roman"/>
          <w:bCs/>
          <w:color w:val="000000" w:themeColor="text1"/>
          <w:spacing w:val="-18"/>
          <w:kern w:val="0"/>
          <w:szCs w:val="21"/>
          <w14:textFill>
            <w14:solidFill>
              <w14:schemeClr w14:val="tx1"/>
            </w14:solidFill>
          </w14:textFill>
        </w:rPr>
        <w:t>）</w:t>
      </w:r>
      <w:r>
        <w:rPr>
          <w:rFonts w:hint="eastAsia" w:ascii="Times New Roman" w:hAnsi="宋体" w:eastAsia="宋体" w:cs="Times New Roman"/>
          <w:color w:val="000000" w:themeColor="text1"/>
          <w:spacing w:val="7"/>
          <w:kern w:val="0"/>
          <w:szCs w:val="21"/>
          <w14:textFill>
            <w14:solidFill>
              <w14:schemeClr w14:val="tx1"/>
            </w14:solidFill>
          </w14:textFill>
        </w:rPr>
        <w:t>实质上没有响应采购文件要求的投标将被作为无效投标被拒绝。供应商不得</w:t>
      </w:r>
      <w:r>
        <w:rPr>
          <w:rFonts w:hint="eastAsia" w:ascii="Times New Roman" w:hAnsi="宋体" w:eastAsia="宋体" w:cs="Times New Roman"/>
          <w:color w:val="000000" w:themeColor="text1"/>
          <w:spacing w:val="-4"/>
          <w:kern w:val="0"/>
          <w:szCs w:val="21"/>
          <w14:textFill>
            <w14:solidFill>
              <w14:schemeClr w14:val="tx1"/>
            </w14:solidFill>
          </w14:textFill>
        </w:rPr>
        <w:t>通过修正或撤销不符合要求的偏离或保留从而使其投标成为实质上响应的投标。</w:t>
      </w:r>
      <w:r>
        <w:rPr>
          <w:rFonts w:ascii="Times New Roman" w:hAnsi="宋体" w:eastAsia="宋体" w:cs="Times New Roman"/>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2" w:firstLineChars="200"/>
        <w:jc w:val="left"/>
        <w:outlineLvl w:val="0"/>
        <w:rPr>
          <w:rFonts w:ascii="宋体" w:hAnsi="宋体" w:eastAsia="宋体" w:cs="宋体"/>
          <w:color w:val="000000" w:themeColor="text1"/>
          <w:kern w:val="0"/>
          <w:szCs w:val="21"/>
          <w14:textFill>
            <w14:solidFill>
              <w14:schemeClr w14:val="tx1"/>
            </w14:solidFill>
          </w14:textFill>
        </w:rPr>
      </w:pPr>
      <w:bookmarkStart w:id="162" w:name="_Toc8502"/>
      <w:bookmarkStart w:id="163" w:name="_Toc30175"/>
      <w:bookmarkStart w:id="164" w:name="_Toc25957"/>
      <w:bookmarkStart w:id="165" w:name="_Toc6116"/>
      <w:r>
        <w:rPr>
          <w:rFonts w:hint="eastAsia" w:ascii="宋体" w:hAnsi="宋体" w:eastAsia="宋体" w:cs="宋体"/>
          <w:b/>
          <w:bCs/>
          <w:color w:val="000000" w:themeColor="text1"/>
          <w:kern w:val="0"/>
          <w:szCs w:val="21"/>
          <w14:textFill>
            <w14:solidFill>
              <w14:schemeClr w14:val="tx1"/>
            </w14:solidFill>
          </w14:textFill>
        </w:rPr>
        <w:t>如发现下列情况之一的，其投标将被作为无效投标被拒绝：</w:t>
      </w:r>
      <w:bookmarkEnd w:id="162"/>
      <w:bookmarkEnd w:id="163"/>
      <w:bookmarkEnd w:id="164"/>
      <w:bookmarkEnd w:id="165"/>
      <w:r>
        <w:rPr>
          <w:rFonts w:ascii="宋体" w:hAnsi="宋体" w:eastAsia="宋体" w:cs="宋体"/>
          <w:b/>
          <w:bCs/>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 投标文件未按采购文件要求签署或盖章的，或无法定代表人签字，或签字人无法定代表人有效授权的；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（2） 不具备采购文件中规定的资格要求，采购人或采购代理机构资格审查不合格的；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（3） 报价不唯一，出现有选择的报价或替代方案的；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（4） 报价超过采购文件中规定的预算金额或者最高限价的；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（5） 投标有效期不足的；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（6） 交货期不满足采购文件要求的；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（7） 质量保证期不满足采购文件要求的；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（8） 付款条件不满足采购文件要求的；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（9） 投标文件含有采购人不能接受的附加条件的；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（10） 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14:textFill>
            <w14:solidFill>
              <w14:schemeClr w14:val="tx1"/>
            </w14:solidFill>
          </w14:textFill>
        </w:rPr>
      </w:pPr>
      <w:r>
        <w:rPr>
          <w:rFonts w:hint="eastAsia" w:ascii="Times New Roman" w:hAnsi="宋体" w:eastAsia="宋体" w:cs="Times New Roman"/>
          <w:b/>
          <w:bCs/>
          <w:color w:val="000000" w:themeColor="text1"/>
          <w:spacing w:val="-1"/>
          <w:kern w:val="0"/>
          <w:szCs w:val="21"/>
          <w14:textFill>
            <w14:solidFill>
              <w14:schemeClr w14:val="tx1"/>
            </w14:solidFill>
          </w14:textFill>
        </w:rPr>
        <w:t xml:space="preserve">（11） 法律、法规和采购文件规定的其他无效情形。 </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（12）不同供应商的电子投标（响应）文件上传计算机的网卡MAC地址、CPU序列号和硬盘序列号等硬件信息相同的；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（13）不同供应商的投标（响应）文件由同一电子设备编制、打印加密或者上传；</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（14）不同供应商的投标（响应）文件由同一电子设备打印、复印；</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（15）不同供应商的投标（响应）文件由同一人送达或者分发，或者不同供应商联系人为同一人或不同联系人的联系电话一致的；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（16）不同供应商的投标（响应）文件的内容存在两处以上细节错误一致；</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（17）不同供应商的法定代表人、委托代理人、项目经理、项目负责人等由同一个单位缴纳社会保险或者领取报酬的；</w:t>
      </w:r>
    </w:p>
    <w:p>
      <w:pPr>
        <w:kinsoku w:val="0"/>
        <w:overflowPunct w:val="0"/>
        <w:autoSpaceDE w:val="0"/>
        <w:autoSpaceDN w:val="0"/>
        <w:adjustRightInd w:val="0"/>
        <w:spacing w:line="360" w:lineRule="auto"/>
        <w:ind w:firstLine="418" w:firstLineChars="200"/>
        <w:jc w:val="left"/>
        <w:rPr>
          <w:rFonts w:hint="default"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（18）不同供应商投标（响应）文件中法定代表人或者负责人签字出自同一人之手；</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（19）投标文件制作机器码一致。</w:t>
      </w:r>
    </w:p>
    <w:p>
      <w:pPr>
        <w:kinsoku w:val="0"/>
        <w:overflowPunct w:val="0"/>
        <w:autoSpaceDE w:val="0"/>
        <w:autoSpaceDN w:val="0"/>
        <w:adjustRightInd w:val="0"/>
        <w:spacing w:line="360" w:lineRule="auto"/>
        <w:ind w:firstLine="418" w:firstLineChars="200"/>
        <w:jc w:val="left"/>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pPr>
      <w:r>
        <w:rPr>
          <w:rFonts w:hint="eastAsia" w:ascii="Times New Roman" w:hAnsi="宋体" w:eastAsia="宋体" w:cs="Times New Roman"/>
          <w:b/>
          <w:bCs/>
          <w:color w:val="000000" w:themeColor="text1"/>
          <w:spacing w:val="-1"/>
          <w:kern w:val="0"/>
          <w:szCs w:val="21"/>
          <w:lang w:val="en-US" w:eastAsia="zh-CN"/>
          <w14:textFill>
            <w14:solidFill>
              <w14:schemeClr w14:val="tx1"/>
            </w14:solidFill>
          </w14:textFill>
        </w:rPr>
        <w:t>（20）其它涉嫌串通的情形。</w:t>
      </w:r>
    </w:p>
    <w:p>
      <w:pPr>
        <w:kinsoku w:val="0"/>
        <w:overflowPunct w:val="0"/>
        <w:autoSpaceDE w:val="0"/>
        <w:autoSpaceDN w:val="0"/>
        <w:adjustRightInd w:val="0"/>
        <w:spacing w:line="360" w:lineRule="auto"/>
        <w:ind w:firstLine="420" w:firstLineChars="200"/>
        <w:jc w:val="both"/>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3.5.</w:t>
      </w:r>
      <w:r>
        <w:rPr>
          <w:rFonts w:hint="eastAsia" w:ascii="Times New Roman" w:hAnsi="宋体" w:eastAsia="宋体" w:cs="Times New Roman"/>
          <w:color w:val="000000" w:themeColor="text1"/>
          <w:kern w:val="0"/>
          <w:szCs w:val="21"/>
          <w14:textFill>
            <w14:solidFill>
              <w14:schemeClr w14:val="tx1"/>
            </w14:solidFill>
          </w14:textFill>
        </w:rPr>
        <w:t>3</w:t>
      </w:r>
      <w:r>
        <w:rPr>
          <w:rFonts w:ascii="Times New Roman" w:hAnsi="宋体" w:eastAsia="宋体" w:cs="Times New Roman"/>
          <w:color w:val="000000" w:themeColor="text1"/>
          <w:kern w:val="0"/>
          <w:szCs w:val="21"/>
          <w14:textFill>
            <w14:solidFill>
              <w14:schemeClr w14:val="tx1"/>
            </w14:solidFill>
          </w14:textFill>
        </w:rPr>
        <w:t xml:space="preserve"> </w:t>
      </w:r>
      <w:r>
        <w:rPr>
          <w:rFonts w:hint="eastAsia" w:ascii="Times New Roman" w:hAnsi="宋体" w:eastAsia="宋体" w:cs="Times New Roman"/>
          <w:color w:val="000000" w:themeColor="text1"/>
          <w:spacing w:val="-8"/>
          <w:kern w:val="0"/>
          <w:szCs w:val="21"/>
          <w14:textFill>
            <w14:solidFill>
              <w14:schemeClr w14:val="tx1"/>
            </w14:solidFill>
          </w14:textFill>
        </w:rPr>
        <w:t>评标委员会只对在通过符合性评审，确定为实质性响应的投标文件进行下一步评</w:t>
      </w:r>
      <w:r>
        <w:rPr>
          <w:rFonts w:hint="eastAsia" w:ascii="Times New Roman" w:hAnsi="宋体" w:eastAsia="宋体" w:cs="Times New Roman"/>
          <w:color w:val="000000" w:themeColor="text1"/>
          <w:kern w:val="0"/>
          <w:szCs w:val="21"/>
          <w14:textFill>
            <w14:solidFill>
              <w14:schemeClr w14:val="tx1"/>
            </w14:solidFill>
          </w14:textFill>
        </w:rPr>
        <w:t>审。</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ascii="Times New Roman" w:hAnsi="宋体" w:eastAsia="宋体" w:cs="Times New Roman"/>
          <w:color w:val="000000" w:themeColor="text1"/>
          <w:kern w:val="0"/>
          <w:szCs w:val="21"/>
          <w14:textFill>
            <w14:solidFill>
              <w14:schemeClr w14:val="tx1"/>
            </w14:solidFill>
          </w14:textFill>
        </w:rPr>
        <w:t xml:space="preserve">3.6 </w:t>
      </w:r>
      <w:r>
        <w:rPr>
          <w:rFonts w:hint="eastAsia" w:ascii="Times New Roman" w:hAnsi="宋体" w:eastAsia="宋体" w:cs="Times New Roman"/>
          <w:color w:val="000000" w:themeColor="text1"/>
          <w:kern w:val="0"/>
          <w:szCs w:val="21"/>
          <w14:textFill>
            <w14:solidFill>
              <w14:schemeClr w14:val="tx1"/>
            </w14:solidFill>
          </w14:textFill>
        </w:rPr>
        <w:t>详细评审评标委员会应当按照采购文件中规定的评标方法和标准，对符合性审查合格的投标文件进行商务和技术评估，综合比较与评价。</w:t>
      </w:r>
      <w:r>
        <w:rPr>
          <w:rFonts w:ascii="Times New Roman" w:hAnsi="宋体"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宋体" w:eastAsia="宋体" w:cs="Times New Roman"/>
          <w:color w:val="000000" w:themeColor="text1"/>
          <w:kern w:val="0"/>
          <w:szCs w:val="21"/>
          <w14:textFill>
            <w14:solidFill>
              <w14:schemeClr w14:val="tx1"/>
            </w14:solidFill>
          </w14:textFill>
        </w:rPr>
      </w:pP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1</w:t>
      </w:r>
      <w:r>
        <w:rPr>
          <w:rFonts w:hint="default" w:ascii="Times New Roman" w:hAnsi="宋体" w:eastAsia="宋体" w:cs="Times New Roman"/>
          <w:color w:val="000000" w:themeColor="text1"/>
          <w:spacing w:val="0"/>
          <w:kern w:val="0"/>
          <w:szCs w:val="21"/>
          <w14:textFill>
            <w14:solidFill>
              <w14:schemeClr w14:val="tx1"/>
            </w14:solidFill>
          </w14:textFill>
        </w:rPr>
        <w:t>）</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澄清有关问题：对投标文件中含义不明确、同类问题表述不一致或者有明显文字和计算错误的内容，评标委员会应当书面形式要求供应商做出必要的澄清、说明或者补正。供</w:t>
      </w:r>
      <w:r>
        <w:rPr>
          <w:rFonts w:ascii="Times New Roman" w:hAnsi="宋体" w:eastAsia="宋体" w:cs="Times New Roman"/>
          <w:color w:val="000000" w:themeColor="text1"/>
          <w:spacing w:val="0"/>
          <w:kern w:val="0"/>
          <w:szCs w:val="21"/>
          <w14:textFill>
            <w14:solidFill>
              <w14:schemeClr w14:val="tx1"/>
            </w14:solidFill>
          </w14:textFill>
        </w:rPr>
        <w:t xml:space="preserve"> </w:t>
      </w:r>
      <w:r>
        <w:rPr>
          <w:rFonts w:hint="default" w:ascii="Times New Roman" w:hAnsi="宋体" w:eastAsia="宋体" w:cs="Times New Roman"/>
          <w:color w:val="000000" w:themeColor="text1"/>
          <w:spacing w:val="0"/>
          <w:kern w:val="0"/>
          <w:szCs w:val="21"/>
          <w14:textFill>
            <w14:solidFill>
              <w14:schemeClr w14:val="tx1"/>
            </w14:solidFill>
          </w14:textFill>
        </w:rPr>
        <w:t>应商的澄清、说明或者补正应当采用书面形式，并加盖公章，或者由法定代表人或其授权的代表签字。供应商的澄清、说明或者补正不得超出投标文件的范围或者改变投标文件的实质性内容。</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 </w:t>
      </w:r>
      <w:r>
        <w:rPr>
          <w:rFonts w:hint="eastAsia" w:ascii="宋体" w:hAnsi="宋体" w:eastAsia="宋体" w:cs="宋体"/>
          <w:color w:val="000000" w:themeColor="text1"/>
          <w:spacing w:val="-9"/>
          <w:kern w:val="0"/>
          <w:szCs w:val="21"/>
          <w14:textFill>
            <w14:solidFill>
              <w14:schemeClr w14:val="tx1"/>
            </w14:solidFill>
          </w14:textFill>
        </w:rPr>
        <w:t>比较与评价：按采购文件中规定的评标方法和标准，对符合性审查合格的投标文</w:t>
      </w:r>
      <w:r>
        <w:rPr>
          <w:rFonts w:hint="eastAsia" w:ascii="宋体" w:hAnsi="宋体" w:eastAsia="宋体" w:cs="宋体"/>
          <w:color w:val="000000" w:themeColor="text1"/>
          <w:spacing w:val="-5"/>
          <w:kern w:val="0"/>
          <w:szCs w:val="21"/>
          <w14:textFill>
            <w14:solidFill>
              <w14:schemeClr w14:val="tx1"/>
            </w14:solidFill>
          </w14:textFill>
        </w:rPr>
        <w:t>件进行商务和技术评估，综合比较与评价。</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 汇总：汇总全体评委对各供应商的打分并计算算术平均值，即供应商的最终评审得分； </w:t>
      </w:r>
    </w:p>
    <w:p>
      <w:pPr>
        <w:kinsoku w:val="0"/>
        <w:overflowPunct w:val="0"/>
        <w:autoSpaceDE w:val="0"/>
        <w:autoSpaceDN w:val="0"/>
        <w:adjustRightInd w:val="0"/>
        <w:spacing w:line="360" w:lineRule="auto"/>
        <w:ind w:firstLine="208" w:firstLineChars="100"/>
        <w:jc w:val="left"/>
        <w:rPr>
          <w:rFonts w:ascii="宋体" w:hAnsi="宋体" w:eastAsia="宋体" w:cs="宋体"/>
          <w:color w:val="000000" w:themeColor="text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 评标结果：按评审后得分由高到低顺序排列，向采购人推荐3名中标候选人。综合评分相等时，以投标报价低的优先；</w:t>
      </w:r>
      <w:r>
        <w:rPr>
          <w:rFonts w:hint="eastAsia" w:ascii="宋体" w:hAnsi="宋体" w:eastAsia="宋体" w:cs="宋体"/>
          <w:color w:val="000000" w:themeColor="text1"/>
          <w:spacing w:val="-8"/>
          <w:kern w:val="0"/>
          <w:szCs w:val="21"/>
          <w14:textFill>
            <w14:solidFill>
              <w14:schemeClr w14:val="tx1"/>
            </w14:solidFill>
          </w14:textFill>
        </w:rPr>
        <w:t>投标报价也相等的，以技术得分高的优先；</w:t>
      </w:r>
      <w:r>
        <w:rPr>
          <w:rFonts w:hint="eastAsia" w:ascii="宋体" w:hAnsi="宋体" w:eastAsia="宋体" w:cs="宋体"/>
          <w:color w:val="000000" w:themeColor="text1"/>
          <w:kern w:val="0"/>
          <w:szCs w:val="21"/>
          <w14:textFill>
            <w14:solidFill>
              <w14:schemeClr w14:val="tx1"/>
            </w14:solidFill>
          </w14:textFill>
        </w:rPr>
        <w:t>如果技术</w:t>
      </w:r>
      <w:r>
        <w:rPr>
          <w:rFonts w:hint="eastAsia" w:ascii="宋体" w:hAnsi="宋体" w:eastAsia="宋体" w:cs="宋体"/>
          <w:color w:val="000000" w:themeColor="text1"/>
          <w:spacing w:val="-5"/>
          <w:kern w:val="0"/>
          <w:szCs w:val="21"/>
          <w14:textFill>
            <w14:solidFill>
              <w14:schemeClr w14:val="tx1"/>
            </w14:solidFill>
          </w14:textFill>
        </w:rPr>
        <w:t>得分也相等，采取随机抽取方式确定中标候选人顺序。</w:t>
      </w:r>
      <w:r>
        <w:rPr>
          <w:rFonts w:hint="eastAsia" w:ascii="宋体" w:hAnsi="宋体"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（5） 评标结束后，评标委员会根据全体评标成员签字的原始评标记录和评标结果编写评标报告。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（6） 评标委员会成员对需要共同认定的事项存在争议的，应当按照少数服从多数的原则作出结论。持不同意见的评标委员会成员应当在评标报告上签署不同意见及理由，否则 视为同意评标报告。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（7） 评标结果汇总完成后，除下列情形外，任何人不得修改评标结果：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1）分值汇总计算错误的；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2）分项评分超出评分标准范围的；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3）评标委员会成员对客观评审因素评分不一致的；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4）经评标委员会认定评分畸高、畸低的。</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 </w:t>
      </w:r>
    </w:p>
    <w:p>
      <w:pPr>
        <w:kinsoku w:val="0"/>
        <w:overflowPunct w:val="0"/>
        <w:autoSpaceDE w:val="0"/>
        <w:autoSpaceDN w:val="0"/>
        <w:adjustRightInd w:val="0"/>
        <w:spacing w:line="360" w:lineRule="auto"/>
        <w:ind w:firstLine="208" w:firstLineChars="100"/>
        <w:jc w:val="left"/>
        <w:rPr>
          <w:rFonts w:hint="eastAsia" w:ascii="Times New Roman" w:hAnsi="宋体" w:eastAsia="宋体" w:cs="Times New Roman"/>
          <w:color w:val="000000" w:themeColor="text1"/>
          <w:spacing w:val="-1"/>
          <w:kern w:val="0"/>
          <w:szCs w:val="21"/>
          <w14:textFill>
            <w14:solidFill>
              <w14:schemeClr w14:val="tx1"/>
            </w14:solidFill>
          </w14:textFill>
        </w:rPr>
      </w:pPr>
      <w:r>
        <w:rPr>
          <w:rFonts w:hint="eastAsia" w:ascii="Times New Roman" w:hAnsi="宋体" w:eastAsia="宋体" w:cs="Times New Roman"/>
          <w:color w:val="000000" w:themeColor="text1"/>
          <w:spacing w:val="-1"/>
          <w:kern w:val="0"/>
          <w:szCs w:val="21"/>
          <w14:textFill>
            <w14:solidFill>
              <w14:schemeClr w14:val="tx1"/>
            </w14:solidFill>
          </w14:textFill>
        </w:rPr>
        <w:t xml:space="preserve">供应商对本条第一款情形提出质疑的，采购人或者采购代理机构可以组织原评标委员会进行重新评审，重新评审改变评标结果的，应当书面报告本级财政部门。 </w:t>
      </w:r>
    </w:p>
    <w:p>
      <w:pPr>
        <w:kinsoku w:val="0"/>
        <w:overflowPunct w:val="0"/>
        <w:autoSpaceDE w:val="0"/>
        <w:autoSpaceDN w:val="0"/>
        <w:adjustRightInd w:val="0"/>
        <w:spacing w:before="0" w:line="360" w:lineRule="auto"/>
        <w:ind w:left="0" w:firstLine="208" w:firstLineChars="100"/>
        <w:jc w:val="left"/>
        <w:rPr>
          <w:rFonts w:hint="eastAsia" w:ascii="Times New Roman" w:hAnsi="宋体" w:eastAsia="宋体" w:cs="Times New Roman"/>
          <w:color w:val="000000" w:themeColor="text1"/>
          <w:spacing w:val="-1"/>
          <w:kern w:val="0"/>
          <w:sz w:val="21"/>
          <w:szCs w:val="21"/>
          <w14:textFill>
            <w14:solidFill>
              <w14:schemeClr w14:val="tx1"/>
            </w14:solidFill>
          </w14:textFill>
        </w:rPr>
        <w:sectPr>
          <w:pgSz w:w="11920" w:h="16850"/>
          <w:pgMar w:top="1360" w:right="1100" w:bottom="1200" w:left="1100" w:header="0" w:footer="1009" w:gutter="0"/>
          <w:pgNumType w:fmt="numberInDash"/>
          <w:cols w:space="720" w:num="1"/>
        </w:sectPr>
      </w:pPr>
    </w:p>
    <w:p>
      <w:pPr>
        <w:kinsoku w:val="0"/>
        <w:overflowPunct w:val="0"/>
        <w:autoSpaceDE w:val="0"/>
        <w:autoSpaceDN w:val="0"/>
        <w:adjustRightInd w:val="0"/>
        <w:spacing w:before="156" w:beforeLines="50" w:after="156" w:afterLines="50"/>
        <w:jc w:val="left"/>
        <w:outlineLvl w:val="0"/>
        <w:rPr>
          <w:rFonts w:ascii="宋体" w:hAnsi="宋体" w:eastAsia="宋体" w:cs="宋体"/>
          <w:color w:val="000000" w:themeColor="text1"/>
          <w:kern w:val="0"/>
          <w:szCs w:val="21"/>
          <w14:textFill>
            <w14:solidFill>
              <w14:schemeClr w14:val="tx1"/>
            </w14:solidFill>
          </w14:textFill>
        </w:rPr>
      </w:pPr>
      <w:bookmarkStart w:id="166" w:name="_Toc1596"/>
      <w:bookmarkStart w:id="167" w:name="_Toc3209"/>
      <w:bookmarkStart w:id="168" w:name="_Toc17887161"/>
      <w:bookmarkStart w:id="169" w:name="_Toc5960137"/>
      <w:bookmarkStart w:id="170" w:name="_Toc25309"/>
      <w:bookmarkStart w:id="171" w:name="_Toc10932"/>
      <w:bookmarkStart w:id="172" w:name="_Toc24712"/>
      <w:r>
        <w:rPr>
          <w:rFonts w:hint="eastAsia" w:ascii="宋体" w:hAnsi="宋体" w:eastAsia="宋体" w:cs="宋体"/>
          <w:b/>
          <w:bCs/>
          <w:color w:val="000000" w:themeColor="text1"/>
          <w:kern w:val="0"/>
          <w:szCs w:val="21"/>
          <w14:textFill>
            <w14:solidFill>
              <w14:schemeClr w14:val="tx1"/>
            </w14:solidFill>
          </w14:textFill>
        </w:rPr>
        <w:t>四、评审因素及评分标准</w:t>
      </w:r>
      <w:bookmarkEnd w:id="166"/>
      <w:bookmarkEnd w:id="167"/>
      <w:bookmarkEnd w:id="168"/>
      <w:bookmarkEnd w:id="169"/>
      <w:bookmarkEnd w:id="170"/>
      <w:bookmarkEnd w:id="171"/>
      <w:bookmarkEnd w:id="172"/>
    </w:p>
    <w:p>
      <w:pPr>
        <w:jc w:val="center"/>
        <w:outlineLvl w:val="0"/>
        <w:rPr>
          <w:rFonts w:ascii="宋体" w:hAnsi="宋体"/>
          <w:color w:val="000000" w:themeColor="text1"/>
          <w:sz w:val="24"/>
          <w:szCs w:val="24"/>
          <w14:textFill>
            <w14:solidFill>
              <w14:schemeClr w14:val="tx1"/>
            </w14:solidFill>
          </w14:textFill>
        </w:rPr>
      </w:pPr>
      <w:bookmarkStart w:id="173" w:name="_Toc2191"/>
      <w:bookmarkStart w:id="174" w:name="_Toc26368"/>
      <w:bookmarkStart w:id="175" w:name="_Toc1402"/>
      <w:bookmarkStart w:id="176" w:name="_Toc21552"/>
      <w:bookmarkStart w:id="177" w:name="_Toc5946410"/>
      <w:bookmarkStart w:id="178" w:name="_Toc5960138"/>
      <w:bookmarkStart w:id="179" w:name="_Toc5956027"/>
      <w:bookmarkStart w:id="180" w:name="_Toc17887162"/>
      <w:bookmarkStart w:id="181" w:name="_Toc3191"/>
      <w:r>
        <w:rPr>
          <w:rFonts w:hint="eastAsia" w:ascii="宋体" w:hAnsi="宋体"/>
          <w:color w:val="000000" w:themeColor="text1"/>
          <w:sz w:val="24"/>
          <w:szCs w:val="24"/>
          <w14:textFill>
            <w14:solidFill>
              <w14:schemeClr w14:val="tx1"/>
            </w14:solidFill>
          </w14:textFill>
        </w:rPr>
        <w:t>评分办法</w:t>
      </w:r>
      <w:bookmarkEnd w:id="173"/>
      <w:bookmarkEnd w:id="174"/>
      <w:bookmarkEnd w:id="175"/>
      <w:bookmarkEnd w:id="176"/>
    </w:p>
    <w:tbl>
      <w:tblPr>
        <w:tblStyle w:val="18"/>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5"/>
        <w:gridCol w:w="1832"/>
        <w:gridCol w:w="6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投标报价</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30</w:t>
            </w:r>
            <w:r>
              <w:rPr>
                <w:rFonts w:hint="eastAsia" w:ascii="宋体" w:hAnsi="宋体" w:eastAsia="宋体" w:cs="宋体"/>
                <w:color w:val="000000" w:themeColor="text1"/>
                <w:kern w:val="0"/>
                <w:szCs w:val="21"/>
                <w14:textFill>
                  <w14:solidFill>
                    <w14:schemeClr w14:val="tx1"/>
                  </w14:solidFill>
                </w14:textFill>
              </w:rPr>
              <w:t>分）</w:t>
            </w:r>
          </w:p>
        </w:tc>
        <w:tc>
          <w:tcPr>
            <w:tcW w:w="6317" w:type="dxa"/>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价格分采用低价优先法计算，即满足采购文件要求且投标价格最低的投标报价为评标基准价，其价格分为满分30，其他供应商价格分统一按下列公式计算：投标报价得分=评标基准价/投标报价×30</w:t>
            </w:r>
          </w:p>
          <w:p>
            <w:pPr>
              <w:widowControl/>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分</w:t>
            </w:r>
          </w:p>
          <w:p>
            <w:pPr>
              <w:widowControl/>
              <w:ind w:firstLine="420" w:firstLineChars="200"/>
              <w:jc w:val="both"/>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根据《关于进一步加大政府采购支持中小企业力度的通知》 (财库[2022]19 号)的规定，对符合规定的小型和微型企业产品的价格给予 </w:t>
            </w:r>
            <w:r>
              <w:rPr>
                <w:rFonts w:hint="eastAsia" w:ascii="宋体" w:hAnsi="宋体" w:eastAsia="宋体" w:cs="宋体"/>
                <w:color w:val="000000" w:themeColor="text1"/>
                <w:kern w:val="0"/>
                <w:szCs w:val="21"/>
                <w:lang w:val="en-US" w:eastAsia="zh-CN"/>
                <w14:textFill>
                  <w14:solidFill>
                    <w14:schemeClr w14:val="tx1"/>
                  </w14:solidFill>
                </w14:textFill>
              </w:rPr>
              <w:t>10</w:t>
            </w:r>
            <w:r>
              <w:rPr>
                <w:rFonts w:hint="eastAsia" w:ascii="宋体" w:hAnsi="宋体" w:eastAsia="宋体" w:cs="宋体"/>
                <w:color w:val="000000" w:themeColor="text1"/>
                <w:kern w:val="0"/>
                <w:szCs w:val="21"/>
                <w14:textFill>
                  <w14:solidFill>
                    <w14:schemeClr w14:val="tx1"/>
                  </w14:solidFill>
                </w14:textFill>
              </w:rPr>
              <w:t>%的扣除，用扣除后的价格参与评审。小微企业必须提供《中小企业声明函》</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否则评审时不予认可。(监狱、残疾人福利性企业</w:t>
            </w:r>
          </w:p>
          <w:p>
            <w:pPr>
              <w:widowControl/>
              <w:jc w:val="both"/>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视同小微企业，价格扣除优惠只享受次，不得重复享受。)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3017"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c>
          <w:tcPr>
            <w:tcW w:w="631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eastAsia="宋体" w:cs="宋体"/>
                <w:color w:val="000000" w:themeColor="text1"/>
                <w:kern w:val="0"/>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restart"/>
            <w:tcBorders>
              <w:top w:val="single" w:color="auto" w:sz="4" w:space="0"/>
              <w:left w:val="single" w:color="auto" w:sz="4" w:space="0"/>
              <w:right w:val="single" w:color="auto" w:sz="4" w:space="0"/>
            </w:tcBorders>
            <w:shd w:val="clear" w:color="auto" w:fill="auto"/>
            <w:vAlign w:val="center"/>
          </w:tcPr>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w:t>
            </w:r>
          </w:p>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部分</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5</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技术参数</w:t>
            </w:r>
          </w:p>
          <w:p>
            <w:pPr>
              <w:widowControl/>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①评审专家对投标文件技术参数进行评审打分，所有条款均符合招标文件技术参数与要求，得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p>
            <w:pPr>
              <w:widowControl/>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②每有一项</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分，扣完为止</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每有一项</w:t>
            </w:r>
            <w:r>
              <w:rPr>
                <w:rFonts w:hint="eastAsia" w:ascii="宋体" w:hAnsi="宋体" w:eastAsia="宋体" w:cs="宋体"/>
                <w:color w:val="000000" w:themeColor="text1"/>
                <w:kern w:val="0"/>
                <w:szCs w:val="21"/>
                <w:lang w:val="en-US" w:eastAsia="zh-CN"/>
                <w14:textFill>
                  <w14:solidFill>
                    <w14:schemeClr w14:val="tx1"/>
                  </w14:solidFill>
                </w14:textFill>
              </w:rPr>
              <w:t>非</w:t>
            </w:r>
            <w:r>
              <w:rPr>
                <w:rFonts w:hint="eastAsia" w:ascii="宋体" w:hAnsi="宋体"/>
                <w:b/>
                <w:sz w:val="24"/>
                <w:szCs w:val="24"/>
              </w:rPr>
              <w:t>★</w:t>
            </w:r>
            <w:r>
              <w:rPr>
                <w:rFonts w:hint="eastAsia" w:ascii="宋体" w:hAnsi="宋体" w:eastAsia="宋体" w:cs="宋体"/>
                <w:color w:val="000000" w:themeColor="text1"/>
                <w:kern w:val="0"/>
                <w:szCs w:val="21"/>
                <w:lang w:eastAsia="zh-CN"/>
                <w14:textFill>
                  <w14:solidFill>
                    <w14:schemeClr w14:val="tx1"/>
                  </w14:solidFill>
                </w14:textFill>
              </w:rPr>
              <w:t>技术参数</w:t>
            </w:r>
            <w:r>
              <w:rPr>
                <w:rFonts w:hint="eastAsia" w:ascii="宋体" w:hAnsi="宋体" w:eastAsia="宋体" w:cs="宋体"/>
                <w:color w:val="000000" w:themeColor="text1"/>
                <w:kern w:val="0"/>
                <w:szCs w:val="21"/>
                <w14:textFill>
                  <w14:solidFill>
                    <w14:schemeClr w14:val="tx1"/>
                  </w14:solidFill>
                </w14:textFill>
              </w:rPr>
              <w:t>不满足</w:t>
            </w:r>
            <w:r>
              <w:rPr>
                <w:rFonts w:hint="eastAsia" w:ascii="宋体" w:hAnsi="宋体" w:eastAsia="宋体" w:cs="宋体"/>
                <w:color w:val="000000" w:themeColor="text1"/>
                <w:kern w:val="0"/>
                <w:szCs w:val="21"/>
                <w:lang w:eastAsia="zh-CN"/>
                <w14:textFill>
                  <w14:solidFill>
                    <w14:schemeClr w14:val="tx1"/>
                  </w14:solidFill>
                </w14:textFill>
              </w:rPr>
              <w:t>招标文件要求</w:t>
            </w:r>
            <w:r>
              <w:rPr>
                <w:rFonts w:hint="eastAsia" w:ascii="宋体" w:hAnsi="宋体" w:eastAsia="宋体" w:cs="宋体"/>
                <w:color w:val="000000" w:themeColor="text1"/>
                <w:kern w:val="0"/>
                <w:szCs w:val="21"/>
                <w14:textFill>
                  <w14:solidFill>
                    <w14:schemeClr w14:val="tx1"/>
                  </w14:solidFill>
                </w14:textFill>
              </w:rPr>
              <w:t>在</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分的基础上扣除</w:t>
            </w:r>
            <w:r>
              <w:rPr>
                <w:rFonts w:hint="eastAsia" w:ascii="宋体" w:hAnsi="宋体" w:eastAsia="宋体" w:cs="宋体"/>
                <w:color w:val="000000" w:themeColor="text1"/>
                <w:kern w:val="0"/>
                <w:szCs w:val="21"/>
                <w:lang w:val="en-US" w:eastAsia="zh-CN"/>
                <w14:textFill>
                  <w14:solidFill>
                    <w14:schemeClr w14:val="tx1"/>
                  </w14:solidFill>
                </w14:textFill>
              </w:rPr>
              <w:t>0.5</w:t>
            </w:r>
            <w:r>
              <w:rPr>
                <w:rFonts w:hint="eastAsia" w:ascii="宋体" w:hAnsi="宋体" w:eastAsia="宋体" w:cs="宋体"/>
                <w:color w:val="000000" w:themeColor="text1"/>
                <w:kern w:val="0"/>
                <w:szCs w:val="21"/>
                <w14:textFill>
                  <w14:solidFill>
                    <w14:schemeClr w14:val="tx1"/>
                  </w14:solidFill>
                </w14:textFill>
              </w:rPr>
              <w:t>分</w:t>
            </w:r>
            <w:r>
              <w:rPr>
                <w:rFonts w:hint="eastAsia" w:ascii="宋体" w:hAnsi="宋体" w:eastAsia="宋体" w:cs="宋体"/>
                <w:color w:val="000000" w:themeColor="text1"/>
                <w:kern w:val="0"/>
                <w:szCs w:val="21"/>
                <w:lang w:eastAsia="zh-CN"/>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扣完为止</w:t>
            </w:r>
            <w:r>
              <w:rPr>
                <w:rFonts w:hint="eastAsia" w:ascii="宋体" w:hAnsi="宋体" w:eastAsia="宋体" w:cs="宋体"/>
                <w:color w:val="000000" w:themeColor="text1"/>
                <w:kern w:val="0"/>
                <w:szCs w:val="21"/>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85"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center"/>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技术性能综合评价</w:t>
            </w:r>
          </w:p>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jc w:val="left"/>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由评委根据投标产品的综合技术性能、先进性、实用性、技术参数符合性及性价比等进行打分：综合技术性能好、先进性好、实用性好、技术参数符合性及性价比高的得</w:t>
            </w:r>
            <w:r>
              <w:rPr>
                <w:rFonts w:hint="eastAsia" w:ascii="宋体" w:hAnsi="宋体" w:eastAsia="宋体" w:cs="宋体"/>
                <w:color w:val="000000" w:themeColor="text1"/>
                <w:kern w:val="0"/>
                <w:szCs w:val="21"/>
                <w:lang w:val="en-US" w:eastAsia="zh-CN"/>
                <w14:textFill>
                  <w14:solidFill>
                    <w14:schemeClr w14:val="tx1"/>
                  </w14:solidFill>
                </w14:textFill>
              </w:rPr>
              <w:t>4</w:t>
            </w:r>
            <w:r>
              <w:rPr>
                <w:rFonts w:hint="eastAsia" w:ascii="宋体" w:hAnsi="宋体" w:eastAsia="宋体" w:cs="宋体"/>
                <w:color w:val="000000" w:themeColor="text1"/>
                <w:kern w:val="0"/>
                <w:szCs w:val="21"/>
                <w14:textFill>
                  <w14:solidFill>
                    <w14:schemeClr w14:val="tx1"/>
                  </w14:solidFill>
                </w14:textFill>
              </w:rPr>
              <w:t>分；综合技术性能较好、先进性较好、实用性较好、技术参数符合性及性价比较高的得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分；综合技术性能、先进性、实用性、技术参数符合性及性价比一般的得</w:t>
            </w:r>
            <w:r>
              <w:rPr>
                <w:rFonts w:hint="eastAsia" w:ascii="宋体" w:hAnsi="宋体" w:eastAsia="宋体" w:cs="宋体"/>
                <w:color w:val="000000" w:themeColor="text1"/>
                <w:kern w:val="0"/>
                <w:szCs w:val="21"/>
                <w:lang w:val="en-US" w:eastAsia="zh-CN"/>
                <w14:textFill>
                  <w14:solidFill>
                    <w14:schemeClr w14:val="tx1"/>
                  </w14:solidFill>
                </w14:textFill>
              </w:rPr>
              <w:t>2</w:t>
            </w:r>
            <w:r>
              <w:rPr>
                <w:rFonts w:hint="eastAsia" w:ascii="宋体" w:hAnsi="宋体" w:eastAsia="宋体" w:cs="宋体"/>
                <w:color w:val="000000" w:themeColor="text1"/>
                <w:kern w:val="0"/>
                <w:szCs w:val="21"/>
                <w14:textFill>
                  <w14:solidFill>
                    <w14:schemeClr w14:val="tx1"/>
                  </w14:solidFill>
                </w14:textFill>
              </w:rPr>
              <w:t>分；未提供方案的不得分。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restart"/>
            <w:tcBorders>
              <w:top w:val="single" w:color="auto" w:sz="4" w:space="0"/>
              <w:left w:val="single" w:color="auto" w:sz="4" w:space="0"/>
              <w:right w:val="single" w:color="auto" w:sz="4" w:space="0"/>
            </w:tcBorders>
            <w:vAlign w:val="center"/>
          </w:tcPr>
          <w:p>
            <w:pPr>
              <w:widowControl/>
              <w:jc w:val="center"/>
              <w:rPr>
                <w:rFonts w:hint="default"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cs="宋体"/>
                <w:color w:val="000000" w:themeColor="text1"/>
                <w:kern w:val="0"/>
                <w:szCs w:val="21"/>
                <w:lang w:val="en-US" w:eastAsia="zh-CN"/>
                <w14:textFill>
                  <w14:solidFill>
                    <w14:schemeClr w14:val="tx1"/>
                  </w14:solidFill>
                </w14:textFill>
              </w:rPr>
              <w:t>商务部分</w:t>
            </w:r>
          </w:p>
          <w:p>
            <w:pPr>
              <w:pStyle w:val="7"/>
              <w:ind w:left="0" w:leftChars="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000000" w:themeColor="text1"/>
                <w:sz w:val="21"/>
                <w:szCs w:val="21"/>
                <w:lang w:val="en-US" w:eastAsia="zh-CN"/>
                <w14:textFill>
                  <w14:solidFill>
                    <w14:schemeClr w14:val="tx1"/>
                  </w14:solidFill>
                </w14:textFill>
              </w:rPr>
              <w:t>18</w:t>
            </w:r>
            <w:r>
              <w:rPr>
                <w:rFonts w:hint="eastAsia" w:ascii="宋体" w:hAnsi="宋体" w:eastAsia="宋体" w:cs="宋体"/>
                <w:color w:val="000000" w:themeColor="text1"/>
                <w:sz w:val="21"/>
                <w:szCs w:val="21"/>
                <w14:textFill>
                  <w14:solidFill>
                    <w14:schemeClr w14:val="tx1"/>
                  </w14:solidFill>
                </w14:textFill>
              </w:rPr>
              <w:t>分）</w:t>
            </w:r>
          </w:p>
        </w:tc>
        <w:tc>
          <w:tcPr>
            <w:tcW w:w="1832" w:type="dxa"/>
            <w:tcBorders>
              <w:top w:val="single" w:color="auto" w:sz="4" w:space="0"/>
              <w:left w:val="single" w:color="auto" w:sz="4" w:space="0"/>
              <w:bottom w:val="single" w:color="auto" w:sz="4" w:space="0"/>
              <w:right w:val="single" w:color="auto" w:sz="4" w:space="0"/>
            </w:tcBorders>
            <w:vAlign w:val="center"/>
          </w:tcPr>
          <w:p>
            <w:pPr>
              <w:widowControl/>
              <w:wordWrap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类似业绩</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lang w:eastAsia="zh-CN"/>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供应商或制造商20</w:t>
            </w:r>
            <w:r>
              <w:rPr>
                <w:rFonts w:hint="eastAsia" w:ascii="宋体" w:hAnsi="宋体" w:eastAsia="宋体" w:cs="宋体"/>
                <w:color w:val="000000" w:themeColor="text1"/>
                <w:kern w:val="0"/>
                <w:szCs w:val="21"/>
                <w:lang w:val="en-US" w:eastAsia="zh-CN"/>
                <w14:textFill>
                  <w14:solidFill>
                    <w14:schemeClr w14:val="tx1"/>
                  </w14:solidFill>
                </w14:textFill>
              </w:rPr>
              <w:t>20</w:t>
            </w:r>
            <w:r>
              <w:rPr>
                <w:rFonts w:hint="eastAsia" w:ascii="宋体" w:hAnsi="宋体" w:eastAsia="宋体" w:cs="宋体"/>
                <w:color w:val="000000" w:themeColor="text1"/>
                <w:kern w:val="0"/>
                <w:szCs w:val="21"/>
                <w14:textFill>
                  <w14:solidFill>
                    <w14:schemeClr w14:val="tx1"/>
                  </w14:solidFill>
                </w14:textFill>
              </w:rPr>
              <w:t>年1月1日（以合同签订时间为准）以来的同类设备销售业绩（以销售合同为准，且合同中必须显示合同价）每提供1份得</w:t>
            </w:r>
            <w:r>
              <w:rPr>
                <w:rFonts w:hint="eastAsia" w:ascii="宋体" w:hAnsi="宋体" w:eastAsia="宋体" w:cs="宋体"/>
                <w:color w:val="000000" w:themeColor="text1"/>
                <w:kern w:val="0"/>
                <w:szCs w:val="21"/>
                <w:lang w:val="en-US" w:eastAsia="zh-CN"/>
                <w14:textFill>
                  <w14:solidFill>
                    <w14:schemeClr w14:val="tx1"/>
                  </w14:solidFill>
                </w14:textFill>
              </w:rPr>
              <w:t>1</w:t>
            </w:r>
            <w:r>
              <w:rPr>
                <w:rFonts w:hint="eastAsia" w:ascii="宋体" w:hAnsi="宋体" w:eastAsia="宋体" w:cs="宋体"/>
                <w:color w:val="000000" w:themeColor="text1"/>
                <w:kern w:val="0"/>
                <w:szCs w:val="21"/>
                <w14:textFill>
                  <w14:solidFill>
                    <w14:schemeClr w14:val="tx1"/>
                  </w14:solidFill>
                </w14:textFill>
              </w:rPr>
              <w:t>分，最多得</w:t>
            </w:r>
            <w:r>
              <w:rPr>
                <w:rFonts w:hint="eastAsia" w:ascii="宋体" w:hAnsi="宋体" w:eastAsia="宋体" w:cs="宋体"/>
                <w:color w:val="000000" w:themeColor="text1"/>
                <w:kern w:val="0"/>
                <w:szCs w:val="21"/>
                <w:lang w:val="en-US" w:eastAsia="zh-CN"/>
                <w14:textFill>
                  <w14:solidFill>
                    <w14:schemeClr w14:val="tx1"/>
                  </w14:solidFill>
                </w14:textFill>
              </w:rPr>
              <w:t>3</w:t>
            </w:r>
            <w:r>
              <w:rPr>
                <w:rFonts w:hint="eastAsia" w:ascii="宋体" w:hAnsi="宋体" w:eastAsia="宋体" w:cs="宋体"/>
                <w:color w:val="000000" w:themeColor="text1"/>
                <w:kern w:val="0"/>
                <w:szCs w:val="21"/>
                <w14:textFill>
                  <w14:solidFill>
                    <w14:schemeClr w14:val="tx1"/>
                  </w14:solidFill>
                </w14:textFill>
              </w:rPr>
              <w:t>分，未提供合同不得分。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185" w:type="dxa"/>
            <w:vMerge w:val="continue"/>
            <w:tcBorders>
              <w:left w:val="single" w:color="auto" w:sz="4" w:space="0"/>
              <w:bottom w:val="single" w:color="auto" w:sz="4" w:space="0"/>
              <w:right w:val="single" w:color="auto" w:sz="4" w:space="0"/>
            </w:tcBorders>
            <w:vAlign w:val="center"/>
          </w:tcPr>
          <w:p>
            <w:pPr>
              <w:pStyle w:val="7"/>
              <w:ind w:left="0" w:leftChars="0"/>
              <w:jc w:val="center"/>
              <w:rPr>
                <w:rFonts w:hint="eastAsia" w:ascii="宋体" w:hAnsi="宋体" w:eastAsia="宋体" w:cs="宋体"/>
                <w:color w:val="000000" w:themeColor="text1"/>
                <w:kern w:val="0"/>
                <w:szCs w:val="21"/>
                <w14:textFill>
                  <w14:solidFill>
                    <w14:schemeClr w14:val="tx1"/>
                  </w14:solidFill>
                </w14:textFill>
              </w:rPr>
            </w:pPr>
          </w:p>
        </w:tc>
        <w:tc>
          <w:tcPr>
            <w:tcW w:w="1832"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lang w:val="en-US" w:eastAsia="zh-CN"/>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供货、安装、调试方案</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lang w:val="en-US" w:eastAsia="zh-CN"/>
                <w14:textFill>
                  <w14:solidFill>
                    <w14:schemeClr w14:val="tx1"/>
                  </w14:solidFill>
                </w14:textFill>
              </w:rPr>
              <w:t>（7分）</w:t>
            </w:r>
          </w:p>
        </w:tc>
        <w:tc>
          <w:tcPr>
            <w:tcW w:w="631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供货、安装、运输方案包含供货计划、货物密封方式、运输方式、保险、验收程序和方法、人员安排计划、安装调试流程、时间安排方案等。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①全面、合理、措施有保障，完全满足招标要求的，得7分。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lang w:val="en-US" w:eastAsia="zh-CN"/>
              </w:rPr>
              <w:t>②供货、运输方案有一定瑕疵，但基本满足招标要求的，</w:t>
            </w:r>
            <w:r>
              <w:rPr>
                <w:rFonts w:hint="eastAsia" w:ascii="宋体" w:hAnsi="宋体" w:eastAsia="宋体" w:cs="宋体"/>
              </w:rPr>
              <w:t>得</w:t>
            </w:r>
            <w:r>
              <w:rPr>
                <w:rFonts w:hint="eastAsia" w:ascii="宋体" w:hAnsi="宋体" w:eastAsia="宋体" w:cs="宋体"/>
                <w:lang w:val="en-US" w:eastAsia="zh-CN"/>
              </w:rPr>
              <w:t>4</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eastAsia="zh-CN"/>
              </w:rPr>
            </w:pPr>
            <w:r>
              <w:rPr>
                <w:rFonts w:hint="eastAsia" w:ascii="宋体" w:hAnsi="宋体" w:eastAsia="宋体" w:cs="宋体"/>
              </w:rPr>
              <w:t>③供货、运输方案较差的，得</w:t>
            </w:r>
            <w:r>
              <w:rPr>
                <w:rFonts w:hint="eastAsia" w:ascii="宋体" w:hAnsi="宋体" w:eastAsia="宋体" w:cs="宋体"/>
                <w:lang w:val="en-US" w:eastAsia="zh-CN"/>
              </w:rPr>
              <w:t>1</w:t>
            </w:r>
            <w:r>
              <w:rPr>
                <w:rFonts w:hint="eastAsia" w:ascii="宋体" w:hAnsi="宋体" w:eastAsia="宋体" w:cs="宋体"/>
              </w:rPr>
              <w:t>分</w:t>
            </w:r>
            <w:r>
              <w:rPr>
                <w:rFonts w:hint="eastAsia" w:ascii="宋体" w:hAnsi="宋体" w:eastAsia="宋体" w:cs="宋体"/>
                <w:lang w:eastAsia="zh-CN"/>
              </w:rPr>
              <w:t>。</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Cs w:val="21"/>
                <w14:textFill>
                  <w14:solidFill>
                    <w14:schemeClr w14:val="tx1"/>
                  </w14:solidFill>
                </w14:textFill>
              </w:rPr>
            </w:pPr>
            <w:r>
              <w:rPr>
                <w:rFonts w:hint="eastAsia" w:ascii="宋体" w:hAnsi="宋体" w:eastAsia="宋体" w:cs="宋体"/>
                <w:lang w:eastAsia="zh-CN"/>
              </w:rPr>
              <w:t>没有供货、运输方案的不得分。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1185" w:type="dxa"/>
            <w:vMerge w:val="continue"/>
            <w:vAlign w:val="center"/>
          </w:tcPr>
          <w:p>
            <w:pPr>
              <w:widowControl/>
              <w:jc w:val="left"/>
              <w:rPr>
                <w:rFonts w:hint="eastAsia" w:ascii="宋体" w:hAnsi="宋体" w:eastAsia="宋体" w:cs="宋体"/>
                <w:color w:val="000000" w:themeColor="text1"/>
                <w:sz w:val="21"/>
                <w:szCs w:val="21"/>
                <w14:textFill>
                  <w14:solidFill>
                    <w14:schemeClr w14:val="tx1"/>
                  </w14:solidFill>
                </w14:textFill>
              </w:rPr>
            </w:pPr>
          </w:p>
        </w:tc>
        <w:tc>
          <w:tcPr>
            <w:tcW w:w="1832"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lang w:eastAsia="zh-CN"/>
              </w:rPr>
            </w:pPr>
            <w:r>
              <w:rPr>
                <w:rFonts w:hint="eastAsia" w:ascii="宋体" w:hAnsi="宋体" w:eastAsia="宋体" w:cs="宋体"/>
                <w:color w:val="000000" w:themeColor="text1"/>
                <w:kern w:val="0"/>
                <w:szCs w:val="21"/>
                <w14:textFill>
                  <w14:solidFill>
                    <w14:schemeClr w14:val="tx1"/>
                  </w14:solidFill>
                </w14:textFill>
              </w:rPr>
              <w:t>售后服务方案</w:t>
            </w:r>
          </w:p>
          <w:p>
            <w:pPr>
              <w:keepNext w:val="0"/>
              <w:keepLines w:val="0"/>
              <w:pageBreakBefore w:val="0"/>
              <w:widowControl/>
              <w:kinsoku/>
              <w:wordWrap/>
              <w:overflowPunct/>
              <w:topLinePunct w:val="0"/>
              <w:autoSpaceDE/>
              <w:autoSpaceDN/>
              <w:bidi w:val="0"/>
              <w:adjustRightInd/>
              <w:snapToGrid/>
              <w:spacing w:line="240" w:lineRule="auto"/>
              <w:ind w:firstLine="210" w:firstLineChars="100"/>
              <w:jc w:val="center"/>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lang w:val="en-US" w:eastAsia="zh-CN"/>
                <w14:textFill>
                  <w14:solidFill>
                    <w14:schemeClr w14:val="tx1"/>
                  </w14:solidFill>
                </w14:textFill>
              </w:rPr>
              <w:t>8</w:t>
            </w:r>
            <w:r>
              <w:rPr>
                <w:rFonts w:hint="eastAsia" w:ascii="宋体" w:hAnsi="宋体" w:eastAsia="宋体" w:cs="宋体"/>
                <w:color w:val="000000" w:themeColor="text1"/>
                <w:kern w:val="0"/>
                <w:szCs w:val="21"/>
                <w14:textFill>
                  <w14:solidFill>
                    <w14:schemeClr w14:val="tx1"/>
                  </w14:solidFill>
                </w14:textFill>
              </w:rPr>
              <w:t>分）</w:t>
            </w:r>
          </w:p>
        </w:tc>
        <w:tc>
          <w:tcPr>
            <w:tcW w:w="6317" w:type="dxa"/>
            <w:vAlign w:val="center"/>
          </w:tcPr>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供应商提供合理、完整、可行的售后服务方案，明确售后响应流程、问题反馈、答疑时效、服务方式、服务地点、企业提供本地化服务的措施、售后人员数量、经验、紧急故障解决方式等。</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①售后服务方案完善、售后服务体系健全，售后人员的配备合理能满足项目实际需求、紧急故障处理预案针对性强得8分；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②售后服务方案较为具体、售后服务体系具备，售后人员的配备基本能满足项目需求、紧急故障处理预案、故障响应时间较为合理得5分；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lang w:val="en-US" w:eastAsia="zh-CN"/>
              </w:rPr>
            </w:pPr>
            <w:r>
              <w:rPr>
                <w:rFonts w:hint="eastAsia" w:ascii="宋体" w:hAnsi="宋体" w:eastAsia="宋体" w:cs="宋体"/>
                <w:lang w:val="en-US" w:eastAsia="zh-CN"/>
              </w:rPr>
              <w:t>③售后服务方案缺项较多、内容较少、服务内容模糊、售后服务承诺、方案措施等粗略得2分；</w:t>
            </w:r>
          </w:p>
          <w:p>
            <w:pPr>
              <w:keepNext w:val="0"/>
              <w:keepLines w:val="0"/>
              <w:pageBreakBefore w:val="0"/>
              <w:kinsoku/>
              <w:wordWrap/>
              <w:overflowPunct/>
              <w:topLinePunct w:val="0"/>
              <w:autoSpaceDE/>
              <w:autoSpaceDN/>
              <w:bidi w:val="0"/>
              <w:adjustRightInd/>
              <w:snapToGrid/>
              <w:spacing w:line="240" w:lineRule="auto"/>
              <w:textAlignment w:val="auto"/>
              <w:rPr>
                <w:rFonts w:hint="eastAsia" w:ascii="宋体" w:hAnsi="宋体" w:eastAsia="宋体" w:cs="宋体"/>
                <w:color w:val="000000" w:themeColor="text1"/>
                <w:kern w:val="0"/>
                <w:sz w:val="21"/>
                <w:szCs w:val="21"/>
                <w:lang w:val="en-US" w:eastAsia="zh-CN" w:bidi="ar-SA"/>
                <w14:textFill>
                  <w14:solidFill>
                    <w14:schemeClr w14:val="tx1"/>
                  </w14:solidFill>
                </w14:textFill>
              </w:rPr>
            </w:pPr>
            <w:r>
              <w:rPr>
                <w:rFonts w:hint="eastAsia" w:ascii="宋体" w:hAnsi="宋体" w:eastAsia="宋体" w:cs="宋体"/>
                <w:lang w:val="en-US" w:eastAsia="zh-CN"/>
              </w:rPr>
              <w:t>本项缺项得0分。</w:t>
            </w:r>
          </w:p>
        </w:tc>
      </w:tr>
    </w:tbl>
    <w:p>
      <w:pPr>
        <w:rPr>
          <w:rFonts w:ascii="宋体" w:hAnsi="宋体"/>
          <w:color w:val="000000" w:themeColor="text1"/>
          <w:sz w:val="24"/>
          <w:szCs w:val="24"/>
          <w14:textFill>
            <w14:solidFill>
              <w14:schemeClr w14:val="tx1"/>
            </w14:solidFill>
          </w14:textFill>
        </w:rPr>
      </w:pP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评分和计算结果均保留小数点后2位（采用四舍五入法）。</w:t>
      </w:r>
      <w:bookmarkEnd w:id="177"/>
      <w:bookmarkEnd w:id="178"/>
      <w:bookmarkEnd w:id="179"/>
      <w:bookmarkEnd w:id="180"/>
      <w:bookmarkEnd w:id="181"/>
      <w:r>
        <w:rPr>
          <w:rFonts w:hint="eastAsia" w:ascii="宋体" w:hAnsi="宋体" w:cs="宋体"/>
          <w:color w:val="000000" w:themeColor="text1"/>
          <w:sz w:val="21"/>
          <w:szCs w:val="21"/>
          <w14:textFill>
            <w14:solidFill>
              <w14:schemeClr w14:val="tx1"/>
            </w14:solidFill>
          </w14:textFill>
        </w:rPr>
        <w:t xml:space="preserve"> </w:t>
      </w:r>
    </w:p>
    <w:p>
      <w:pPr>
        <w:pStyle w:val="39"/>
        <w:numPr>
          <w:ilvl w:val="0"/>
          <w:numId w:val="4"/>
        </w:numPr>
        <w:kinsoku w:val="0"/>
        <w:overflowPunct w:val="0"/>
        <w:spacing w:before="3" w:line="324" w:lineRule="auto"/>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评标委员会按各供应商最终评标得分从高到低的顺序向采购人推荐</w:t>
      </w:r>
      <w:r>
        <w:rPr>
          <w:rFonts w:hint="eastAsia" w:ascii="宋体" w:hAnsi="宋体" w:cs="宋体"/>
          <w:b/>
          <w:bCs/>
          <w:color w:val="000000" w:themeColor="text1"/>
          <w:sz w:val="21"/>
          <w:szCs w:val="21"/>
          <w14:textFill>
            <w14:solidFill>
              <w14:schemeClr w14:val="tx1"/>
            </w14:solidFill>
          </w14:textFill>
        </w:rPr>
        <w:t>3</w:t>
      </w:r>
      <w:r>
        <w:rPr>
          <w:rFonts w:hint="eastAsia" w:ascii="宋体" w:hAnsi="宋体" w:cs="宋体"/>
          <w:color w:val="000000" w:themeColor="text1"/>
          <w:sz w:val="21"/>
          <w:szCs w:val="21"/>
          <w14:textFill>
            <w14:solidFill>
              <w14:schemeClr w14:val="tx1"/>
            </w14:solidFill>
          </w14:textFill>
        </w:rPr>
        <w:t>名中</w:t>
      </w:r>
      <w:r>
        <w:rPr>
          <w:rFonts w:hint="eastAsia" w:ascii="宋体" w:hAnsi="宋体" w:cs="宋体"/>
          <w:color w:val="000000" w:themeColor="text1"/>
          <w:spacing w:val="-3"/>
          <w:sz w:val="21"/>
          <w:szCs w:val="21"/>
          <w14:textFill>
            <w14:solidFill>
              <w14:schemeClr w14:val="tx1"/>
            </w14:solidFill>
          </w14:textFill>
        </w:rPr>
        <w:t>标候选人。</w:t>
      </w:r>
      <w:r>
        <w:rPr>
          <w:rFonts w:hint="eastAsia" w:ascii="宋体" w:hAnsi="宋体" w:cs="宋体"/>
          <w:color w:val="000000" w:themeColor="text1"/>
          <w:sz w:val="21"/>
          <w:szCs w:val="21"/>
          <w14:textFill>
            <w14:solidFill>
              <w14:schemeClr w14:val="tx1"/>
            </w14:solidFill>
          </w14:textFill>
        </w:rPr>
        <w:t xml:space="preserve"> </w:t>
      </w:r>
    </w:p>
    <w:p>
      <w:pPr>
        <w:rPr>
          <w:rFonts w:hint="eastAsia" w:ascii="宋体" w:hAnsi="宋体" w:eastAsia="宋体" w:cs="宋体"/>
          <w:b/>
          <w:bCs/>
          <w:color w:val="000000" w:themeColor="text1"/>
          <w:spacing w:val="2"/>
          <w:kern w:val="0"/>
          <w:sz w:val="32"/>
          <w:szCs w:val="32"/>
          <w14:textFill>
            <w14:solidFill>
              <w14:schemeClr w14:val="tx1"/>
            </w14:solidFill>
          </w14:textFill>
        </w:rPr>
      </w:pPr>
      <w:bookmarkStart w:id="182" w:name="_Toc6545"/>
      <w:bookmarkStart w:id="183" w:name="_Toc5284"/>
      <w:bookmarkStart w:id="184" w:name="_Toc657"/>
      <w:r>
        <w:rPr>
          <w:rFonts w:hint="eastAsia" w:ascii="宋体" w:hAnsi="宋体" w:eastAsia="宋体" w:cs="宋体"/>
          <w:b/>
          <w:bCs/>
          <w:color w:val="000000" w:themeColor="text1"/>
          <w:spacing w:val="2"/>
          <w:kern w:val="0"/>
          <w:sz w:val="32"/>
          <w:szCs w:val="32"/>
          <w14:textFill>
            <w14:solidFill>
              <w14:schemeClr w14:val="tx1"/>
            </w14:solidFill>
          </w14:textFill>
        </w:rPr>
        <w:br w:type="page"/>
      </w:r>
    </w:p>
    <w:p>
      <w:pPr>
        <w:kinsoku w:val="0"/>
        <w:overflowPunct w:val="0"/>
        <w:autoSpaceDE w:val="0"/>
        <w:autoSpaceDN w:val="0"/>
        <w:adjustRightInd w:val="0"/>
        <w:ind w:left="1287" w:right="1420"/>
        <w:jc w:val="center"/>
        <w:outlineLvl w:val="0"/>
        <w:rPr>
          <w:rFonts w:ascii="宋体" w:hAnsi="宋体" w:eastAsia="宋体" w:cs="宋体"/>
          <w:color w:val="000000" w:themeColor="text1"/>
          <w:kern w:val="0"/>
          <w:sz w:val="32"/>
          <w:szCs w:val="32"/>
          <w14:textFill>
            <w14:solidFill>
              <w14:schemeClr w14:val="tx1"/>
            </w14:solidFill>
          </w14:textFill>
        </w:rPr>
      </w:pPr>
      <w:r>
        <w:rPr>
          <w:rFonts w:hint="eastAsia" w:ascii="宋体" w:hAnsi="宋体" w:eastAsia="宋体" w:cs="宋体"/>
          <w:b/>
          <w:bCs/>
          <w:color w:val="000000" w:themeColor="text1"/>
          <w:spacing w:val="2"/>
          <w:kern w:val="0"/>
          <w:sz w:val="32"/>
          <w:szCs w:val="32"/>
          <w14:textFill>
            <w14:solidFill>
              <w14:schemeClr w14:val="tx1"/>
            </w14:solidFill>
          </w14:textFill>
        </w:rPr>
        <w:t>第四章</w:t>
      </w:r>
      <w:r>
        <w:rPr>
          <w:rFonts w:hint="eastAsia" w:ascii="宋体" w:hAnsi="宋体" w:eastAsia="宋体" w:cs="宋体"/>
          <w:b/>
          <w:bCs/>
          <w:color w:val="000000" w:themeColor="text1"/>
          <w:spacing w:val="2"/>
          <w:kern w:val="0"/>
          <w:sz w:val="32"/>
          <w:szCs w:val="32"/>
          <w:lang w:val="en-US" w:eastAsia="zh-CN"/>
          <w14:textFill>
            <w14:solidFill>
              <w14:schemeClr w14:val="tx1"/>
            </w14:solidFill>
          </w14:textFill>
        </w:rPr>
        <w:t xml:space="preserve"> </w:t>
      </w:r>
      <w:r>
        <w:rPr>
          <w:rFonts w:hint="eastAsia" w:ascii="宋体" w:hAnsi="宋体" w:eastAsia="宋体" w:cs="宋体"/>
          <w:b/>
          <w:bCs/>
          <w:color w:val="000000" w:themeColor="text1"/>
          <w:kern w:val="0"/>
          <w:sz w:val="32"/>
          <w:szCs w:val="32"/>
          <w14:textFill>
            <w14:solidFill>
              <w14:schemeClr w14:val="tx1"/>
            </w14:solidFill>
          </w14:textFill>
        </w:rPr>
        <w:t>合同条款</w:t>
      </w:r>
      <w:bookmarkEnd w:id="182"/>
      <w:bookmarkEnd w:id="183"/>
      <w:bookmarkEnd w:id="184"/>
      <w:r>
        <w:rPr>
          <w:rFonts w:hint="eastAsia" w:ascii="宋体" w:hAnsi="宋体" w:eastAsia="宋体" w:cs="宋体"/>
          <w:b/>
          <w:bCs/>
          <w:color w:val="000000" w:themeColor="text1"/>
          <w:w w:val="98"/>
          <w:kern w:val="0"/>
          <w:sz w:val="32"/>
          <w:szCs w:val="32"/>
          <w14:textFill>
            <w14:solidFill>
              <w14:schemeClr w14:val="tx1"/>
            </w14:solidFill>
          </w14:textFill>
        </w:rPr>
        <w:t xml:space="preserve"> </w:t>
      </w:r>
    </w:p>
    <w:p>
      <w:pPr>
        <w:kinsoku w:val="0"/>
        <w:overflowPunct w:val="0"/>
        <w:autoSpaceDE w:val="0"/>
        <w:autoSpaceDN w:val="0"/>
        <w:adjustRightInd w:val="0"/>
        <w:spacing w:before="10"/>
        <w:jc w:val="left"/>
        <w:rPr>
          <w:rFonts w:ascii="宋体" w:hAnsi="宋体" w:eastAsia="宋体" w:cs="宋体"/>
          <w:b/>
          <w:bCs/>
          <w:color w:val="000000" w:themeColor="text1"/>
          <w:kern w:val="0"/>
          <w:sz w:val="24"/>
          <w:szCs w:val="24"/>
          <w14:textFill>
            <w14:solidFill>
              <w14:schemeClr w14:val="tx1"/>
            </w14:solidFill>
          </w14:textFill>
        </w:rPr>
      </w:pPr>
    </w:p>
    <w:p>
      <w:pPr>
        <w:autoSpaceDE w:val="0"/>
        <w:autoSpaceDN w:val="0"/>
        <w:adjustRightInd w:val="0"/>
        <w:snapToGrid w:val="0"/>
        <w:spacing w:line="360" w:lineRule="auto"/>
        <w:jc w:val="center"/>
        <w:rPr>
          <w:rFonts w:hint="eastAsia" w:ascii="宋体" w:hAnsi="宋体" w:eastAsia="宋体" w:cs="宋体"/>
          <w:b/>
          <w:bCs/>
          <w:kern w:val="0"/>
          <w:sz w:val="56"/>
          <w:szCs w:val="56"/>
          <w:lang w:eastAsia="zh-CN"/>
        </w:rPr>
      </w:pPr>
      <w:r>
        <w:rPr>
          <w:rFonts w:hint="eastAsia" w:ascii="宋体" w:hAnsi="宋体" w:eastAsia="宋体" w:cs="宋体"/>
          <w:b/>
          <w:bCs/>
          <w:kern w:val="0"/>
          <w:sz w:val="56"/>
          <w:szCs w:val="56"/>
          <w:lang w:eastAsia="zh-CN"/>
        </w:rPr>
        <w:t>郑州市第九人民医院</w:t>
      </w: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kern w:val="0"/>
          <w:sz w:val="22"/>
        </w:rPr>
      </w:pPr>
    </w:p>
    <w:p>
      <w:pPr>
        <w:autoSpaceDE w:val="0"/>
        <w:autoSpaceDN w:val="0"/>
        <w:adjustRightInd w:val="0"/>
        <w:snapToGrid w:val="0"/>
        <w:spacing w:line="360" w:lineRule="auto"/>
        <w:jc w:val="center"/>
        <w:rPr>
          <w:rFonts w:ascii="宋体" w:hAnsi="宋体" w:eastAsia="宋体" w:cs="宋体"/>
          <w:b/>
          <w:bCs/>
          <w:kern w:val="0"/>
          <w:sz w:val="56"/>
          <w:szCs w:val="56"/>
        </w:rPr>
      </w:pPr>
      <w:r>
        <w:fldChar w:fldCharType="begin"/>
      </w:r>
      <w:r>
        <w:instrText xml:space="preserve"> HYPERLINK "java:;" </w:instrText>
      </w:r>
      <w:r>
        <w:fldChar w:fldCharType="separate"/>
      </w:r>
      <w:r>
        <w:rPr>
          <w:rFonts w:hint="eastAsia" w:ascii="宋体" w:hAnsi="宋体" w:eastAsia="宋体" w:cs="宋体"/>
          <w:b/>
          <w:bCs/>
          <w:kern w:val="0"/>
          <w:sz w:val="56"/>
          <w:szCs w:val="56"/>
        </w:rPr>
        <w:t>购</w:t>
      </w:r>
      <w:r>
        <w:rPr>
          <w:rFonts w:hint="eastAsia" w:ascii="宋体" w:hAnsi="宋体" w:eastAsia="宋体" w:cs="宋体"/>
          <w:b/>
          <w:bCs/>
          <w:kern w:val="0"/>
          <w:sz w:val="56"/>
          <w:szCs w:val="56"/>
        </w:rPr>
        <w:fldChar w:fldCharType="end"/>
      </w:r>
      <w:r>
        <w:rPr>
          <w:rFonts w:hint="eastAsia" w:ascii="宋体" w:hAnsi="宋体" w:eastAsia="宋体" w:cs="宋体"/>
          <w:b/>
          <w:bCs/>
          <w:kern w:val="0"/>
          <w:sz w:val="56"/>
          <w:szCs w:val="56"/>
        </w:rPr>
        <w:t>销合同</w:t>
      </w:r>
    </w:p>
    <w:p>
      <w:pPr>
        <w:autoSpaceDE w:val="0"/>
        <w:autoSpaceDN w:val="0"/>
        <w:adjustRightInd w:val="0"/>
        <w:snapToGrid w:val="0"/>
        <w:spacing w:line="360" w:lineRule="auto"/>
        <w:jc w:val="center"/>
        <w:rPr>
          <w:rFonts w:hint="eastAsia" w:ascii="宋体" w:hAnsi="宋体" w:eastAsia="宋体" w:cs="宋体"/>
          <w:b/>
          <w:bCs/>
          <w:spacing w:val="60"/>
          <w:kern w:val="0"/>
          <w:sz w:val="72"/>
          <w:szCs w:val="72"/>
          <w:lang w:eastAsia="zh-CN"/>
        </w:rPr>
      </w:pPr>
      <w:r>
        <w:rPr>
          <w:rFonts w:hint="eastAsia" w:ascii="宋体" w:hAnsi="宋体" w:eastAsia="宋体" w:cs="宋体"/>
          <w:b/>
          <w:bCs/>
          <w:spacing w:val="60"/>
          <w:kern w:val="0"/>
          <w:sz w:val="22"/>
          <w:szCs w:val="22"/>
          <w:lang w:eastAsia="zh-CN"/>
        </w:rPr>
        <w:t>（</w:t>
      </w:r>
      <w:r>
        <w:rPr>
          <w:rFonts w:hint="eastAsia" w:ascii="宋体" w:hAnsi="宋体" w:eastAsia="宋体" w:cs="宋体"/>
          <w:b/>
          <w:bCs/>
          <w:spacing w:val="60"/>
          <w:kern w:val="0"/>
          <w:sz w:val="22"/>
          <w:szCs w:val="22"/>
          <w:lang w:val="en-US" w:eastAsia="zh-CN"/>
        </w:rPr>
        <w:t>以最终签订合同形式为准</w:t>
      </w:r>
      <w:r>
        <w:rPr>
          <w:rFonts w:hint="eastAsia" w:ascii="宋体" w:hAnsi="宋体" w:eastAsia="宋体" w:cs="宋体"/>
          <w:b/>
          <w:bCs/>
          <w:spacing w:val="60"/>
          <w:kern w:val="0"/>
          <w:sz w:val="22"/>
          <w:szCs w:val="22"/>
          <w:lang w:eastAsia="zh-CN"/>
        </w:rPr>
        <w:t>）</w:t>
      </w: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autoSpaceDE w:val="0"/>
        <w:autoSpaceDN w:val="0"/>
        <w:adjustRightInd w:val="0"/>
        <w:snapToGrid w:val="0"/>
        <w:spacing w:line="360" w:lineRule="auto"/>
        <w:jc w:val="cente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rPr>
          <w:rFonts w:ascii="宋体" w:hAnsi="宋体" w:eastAsia="宋体" w:cs="Times New Roman"/>
          <w:b/>
          <w:bCs/>
          <w:spacing w:val="60"/>
          <w:kern w:val="0"/>
          <w:sz w:val="72"/>
          <w:szCs w:val="72"/>
        </w:rPr>
      </w:pPr>
    </w:p>
    <w:p>
      <w:pPr>
        <w:pStyle w:val="16"/>
        <w:rPr>
          <w:rFonts w:ascii="宋体" w:hAnsi="宋体" w:eastAsia="宋体" w:cs="Times New Roman"/>
          <w:b/>
          <w:bCs/>
          <w:spacing w:val="60"/>
          <w:kern w:val="0"/>
          <w:sz w:val="72"/>
          <w:szCs w:val="72"/>
        </w:rPr>
      </w:pPr>
    </w:p>
    <w:p>
      <w:pPr>
        <w:pStyle w:val="16"/>
        <w:ind w:left="0" w:leftChars="0" w:firstLine="0" w:firstLineChars="0"/>
        <w:rPr>
          <w:rFonts w:ascii="宋体" w:hAnsi="宋体" w:eastAsia="宋体" w:cs="Times New Roman"/>
          <w:b/>
          <w:bCs/>
          <w:spacing w:val="60"/>
          <w:kern w:val="0"/>
          <w:sz w:val="72"/>
          <w:szCs w:val="72"/>
        </w:rPr>
      </w:pPr>
    </w:p>
    <w:p>
      <w:pPr>
        <w:rPr>
          <w:rFonts w:hint="eastAsia"/>
        </w:rPr>
      </w:pPr>
      <w:r>
        <w:rPr>
          <w:rFonts w:hint="eastAsia"/>
        </w:rPr>
        <w:br w:type="page"/>
      </w:r>
    </w:p>
    <w:p>
      <w:pPr>
        <w:widowControl/>
        <w:spacing w:before="100" w:beforeAutospacing="1" w:after="100" w:afterAutospacing="1"/>
        <w:ind w:left="360"/>
        <w:jc w:val="center"/>
        <w:rPr>
          <w:rFonts w:ascii="宋体" w:hAnsi="宋体"/>
          <w:b/>
          <w:kern w:val="0"/>
          <w:sz w:val="44"/>
          <w:szCs w:val="44"/>
        </w:rPr>
      </w:pPr>
      <w:r>
        <w:rPr>
          <w:rStyle w:val="21"/>
          <w:rFonts w:hint="eastAsia"/>
          <w:b w:val="0"/>
          <w:sz w:val="44"/>
          <w:szCs w:val="44"/>
        </w:rPr>
        <w:t>郑州市第九人民医院</w:t>
      </w:r>
      <w:r>
        <w:fldChar w:fldCharType="begin"/>
      </w:r>
      <w:r>
        <w:instrText xml:space="preserve"> HYPERLINK "java:;" \t "_self=" </w:instrText>
      </w:r>
      <w:r>
        <w:fldChar w:fldCharType="separate"/>
      </w:r>
      <w:r>
        <w:rPr>
          <w:rStyle w:val="21"/>
          <w:rFonts w:hint="eastAsia"/>
          <w:b w:val="0"/>
          <w:color w:val="333333"/>
          <w:sz w:val="44"/>
          <w:szCs w:val="44"/>
        </w:rPr>
        <w:t>医疗</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设备</w:t>
      </w:r>
      <w:r>
        <w:rPr>
          <w:rStyle w:val="21"/>
          <w:rFonts w:hint="eastAsia"/>
          <w:b w:val="0"/>
          <w:color w:val="333333"/>
          <w:sz w:val="44"/>
          <w:szCs w:val="44"/>
        </w:rPr>
        <w:fldChar w:fldCharType="end"/>
      </w:r>
      <w:r>
        <w:fldChar w:fldCharType="begin"/>
      </w:r>
      <w:r>
        <w:instrText xml:space="preserve"> HYPERLINK "java:;" \t "_self=" </w:instrText>
      </w:r>
      <w:r>
        <w:fldChar w:fldCharType="separate"/>
      </w:r>
      <w:r>
        <w:rPr>
          <w:rStyle w:val="21"/>
          <w:rFonts w:hint="eastAsia"/>
          <w:b w:val="0"/>
          <w:color w:val="333333"/>
          <w:sz w:val="44"/>
          <w:szCs w:val="44"/>
        </w:rPr>
        <w:t>购销合同</w:t>
      </w:r>
      <w:r>
        <w:rPr>
          <w:rStyle w:val="21"/>
          <w:rFonts w:hint="eastAsia"/>
          <w:b w:val="0"/>
          <w:color w:val="333333"/>
          <w:sz w:val="44"/>
          <w:szCs w:val="44"/>
        </w:rPr>
        <w:fldChar w:fldCharType="end"/>
      </w:r>
    </w:p>
    <w:p>
      <w:pPr>
        <w:widowControl/>
        <w:spacing w:before="100" w:beforeAutospacing="1" w:after="100" w:afterAutospacing="1"/>
        <w:ind w:left="6264" w:hanging="6264" w:hangingChars="2600"/>
        <w:rPr>
          <w:b/>
          <w:sz w:val="24"/>
        </w:rPr>
      </w:pPr>
      <w:r>
        <w:rPr>
          <w:rFonts w:hint="eastAsia"/>
          <w:b/>
          <w:sz w:val="24"/>
        </w:rPr>
        <w:t>采购方：（甲方）郑州市第九人民医院   供货方：（乙方）</w:t>
      </w:r>
      <w:r>
        <w:rPr>
          <w:rFonts w:hint="eastAsia"/>
          <w:sz w:val="24"/>
        </w:rPr>
        <w:t xml:space="preserve"> </w:t>
      </w:r>
    </w:p>
    <w:p>
      <w:pPr>
        <w:spacing w:line="360" w:lineRule="auto"/>
        <w:ind w:left="4961" w:hanging="4960" w:hangingChars="2067"/>
        <w:rPr>
          <w:rFonts w:ascii="宋体" w:hAnsi="宋体"/>
          <w:sz w:val="24"/>
        </w:rPr>
      </w:pPr>
      <w:r>
        <w:rPr>
          <w:sz w:val="24"/>
        </w:rPr>
        <w:t>地址：</w:t>
      </w:r>
      <w:r>
        <w:rPr>
          <w:rFonts w:hint="eastAsia"/>
          <w:sz w:val="24"/>
        </w:rPr>
        <w:t>郑州市沙口路25号                  地址：</w:t>
      </w:r>
    </w:p>
    <w:p>
      <w:pPr>
        <w:spacing w:line="360" w:lineRule="auto"/>
        <w:rPr>
          <w:rFonts w:ascii="宋体" w:hAnsi="宋体"/>
          <w:sz w:val="24"/>
        </w:rPr>
      </w:pPr>
      <w:r>
        <w:rPr>
          <w:rFonts w:hint="eastAsia" w:ascii="宋体" w:hAnsi="宋体"/>
          <w:sz w:val="24"/>
        </w:rPr>
        <w:t>联系电话：                      联系电话：</w:t>
      </w:r>
    </w:p>
    <w:p>
      <w:pPr>
        <w:spacing w:line="360" w:lineRule="auto"/>
        <w:ind w:firstLine="420" w:firstLineChars="200"/>
        <w:rPr>
          <w:rFonts w:ascii="宋体" w:hAnsi="宋体"/>
          <w:sz w:val="24"/>
        </w:rPr>
      </w:pPr>
      <w:r>
        <w:rPr>
          <w:rFonts w:hint="eastAsia"/>
        </w:rPr>
        <w:t>根据《民法典》以及相关</w:t>
      </w:r>
      <w:r>
        <w:fldChar w:fldCharType="begin"/>
      </w:r>
      <w:r>
        <w:instrText xml:space="preserve"> HYPERLINK "java:;" \t "_self=" </w:instrText>
      </w:r>
      <w:r>
        <w:fldChar w:fldCharType="separate"/>
      </w:r>
      <w:r>
        <w:rPr>
          <w:rStyle w:val="21"/>
          <w:rFonts w:hint="eastAsia"/>
          <w:color w:val="333333"/>
          <w:u w:val="single"/>
        </w:rPr>
        <w:t>法律</w:t>
      </w:r>
      <w:r>
        <w:rPr>
          <w:rStyle w:val="21"/>
          <w:rFonts w:hint="eastAsia"/>
          <w:color w:val="333333"/>
          <w:u w:val="single"/>
        </w:rPr>
        <w:fldChar w:fldCharType="end"/>
      </w:r>
      <w:r>
        <w:rPr>
          <w:rFonts w:hint="eastAsia"/>
        </w:rPr>
        <w:t>法规的规定，经甲、乙双方协商，就甲方采购乙方医疗设备事宜，双方自愿签订如下</w:t>
      </w:r>
      <w:r>
        <w:rPr>
          <w:rStyle w:val="21"/>
          <w:rFonts w:hint="eastAsia"/>
          <w:color w:val="333333"/>
          <w:u w:val="single"/>
        </w:rPr>
        <w:t>合同</w:t>
      </w:r>
      <w:r>
        <w:rPr>
          <w:rFonts w:hint="eastAsia"/>
        </w:rPr>
        <w:t>。</w:t>
      </w:r>
    </w:p>
    <w:p>
      <w:pPr>
        <w:spacing w:line="360" w:lineRule="auto"/>
        <w:ind w:firstLine="422" w:firstLineChars="200"/>
      </w:pPr>
      <w:r>
        <w:rPr>
          <w:rFonts w:hint="eastAsia"/>
          <w:b/>
        </w:rPr>
        <w:t>第一条</w:t>
      </w:r>
      <w:r>
        <w:t xml:space="preserve"> </w:t>
      </w:r>
      <w:r>
        <w:rPr>
          <w:rFonts w:hint="eastAsia"/>
        </w:rPr>
        <w:t>设备的名称、规格、单价、数量及产地等详见明细表，明细表是本合同的一部分。乙方应随货免费提供设备的技术文件，包括相应的图纸、操作手册、维护手册、质量保证文件、合格证、配置清单、服务指南等。</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13"/>
        <w:gridCol w:w="2835"/>
        <w:gridCol w:w="840"/>
        <w:gridCol w:w="1155"/>
        <w:gridCol w:w="13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产品名称</w:t>
            </w:r>
          </w:p>
        </w:tc>
        <w:tc>
          <w:tcPr>
            <w:tcW w:w="2835" w:type="dxa"/>
          </w:tcPr>
          <w:p>
            <w:pPr>
              <w:spacing w:line="360" w:lineRule="auto"/>
              <w:jc w:val="center"/>
            </w:pPr>
            <w:r>
              <w:rPr>
                <w:rFonts w:hint="eastAsia"/>
              </w:rPr>
              <w:t>品牌型号</w:t>
            </w:r>
          </w:p>
        </w:tc>
        <w:tc>
          <w:tcPr>
            <w:tcW w:w="840" w:type="dxa"/>
          </w:tcPr>
          <w:p>
            <w:pPr>
              <w:spacing w:line="360" w:lineRule="auto"/>
              <w:jc w:val="center"/>
            </w:pPr>
            <w:r>
              <w:rPr>
                <w:rFonts w:hint="eastAsia"/>
              </w:rPr>
              <w:t>产地</w:t>
            </w:r>
          </w:p>
        </w:tc>
        <w:tc>
          <w:tcPr>
            <w:tcW w:w="1155" w:type="dxa"/>
          </w:tcPr>
          <w:p>
            <w:pPr>
              <w:spacing w:line="360" w:lineRule="auto"/>
              <w:jc w:val="center"/>
            </w:pPr>
            <w:r>
              <w:rPr>
                <w:rFonts w:hint="eastAsia"/>
              </w:rPr>
              <w:t>数量（台）</w:t>
            </w:r>
          </w:p>
        </w:tc>
        <w:tc>
          <w:tcPr>
            <w:tcW w:w="1385" w:type="dxa"/>
          </w:tcPr>
          <w:p>
            <w:pPr>
              <w:spacing w:line="360" w:lineRule="auto"/>
              <w:jc w:val="center"/>
            </w:pPr>
            <w:r>
              <w:rPr>
                <w:rFonts w:hint="eastAsia"/>
              </w:rPr>
              <w:t>单价（万元）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p>
        </w:tc>
        <w:tc>
          <w:tcPr>
            <w:tcW w:w="2835" w:type="dxa"/>
          </w:tcPr>
          <w:p>
            <w:pPr>
              <w:spacing w:line="360" w:lineRule="auto"/>
            </w:pPr>
          </w:p>
        </w:tc>
        <w:tc>
          <w:tcPr>
            <w:tcW w:w="840" w:type="dxa"/>
          </w:tcPr>
          <w:p>
            <w:pPr>
              <w:spacing w:line="360" w:lineRule="auto"/>
              <w:jc w:val="center"/>
              <w:rPr>
                <w:b/>
                <w:bCs/>
              </w:rPr>
            </w:pPr>
          </w:p>
        </w:tc>
        <w:tc>
          <w:tcPr>
            <w:tcW w:w="1155" w:type="dxa"/>
          </w:tcPr>
          <w:p>
            <w:pPr>
              <w:spacing w:line="360" w:lineRule="auto"/>
              <w:jc w:val="center"/>
            </w:pPr>
          </w:p>
        </w:tc>
        <w:tc>
          <w:tcPr>
            <w:tcW w:w="1385" w:type="dxa"/>
          </w:tcPr>
          <w:p>
            <w:pPr>
              <w:spacing w:line="360" w:lineRule="auto"/>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总价（大小写）</w:t>
            </w:r>
          </w:p>
        </w:tc>
        <w:tc>
          <w:tcPr>
            <w:tcW w:w="6215" w:type="dxa"/>
            <w:gridSpan w:val="4"/>
          </w:tcPr>
          <w:p>
            <w:pPr>
              <w:spacing w:line="360" w:lineRule="auto"/>
            </w:pPr>
            <w:r>
              <w:rPr>
                <w:rFonts w:hint="eastAsia"/>
              </w:rPr>
              <w:t>大写：     小写：</w:t>
            </w:r>
            <w: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13" w:type="dxa"/>
          </w:tcPr>
          <w:p>
            <w:pPr>
              <w:spacing w:line="360" w:lineRule="auto"/>
              <w:jc w:val="center"/>
            </w:pPr>
            <w:r>
              <w:rPr>
                <w:rFonts w:hint="eastAsia"/>
              </w:rPr>
              <w:t>优惠承诺</w:t>
            </w:r>
          </w:p>
        </w:tc>
        <w:tc>
          <w:tcPr>
            <w:tcW w:w="6215" w:type="dxa"/>
            <w:gridSpan w:val="4"/>
          </w:tcPr>
          <w:p>
            <w:pPr>
              <w:spacing w:line="360" w:lineRule="auto"/>
              <w:jc w:val="center"/>
            </w:pPr>
            <w:r>
              <w:rPr>
                <w:rFonts w:hint="eastAsia"/>
              </w:rPr>
              <w:t>无</w:t>
            </w:r>
          </w:p>
        </w:tc>
      </w:tr>
    </w:tbl>
    <w:p>
      <w:pPr>
        <w:spacing w:line="360" w:lineRule="auto"/>
        <w:ind w:firstLine="422" w:firstLineChars="200"/>
      </w:pPr>
      <w:r>
        <w:rPr>
          <w:rFonts w:hint="eastAsia"/>
          <w:b/>
        </w:rPr>
        <w:t>第二条</w:t>
      </w:r>
      <w:r>
        <w:rPr>
          <w:b/>
        </w:rPr>
        <w:t xml:space="preserve"> </w:t>
      </w:r>
      <w:r>
        <w:rPr>
          <w:rFonts w:hint="eastAsia"/>
          <w:b/>
        </w:rPr>
        <w:t>技术标准</w:t>
      </w:r>
    </w:p>
    <w:p>
      <w:pPr>
        <w:spacing w:line="360" w:lineRule="auto"/>
        <w:ind w:firstLine="420" w:firstLineChars="200"/>
      </w:pPr>
      <w:r>
        <w:rPr>
          <w:rFonts w:hint="eastAsia"/>
        </w:rPr>
        <w:t>在符合国家相关技术标准的基础上，甲、乙双方根据投标文件和合同约定</w:t>
      </w:r>
      <w:r>
        <w:t>(</w:t>
      </w:r>
      <w:r>
        <w:rPr>
          <w:rFonts w:hint="eastAsia"/>
        </w:rPr>
        <w:t>见附件</w:t>
      </w:r>
      <w:r>
        <w:t>)</w:t>
      </w:r>
      <w:r>
        <w:rPr>
          <w:rFonts w:hint="eastAsia"/>
        </w:rPr>
        <w:t>进行技术验收；如根据样品进行验收，乙方所供医疗产品应与样品质量一致。甲方验收合格后，双方需在甲方《设备验收单》上签字确认。</w:t>
      </w:r>
    </w:p>
    <w:p>
      <w:pPr>
        <w:spacing w:line="360" w:lineRule="auto"/>
        <w:ind w:firstLine="413" w:firstLineChars="196"/>
        <w:rPr>
          <w:b/>
        </w:rPr>
      </w:pPr>
      <w:r>
        <w:rPr>
          <w:rFonts w:hint="eastAsia"/>
          <w:b/>
        </w:rPr>
        <w:t>第三条</w:t>
      </w:r>
      <w:r>
        <w:rPr>
          <w:b/>
        </w:rPr>
        <w:t xml:space="preserve"> </w:t>
      </w:r>
      <w:r>
        <w:rPr>
          <w:rFonts w:hint="eastAsia"/>
          <w:b/>
        </w:rPr>
        <w:t>供货时间及地点</w:t>
      </w:r>
    </w:p>
    <w:p>
      <w:pPr>
        <w:spacing w:line="360" w:lineRule="auto"/>
        <w:ind w:firstLine="420" w:firstLineChars="200"/>
      </w:pPr>
      <w:r>
        <w:rPr>
          <w:rFonts w:hint="eastAsia"/>
        </w:rPr>
        <w:t>交付时间：乙方向甲方交付设备于</w:t>
      </w:r>
      <w:r>
        <w:t xml:space="preserve">   </w:t>
      </w:r>
      <w:r>
        <w:rPr>
          <w:u w:val="single"/>
        </w:rPr>
        <w:t xml:space="preserve">      </w:t>
      </w:r>
      <w:r>
        <w:rPr>
          <w:rFonts w:hint="eastAsia"/>
          <w:u w:val="single"/>
        </w:rPr>
        <w:t>年</w:t>
      </w:r>
      <w:r>
        <w:rPr>
          <w:u w:val="single"/>
        </w:rPr>
        <w:t> </w:t>
      </w:r>
      <w:r>
        <w:rPr>
          <w:rFonts w:hint="eastAsia"/>
          <w:u w:val="single"/>
        </w:rPr>
        <w:t xml:space="preserve"> </w:t>
      </w:r>
      <w:r>
        <w:rPr>
          <w:u w:val="single"/>
        </w:rPr>
        <w:t xml:space="preserve">  </w:t>
      </w:r>
      <w:r>
        <w:rPr>
          <w:rFonts w:hint="eastAsia"/>
          <w:u w:val="single"/>
        </w:rPr>
        <w:t xml:space="preserve">月 </w:t>
      </w:r>
      <w:r>
        <w:rPr>
          <w:u w:val="single"/>
        </w:rPr>
        <w:t xml:space="preserve">   </w:t>
      </w:r>
      <w:r>
        <w:rPr>
          <w:rFonts w:hint="eastAsia"/>
          <w:u w:val="single"/>
        </w:rPr>
        <w:t>  日</w:t>
      </w:r>
      <w:r>
        <w:rPr>
          <w:rFonts w:hint="eastAsia"/>
        </w:rPr>
        <w:t>前。</w:t>
      </w:r>
    </w:p>
    <w:p>
      <w:pPr>
        <w:spacing w:line="360" w:lineRule="auto"/>
        <w:ind w:firstLine="420" w:firstLineChars="200"/>
      </w:pPr>
      <w:r>
        <w:rPr>
          <w:rFonts w:hint="eastAsia"/>
        </w:rPr>
        <w:t>交付地点：郑州市第九人民医院指定地点</w:t>
      </w:r>
    </w:p>
    <w:p>
      <w:pPr>
        <w:spacing w:line="360" w:lineRule="auto"/>
        <w:ind w:firstLine="420" w:firstLineChars="200"/>
      </w:pPr>
      <w:r>
        <w:rPr>
          <w:rFonts w:hint="eastAsia"/>
        </w:rPr>
        <w:t>乙方送货并承担运费、保险费、税费等，货物交付甲方并验收合格后转移所有权。</w:t>
      </w:r>
    </w:p>
    <w:p>
      <w:pPr>
        <w:spacing w:line="360" w:lineRule="auto"/>
        <w:ind w:firstLine="413" w:firstLineChars="196"/>
        <w:rPr>
          <w:b/>
        </w:rPr>
      </w:pPr>
      <w:r>
        <w:rPr>
          <w:rFonts w:hint="eastAsia"/>
          <w:b/>
        </w:rPr>
        <w:t>第四条</w:t>
      </w:r>
      <w:r>
        <w:rPr>
          <w:b/>
        </w:rPr>
        <w:t xml:space="preserve"> </w:t>
      </w:r>
      <w:r>
        <w:rPr>
          <w:rFonts w:hint="eastAsia"/>
          <w:b/>
        </w:rPr>
        <w:t>验收标准及方式</w:t>
      </w:r>
    </w:p>
    <w:p>
      <w:pPr>
        <w:spacing w:line="360" w:lineRule="auto"/>
        <w:ind w:firstLine="420" w:firstLineChars="200"/>
      </w:pPr>
      <w:r>
        <w:rPr>
          <w:rFonts w:hint="eastAsia"/>
        </w:rPr>
        <w:t>甲、乙双方共同对设备进行开箱清点、检查验收，如果发现数量不足或有质量、技术等问题，甲方出具《验收报告》，详细列明验收情况及问题清单，乙方应在</w:t>
      </w:r>
      <w:r>
        <w:rPr>
          <w:rFonts w:hint="eastAsia"/>
          <w:b/>
          <w:u w:val="single"/>
        </w:rPr>
        <w:t>七日</w:t>
      </w:r>
      <w:r>
        <w:rPr>
          <w:rFonts w:hint="eastAsia"/>
        </w:rPr>
        <w:t>内，按照甲方的要求，采取补足、更换或退货等处理措施，并承担由此发生的一切损失和费用。</w:t>
      </w:r>
    </w:p>
    <w:p>
      <w:pPr>
        <w:spacing w:line="440" w:lineRule="exact"/>
        <w:ind w:firstLine="420" w:firstLineChars="200"/>
      </w:pPr>
      <w:r>
        <w:rPr>
          <w:rFonts w:hint="eastAsia"/>
        </w:rPr>
        <w:t>设备到货后，乙方应在接到甲方通知后，按甲方规定时间内完成设备的安装调试。</w:t>
      </w:r>
    </w:p>
    <w:p>
      <w:pPr>
        <w:spacing w:line="440" w:lineRule="exact"/>
        <w:ind w:firstLine="413" w:firstLineChars="196"/>
        <w:rPr>
          <w:b/>
        </w:rPr>
      </w:pPr>
      <w:r>
        <w:rPr>
          <w:rFonts w:hint="eastAsia"/>
          <w:b/>
        </w:rPr>
        <w:t>第五条</w:t>
      </w:r>
      <w:r>
        <w:rPr>
          <w:b/>
        </w:rPr>
        <w:t xml:space="preserve"> </w:t>
      </w:r>
      <w:r>
        <w:rPr>
          <w:rFonts w:hint="eastAsia"/>
          <w:b/>
        </w:rPr>
        <w:t>货款及支付方式</w:t>
      </w:r>
    </w:p>
    <w:p>
      <w:pPr>
        <w:spacing w:line="440" w:lineRule="exact"/>
        <w:ind w:firstLine="420" w:firstLineChars="200"/>
      </w:pPr>
      <w:r>
        <w:rPr>
          <w:rFonts w:hint="eastAsia"/>
        </w:rPr>
        <w:t>合同签订后，设备到货验收合格后付设备总货款的9</w:t>
      </w:r>
      <w:r>
        <w:t>5</w:t>
      </w:r>
      <w:r>
        <w:rPr>
          <w:rFonts w:hint="eastAsia"/>
        </w:rPr>
        <w:t>%，设备安装调试验收合格、正常使用满一年后甲方向乙方无息支付总货款</w:t>
      </w:r>
      <w:r>
        <w:t>5%</w:t>
      </w:r>
      <w:r>
        <w:rPr>
          <w:rFonts w:hint="eastAsia"/>
        </w:rPr>
        <w:t>。</w:t>
      </w:r>
    </w:p>
    <w:p>
      <w:pPr>
        <w:spacing w:line="440" w:lineRule="exact"/>
        <w:ind w:firstLine="413" w:firstLineChars="196"/>
        <w:rPr>
          <w:b/>
        </w:rPr>
      </w:pPr>
      <w:r>
        <w:rPr>
          <w:rFonts w:hint="eastAsia"/>
          <w:b/>
        </w:rPr>
        <w:t>第六条</w:t>
      </w:r>
      <w:r>
        <w:rPr>
          <w:b/>
        </w:rPr>
        <w:t xml:space="preserve"> </w:t>
      </w:r>
      <w:r>
        <w:rPr>
          <w:rFonts w:hint="eastAsia"/>
          <w:b/>
        </w:rPr>
        <w:t>售后服务及质量保证</w:t>
      </w:r>
    </w:p>
    <w:p>
      <w:pPr>
        <w:spacing w:line="440" w:lineRule="exact"/>
        <w:ind w:firstLine="420" w:firstLineChars="200"/>
      </w:pPr>
      <w:r>
        <w:t>1.</w:t>
      </w:r>
      <w:r>
        <w:rPr>
          <w:rFonts w:hint="eastAsia"/>
        </w:rPr>
        <w:t>甲方收到货物后应在三日内验收，该验收仅为对产品数量和表面是否存在瑕疵进行验收。产品在质保期内出现质量问题的，乙方需按本合同第七条第5款支付违约金。产品在质保期内出现质量问题的，乙方需按本合同第七条第5款支付违约金。乙方对货物实行三包（包修、包换、包退）。</w:t>
      </w:r>
    </w:p>
    <w:p>
      <w:pPr>
        <w:spacing w:line="440" w:lineRule="exact"/>
        <w:ind w:firstLine="420" w:firstLineChars="200"/>
      </w:pPr>
      <w:r>
        <w:t>2.</w:t>
      </w:r>
      <w:r>
        <w:rPr>
          <w:rFonts w:hint="eastAsia"/>
        </w:rPr>
        <w:t>乙方免费提供设备安装所需的专用工具和辅助材料、易耗件。</w:t>
      </w:r>
    </w:p>
    <w:p>
      <w:pPr>
        <w:spacing w:line="440" w:lineRule="exact"/>
        <w:ind w:firstLine="420" w:firstLineChars="200"/>
      </w:pPr>
      <w:r>
        <w:t>3.</w:t>
      </w:r>
      <w:r>
        <w:rPr>
          <w:rFonts w:hint="eastAsia"/>
        </w:rPr>
        <w:t>乙方自收到甲方电话、传真等维修要求后应当在</w:t>
      </w:r>
      <w:r>
        <w:rPr>
          <w:rFonts w:hint="eastAsia"/>
          <w:u w:val="single"/>
        </w:rPr>
        <w:t xml:space="preserve"> 24 </w:t>
      </w:r>
      <w:r>
        <w:rPr>
          <w:rFonts w:hint="eastAsia"/>
        </w:rPr>
        <w:t>小时内进行维修；逾期甲方可自行组织维修，费用由乙方承担。</w:t>
      </w:r>
    </w:p>
    <w:p>
      <w:pPr>
        <w:spacing w:line="440" w:lineRule="exact"/>
        <w:ind w:firstLine="420" w:firstLineChars="200"/>
      </w:pPr>
      <w:r>
        <w:t>4.</w:t>
      </w:r>
      <w:r>
        <w:rPr>
          <w:rFonts w:hint="eastAsia"/>
        </w:rPr>
        <w:t>免费质保期为</w:t>
      </w:r>
      <w:r>
        <w:rPr>
          <w:rFonts w:hint="eastAsia"/>
          <w:u w:val="single"/>
        </w:rPr>
        <w:t xml:space="preserve">  </w:t>
      </w:r>
      <w:r>
        <w:rPr>
          <w:rFonts w:hint="eastAsia"/>
        </w:rPr>
        <w:t>年，自设备安装调试合格之日起算。在免费质保期内，乙方履行保修义务应免收材料和人工等一切费用；免费质保期满后，乙方履行保修义务只收取配件费。</w:t>
      </w:r>
    </w:p>
    <w:p>
      <w:pPr>
        <w:spacing w:line="440" w:lineRule="exact"/>
        <w:ind w:firstLine="420" w:firstLineChars="200"/>
      </w:pPr>
      <w:r>
        <w:t>5.</w:t>
      </w:r>
      <w:r>
        <w:rPr>
          <w:rFonts w:hint="eastAsia"/>
        </w:rPr>
        <w:t>设备运至甲方指定地点，乙方应指派技师三人对甲方操作人员安装、使用设备进行培训，直至甲方操作人员能熟练操作为止，乙方承担培训技师的薪资、差旅等全部费用。</w:t>
      </w:r>
    </w:p>
    <w:p>
      <w:pPr>
        <w:tabs>
          <w:tab w:val="left" w:pos="2865"/>
        </w:tabs>
        <w:spacing w:line="440" w:lineRule="exact"/>
        <w:ind w:firstLine="413" w:firstLineChars="196"/>
        <w:rPr>
          <w:b/>
        </w:rPr>
      </w:pPr>
      <w:r>
        <w:rPr>
          <w:rFonts w:hint="eastAsia"/>
          <w:b/>
        </w:rPr>
        <w:t>第七条</w:t>
      </w:r>
      <w:r>
        <w:rPr>
          <w:b/>
        </w:rPr>
        <w:t xml:space="preserve"> </w:t>
      </w:r>
      <w:r>
        <w:rPr>
          <w:rFonts w:hint="eastAsia"/>
          <w:b/>
        </w:rPr>
        <w:t>违约</w:t>
      </w:r>
      <w:r>
        <w:fldChar w:fldCharType="begin"/>
      </w:r>
      <w:r>
        <w:instrText xml:space="preserve"> HYPERLINK "java:;" \t "_self=" </w:instrText>
      </w:r>
      <w:r>
        <w:fldChar w:fldCharType="separate"/>
      </w:r>
      <w:r>
        <w:rPr>
          <w:rStyle w:val="21"/>
          <w:rFonts w:hint="eastAsia"/>
          <w:color w:val="333333"/>
          <w:u w:val="single"/>
        </w:rPr>
        <w:t>责任</w:t>
      </w:r>
      <w:r>
        <w:rPr>
          <w:rStyle w:val="21"/>
          <w:rFonts w:hint="eastAsia"/>
          <w:color w:val="333333"/>
          <w:u w:val="single"/>
        </w:rPr>
        <w:fldChar w:fldCharType="end"/>
      </w:r>
      <w:r>
        <w:rPr>
          <w:b/>
        </w:rPr>
        <w:tab/>
      </w:r>
    </w:p>
    <w:p>
      <w:pPr>
        <w:spacing w:line="440" w:lineRule="exact"/>
        <w:ind w:firstLine="420" w:firstLineChars="200"/>
        <w:rPr>
          <w:rFonts w:ascii="宋体" w:hAnsi="宋体"/>
        </w:rPr>
      </w:pPr>
      <w:r>
        <w:t>1</w:t>
      </w:r>
      <w:r>
        <w:rPr>
          <w:rFonts w:hint="eastAsia"/>
        </w:rPr>
        <w:t>．甲方逾期支付货款满三个月后，每日按逾期未付金额的</w:t>
      </w:r>
      <w:r>
        <w:rPr>
          <w:rFonts w:hint="eastAsia"/>
          <w:u w:val="single"/>
        </w:rPr>
        <w:t>千分之一</w:t>
      </w:r>
      <w:r>
        <w:rPr>
          <w:rFonts w:hint="eastAsia"/>
        </w:rPr>
        <w:t>向乙方支付违约金。</w:t>
      </w:r>
    </w:p>
    <w:p>
      <w:pPr>
        <w:spacing w:line="440" w:lineRule="exact"/>
        <w:ind w:firstLine="420" w:firstLineChars="200"/>
      </w:pPr>
      <w:r>
        <w:t>2</w:t>
      </w:r>
      <w:r>
        <w:rPr>
          <w:rFonts w:hint="eastAsia"/>
        </w:rPr>
        <w:t>．非乙方供货质量问题，甲方中途不得退货，否则，甲方应按合同总额的</w:t>
      </w:r>
      <w:r>
        <w:rPr>
          <w:rFonts w:hint="eastAsia"/>
          <w:u w:val="single"/>
        </w:rPr>
        <w:t>百分之一</w:t>
      </w:r>
      <w:r>
        <w:rPr>
          <w:rFonts w:hint="eastAsia"/>
        </w:rPr>
        <w:t>向乙方支付违约金。</w:t>
      </w:r>
    </w:p>
    <w:p>
      <w:pPr>
        <w:spacing w:line="440" w:lineRule="exact"/>
        <w:ind w:firstLine="420" w:firstLineChars="200"/>
      </w:pPr>
      <w:r>
        <w:t xml:space="preserve">3. </w:t>
      </w:r>
      <w:r>
        <w:rPr>
          <w:rFonts w:hint="eastAsia"/>
        </w:rPr>
        <w:t>乙方逾期供货，每逾期一日，按合同总金额的</w:t>
      </w:r>
      <w:r>
        <w:rPr>
          <w:rFonts w:hint="eastAsia"/>
          <w:u w:val="single"/>
        </w:rPr>
        <w:t>千分之一</w:t>
      </w:r>
      <w:r>
        <w:rPr>
          <w:rFonts w:hint="eastAsia"/>
        </w:rPr>
        <w:t>向甲方支付违约金。</w:t>
      </w:r>
    </w:p>
    <w:p>
      <w:pPr>
        <w:spacing w:line="440" w:lineRule="exact"/>
        <w:ind w:firstLine="420" w:firstLineChars="200"/>
      </w:pPr>
      <w:r>
        <w:t xml:space="preserve">4. </w:t>
      </w:r>
      <w:r>
        <w:rPr>
          <w:rFonts w:hint="eastAsia"/>
        </w:rPr>
        <w:t>乙方逾期供货超过</w:t>
      </w:r>
      <w:r>
        <w:rPr>
          <w:rFonts w:hint="eastAsia"/>
          <w:u w:val="single"/>
        </w:rPr>
        <w:t>10</w:t>
      </w:r>
      <w:r>
        <w:rPr>
          <w:rFonts w:hint="eastAsia"/>
        </w:rPr>
        <w:t>日，甲方有权</w:t>
      </w:r>
      <w:r>
        <w:fldChar w:fldCharType="begin"/>
      </w:r>
      <w:r>
        <w:instrText xml:space="preserve"> HYPERLINK "java:;" \t "_self=" </w:instrText>
      </w:r>
      <w:r>
        <w:fldChar w:fldCharType="separate"/>
      </w:r>
      <w:r>
        <w:rPr>
          <w:rStyle w:val="21"/>
          <w:rFonts w:hint="eastAsia"/>
          <w:color w:val="333333"/>
          <w:u w:val="single"/>
        </w:rPr>
        <w:t>解除</w:t>
      </w:r>
      <w:r>
        <w:rPr>
          <w:rStyle w:val="21"/>
          <w:rFonts w:hint="eastAsia"/>
          <w:color w:val="333333"/>
          <w:u w:val="single"/>
        </w:rPr>
        <w:fldChar w:fldCharType="end"/>
      </w:r>
      <w:r>
        <w:rPr>
          <w:rFonts w:hint="eastAsia"/>
        </w:rPr>
        <w:t>合同，乙方应返还甲方所支付款项，并按合同总金额的</w:t>
      </w:r>
      <w:r>
        <w:rPr>
          <w:rFonts w:hint="eastAsia"/>
          <w:u w:val="single"/>
        </w:rPr>
        <w:t>百分之二十</w:t>
      </w:r>
      <w:r>
        <w:rPr>
          <w:rFonts w:hint="eastAsia"/>
        </w:rPr>
        <w:t>向甲方支付违约金。</w:t>
      </w:r>
    </w:p>
    <w:p>
      <w:pPr>
        <w:spacing w:line="440" w:lineRule="exact"/>
        <w:ind w:firstLine="420" w:firstLineChars="200"/>
      </w:pPr>
      <w:r>
        <w:t xml:space="preserve">5. </w:t>
      </w:r>
      <w:r>
        <w:rPr>
          <w:rFonts w:hint="eastAsia"/>
        </w:rPr>
        <w:t>乙方交付产品存在质量问题的，甲方有权解除合同或要求乙方更换产品。甲方要求解除合同的，乙方应承担合同总金额的百分之二十的违约金；甲方要求更换产品的，乙方应在甲方通知的七日内提供符合质量标准的产品，每逾期一日承担合同总金额百分之一的违约金，逾期20日仍未更换的，甲方有权解除合同的，并要求乙方承担合同总金额百分之二十的违约金。</w:t>
      </w:r>
    </w:p>
    <w:p>
      <w:pPr>
        <w:spacing w:line="360" w:lineRule="auto"/>
        <w:ind w:firstLine="413" w:firstLineChars="196"/>
        <w:rPr>
          <w:b/>
        </w:rPr>
      </w:pPr>
      <w:r>
        <w:rPr>
          <w:rFonts w:hint="eastAsia"/>
          <w:b/>
        </w:rPr>
        <w:t>第八条</w:t>
      </w:r>
      <w:r>
        <w:rPr>
          <w:b/>
        </w:rPr>
        <w:t xml:space="preserve"> </w:t>
      </w:r>
      <w:r>
        <w:rPr>
          <w:rFonts w:hint="eastAsia"/>
          <w:b/>
        </w:rPr>
        <w:t>不可抗力</w:t>
      </w:r>
    </w:p>
    <w:p>
      <w:pPr>
        <w:spacing w:line="360" w:lineRule="auto"/>
        <w:ind w:firstLine="420" w:firstLineChars="200"/>
        <w:rPr>
          <w:u w:val="single"/>
        </w:rPr>
      </w:pPr>
      <w:r>
        <w:rPr>
          <w:rFonts w:hint="eastAsia"/>
        </w:rPr>
        <w:t>甲、乙任何一方由于不可抗力原因不能履行合同时，在不可抗力解除后应及时向对方通报不能履行或不能完全履行的理由，以减轻可能给对方造成的损失，并根据情况可部分或全部免予承担违约责任。</w:t>
      </w:r>
    </w:p>
    <w:p>
      <w:pPr>
        <w:spacing w:line="360" w:lineRule="auto"/>
        <w:ind w:firstLine="413" w:firstLineChars="196"/>
        <w:rPr>
          <w:b/>
        </w:rPr>
      </w:pPr>
      <w:r>
        <w:rPr>
          <w:rFonts w:hint="eastAsia"/>
          <w:b/>
        </w:rPr>
        <w:t>第九条</w:t>
      </w:r>
      <w:r>
        <w:rPr>
          <w:b/>
        </w:rPr>
        <w:t xml:space="preserve"> </w:t>
      </w:r>
      <w:r>
        <w:fldChar w:fldCharType="begin"/>
      </w:r>
      <w:r>
        <w:instrText xml:space="preserve"> HYPERLINK "java:;" \t "_self=" </w:instrText>
      </w:r>
      <w:r>
        <w:fldChar w:fldCharType="separate"/>
      </w:r>
      <w:r>
        <w:rPr>
          <w:rStyle w:val="21"/>
          <w:rFonts w:hint="eastAsia"/>
          <w:color w:val="333333"/>
          <w:u w:val="single"/>
        </w:rPr>
        <w:t>争议</w:t>
      </w:r>
      <w:r>
        <w:rPr>
          <w:rStyle w:val="21"/>
          <w:rFonts w:hint="eastAsia"/>
          <w:color w:val="333333"/>
          <w:u w:val="single"/>
        </w:rPr>
        <w:fldChar w:fldCharType="end"/>
      </w:r>
      <w:r>
        <w:rPr>
          <w:rFonts w:hint="eastAsia"/>
          <w:b/>
        </w:rPr>
        <w:t>解决方法</w:t>
      </w:r>
    </w:p>
    <w:p>
      <w:pPr>
        <w:spacing w:line="360" w:lineRule="auto"/>
        <w:ind w:firstLine="420" w:firstLineChars="200"/>
      </w:pPr>
      <w:r>
        <w:rPr>
          <w:rFonts w:hint="eastAsia"/>
        </w:rPr>
        <w:t>甲、乙双方因履行本合同发生争议时，应友好协商；如协商未果，由甲方住所地</w:t>
      </w:r>
      <w:r>
        <w:fldChar w:fldCharType="begin"/>
      </w:r>
      <w:r>
        <w:instrText xml:space="preserve"> HYPERLINK "java:;" \t "_self=" </w:instrText>
      </w:r>
      <w:r>
        <w:fldChar w:fldCharType="separate"/>
      </w:r>
      <w:r>
        <w:rPr>
          <w:rStyle w:val="21"/>
          <w:rFonts w:hint="eastAsia"/>
          <w:color w:val="333333"/>
          <w:u w:val="single"/>
        </w:rPr>
        <w:t>人民法院</w:t>
      </w:r>
      <w:r>
        <w:rPr>
          <w:rStyle w:val="21"/>
          <w:rFonts w:hint="eastAsia"/>
          <w:color w:val="333333"/>
          <w:u w:val="single"/>
        </w:rPr>
        <w:fldChar w:fldCharType="end"/>
      </w:r>
      <w:r>
        <w:rPr>
          <w:rFonts w:hint="eastAsia"/>
        </w:rPr>
        <w:t>管辖。</w:t>
      </w:r>
    </w:p>
    <w:p>
      <w:pPr>
        <w:spacing w:line="360" w:lineRule="auto"/>
        <w:ind w:firstLine="413" w:firstLineChars="196"/>
        <w:rPr>
          <w:b/>
        </w:rPr>
      </w:pPr>
      <w:r>
        <w:rPr>
          <w:rFonts w:hint="eastAsia"/>
          <w:b/>
        </w:rPr>
        <w:t>第十条</w:t>
      </w:r>
      <w:r>
        <w:rPr>
          <w:b/>
        </w:rPr>
        <w:t xml:space="preserve"> </w:t>
      </w:r>
      <w:r>
        <w:rPr>
          <w:rFonts w:hint="eastAsia"/>
          <w:b/>
        </w:rPr>
        <w:t>合同附件</w:t>
      </w:r>
    </w:p>
    <w:p>
      <w:pPr>
        <w:spacing w:line="360" w:lineRule="auto"/>
        <w:ind w:firstLine="420" w:firstLineChars="200"/>
        <w:rPr>
          <w:rFonts w:ascii="宋体" w:hAnsi="宋体"/>
        </w:rPr>
      </w:pPr>
      <w:r>
        <w:rPr>
          <w:rFonts w:hint="eastAsia"/>
        </w:rPr>
        <w:t>合同附件是本合同的不可分割的组成部分，与合同具有同等法律效力。本合同附件包括：配置清单、技术标准、设备技术说明、招标文件。</w:t>
      </w:r>
    </w:p>
    <w:p>
      <w:pPr>
        <w:spacing w:line="360" w:lineRule="auto"/>
        <w:ind w:firstLine="422" w:firstLineChars="200"/>
        <w:rPr>
          <w:b/>
        </w:rPr>
      </w:pPr>
      <w:r>
        <w:rPr>
          <w:rFonts w:hint="eastAsia"/>
          <w:b/>
        </w:rPr>
        <w:t>第十一条 甲方招标文件、乙方投标文件及乙方投标最终报价单附属内容均为本合同一部分。</w:t>
      </w:r>
    </w:p>
    <w:p>
      <w:pPr>
        <w:spacing w:line="360" w:lineRule="auto"/>
        <w:ind w:firstLine="413" w:firstLineChars="196"/>
        <w:rPr>
          <w:bCs/>
        </w:rPr>
      </w:pPr>
      <w:r>
        <w:rPr>
          <w:rFonts w:hint="eastAsia"/>
          <w:b/>
        </w:rPr>
        <w:t>第十二条</w:t>
      </w:r>
      <w:r>
        <w:rPr>
          <w:b/>
        </w:rPr>
        <w:t xml:space="preserve"> </w:t>
      </w:r>
      <w:r>
        <w:rPr>
          <w:rFonts w:hint="eastAsia"/>
          <w:bCs/>
        </w:rPr>
        <w:t>双方按（本合同首部）确定的地址、电话进行联络，一方的联系地址、电话如有变动，应提前5日内书面通知对方，否则由此造成不能送达的一切后果由责任方承担；</w:t>
      </w:r>
    </w:p>
    <w:p>
      <w:pPr>
        <w:spacing w:line="360" w:lineRule="auto"/>
        <w:ind w:firstLine="411" w:firstLineChars="196"/>
        <w:rPr>
          <w:b/>
        </w:rPr>
      </w:pPr>
      <w:r>
        <w:rPr>
          <w:rFonts w:hint="eastAsia"/>
          <w:bCs/>
        </w:rPr>
        <w:t>本协议通讯地址、联系方式亦为解决纠纷时，法院向双方送达法律文书的地址，双方对此已充分知悉并无异议。如一方按上述通讯地址、联系方式发送文件给另一方，或法院按上述通讯地址、联系方式向任何一方送达法律文书，但因另一方拒收、查无此人、地址不详、无法送达等原因未能收取的，均视为文件已经送达</w:t>
      </w:r>
      <w:r>
        <w:rPr>
          <w:rFonts w:hint="eastAsia"/>
          <w:b/>
        </w:rPr>
        <w:t>。</w:t>
      </w:r>
    </w:p>
    <w:p>
      <w:pPr>
        <w:spacing w:line="360" w:lineRule="auto"/>
        <w:ind w:firstLine="413" w:firstLineChars="196"/>
        <w:rPr>
          <w:rFonts w:ascii="宋体" w:hAnsi="宋体"/>
          <w:b/>
        </w:rPr>
      </w:pPr>
      <w:r>
        <w:rPr>
          <w:rFonts w:hint="eastAsia"/>
          <w:b/>
        </w:rPr>
        <w:t>第十三条 其它</w:t>
      </w:r>
    </w:p>
    <w:p>
      <w:pPr>
        <w:spacing w:line="360" w:lineRule="auto"/>
        <w:ind w:firstLine="420" w:firstLineChars="200"/>
      </w:pPr>
      <w:r>
        <w:rPr>
          <w:rFonts w:hint="eastAsia"/>
        </w:rPr>
        <w:t>本合同未尽事宜，由甲乙双方另行签订补充协议，补充协议是本合同的组成部分，与本合同具有同等法律效力。</w:t>
      </w:r>
    </w:p>
    <w:p>
      <w:pPr>
        <w:spacing w:line="360" w:lineRule="auto"/>
        <w:ind w:firstLine="420" w:firstLineChars="200"/>
      </w:pPr>
      <w:r>
        <w:rPr>
          <w:rFonts w:hint="eastAsia"/>
        </w:rPr>
        <w:t>本合同壹式肆份，甲方执叁份，乙方执壹份。自双方签字、盖章之日生效。</w:t>
      </w:r>
    </w:p>
    <w:p>
      <w:pPr>
        <w:spacing w:line="360" w:lineRule="auto"/>
        <w:ind w:left="720" w:firstLine="420" w:firstLineChars="200"/>
      </w:pPr>
      <w:r>
        <w:t> </w:t>
      </w:r>
    </w:p>
    <w:p>
      <w:pPr>
        <w:spacing w:line="360" w:lineRule="auto"/>
        <w:ind w:left="720" w:firstLine="420" w:firstLineChars="200"/>
      </w:pPr>
    </w:p>
    <w:p>
      <w:pPr>
        <w:spacing w:line="360" w:lineRule="auto"/>
      </w:pPr>
    </w:p>
    <w:p>
      <w:pPr>
        <w:spacing w:line="360" w:lineRule="auto"/>
        <w:ind w:left="720" w:firstLine="14" w:firstLineChars="7"/>
      </w:pPr>
      <w:r>
        <w:rPr>
          <w:rFonts w:hint="eastAsia"/>
        </w:rPr>
        <w:t>甲方（盖章）</w:t>
      </w:r>
      <w:r>
        <w:t xml:space="preserve">                                 </w:t>
      </w:r>
      <w:r>
        <w:rPr>
          <w:rFonts w:hint="eastAsia"/>
        </w:rPr>
        <w:t>乙方（盖章）</w:t>
      </w:r>
    </w:p>
    <w:p>
      <w:pPr>
        <w:spacing w:line="360" w:lineRule="auto"/>
        <w:ind w:left="720" w:firstLine="420" w:firstLineChars="200"/>
      </w:pPr>
    </w:p>
    <w:p>
      <w:pPr>
        <w:spacing w:line="360" w:lineRule="auto"/>
        <w:ind w:left="720" w:firstLine="420" w:firstLineChars="200"/>
      </w:pPr>
    </w:p>
    <w:p>
      <w:pPr>
        <w:spacing w:line="360" w:lineRule="auto"/>
        <w:ind w:left="720" w:firstLine="14" w:firstLineChars="7"/>
      </w:pPr>
      <w:r>
        <w:rPr>
          <w:rFonts w:hint="eastAsia"/>
        </w:rPr>
        <w:t xml:space="preserve">签约代表     </w:t>
      </w:r>
      <w:r>
        <w:t xml:space="preserve">                                </w:t>
      </w:r>
      <w:r>
        <w:rPr>
          <w:rFonts w:hint="eastAsia"/>
        </w:rPr>
        <w:t>签约代表</w:t>
      </w:r>
    </w:p>
    <w:p>
      <w:pPr>
        <w:spacing w:line="360" w:lineRule="auto"/>
        <w:ind w:left="720" w:firstLine="420" w:firstLineChars="200"/>
      </w:pPr>
    </w:p>
    <w:p>
      <w:pPr>
        <w:spacing w:line="360" w:lineRule="auto"/>
        <w:ind w:left="90" w:leftChars="43" w:firstLine="1050" w:firstLineChars="500"/>
      </w:pPr>
      <w:r>
        <w:rPr>
          <w:rFonts w:hint="eastAsia"/>
        </w:rPr>
        <w:t xml:space="preserve">   </w:t>
      </w:r>
      <w:r>
        <w:t xml:space="preserve">                                              </w:t>
      </w:r>
    </w:p>
    <w:p>
      <w:pPr>
        <w:spacing w:line="360" w:lineRule="auto"/>
        <w:ind w:left="90" w:leftChars="43" w:firstLine="1050" w:firstLineChars="500"/>
      </w:pPr>
    </w:p>
    <w:p>
      <w:pPr>
        <w:spacing w:line="360" w:lineRule="auto"/>
        <w:ind w:left="90" w:leftChars="43" w:firstLine="644" w:firstLineChars="307"/>
      </w:pPr>
      <w:r>
        <w:t>______</w:t>
      </w:r>
      <w:r>
        <w:rPr>
          <w:rFonts w:hint="eastAsia"/>
        </w:rPr>
        <w:t>年</w:t>
      </w:r>
      <w:r>
        <w:t>___</w:t>
      </w:r>
      <w:r>
        <w:rPr>
          <w:rFonts w:hint="eastAsia"/>
          <w:u w:val="single"/>
        </w:rPr>
        <w:t xml:space="preserve">   </w:t>
      </w:r>
      <w:r>
        <w:rPr>
          <w:rFonts w:hint="eastAsia"/>
        </w:rPr>
        <w:t>月</w:t>
      </w:r>
      <w:r>
        <w:t>__</w:t>
      </w:r>
      <w:r>
        <w:rPr>
          <w:rFonts w:hint="eastAsia"/>
          <w:u w:val="single"/>
        </w:rPr>
        <w:t xml:space="preserve">  </w:t>
      </w:r>
      <w:r>
        <w:t>__</w:t>
      </w:r>
      <w:r>
        <w:rPr>
          <w:rFonts w:hint="eastAsia"/>
        </w:rPr>
        <w:t xml:space="preserve">日                     </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pPr>
        <w:rPr>
          <w:rFonts w:hint="eastAsia"/>
        </w:rPr>
      </w:pPr>
    </w:p>
    <w:p>
      <w:pPr>
        <w:pStyle w:val="35"/>
      </w:pPr>
    </w:p>
    <w:p>
      <w:pP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pPr>
      <w:bookmarkStart w:id="185" w:name="_Toc16593"/>
      <w:bookmarkStart w:id="186" w:name="_Toc3728"/>
      <w:bookmarkStart w:id="187" w:name="_Toc7319"/>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br w:type="page"/>
      </w:r>
    </w:p>
    <w:p>
      <w:pPr>
        <w:kinsoku w:val="0"/>
        <w:overflowPunct w:val="0"/>
        <w:autoSpaceDE w:val="0"/>
        <w:autoSpaceDN w:val="0"/>
        <w:adjustRightInd w:val="0"/>
        <w:spacing w:before="51"/>
        <w:jc w:val="center"/>
        <w:outlineLvl w:val="0"/>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pPr>
      <w:r>
        <w:rPr>
          <w:rFonts w:hint="eastAsia" w:ascii="Times New Roman" w:hAnsi="Times New Roman" w:eastAsia="宋体" w:cs="Times New Roman"/>
          <w:b/>
          <w:bCs/>
          <w:color w:val="000000" w:themeColor="text1"/>
          <w:spacing w:val="2"/>
          <w:kern w:val="0"/>
          <w:sz w:val="32"/>
          <w:szCs w:val="32"/>
          <w:lang w:eastAsia="zh-CN"/>
          <w14:textFill>
            <w14:solidFill>
              <w14:schemeClr w14:val="tx1"/>
            </w14:solidFill>
          </w14:textFill>
        </w:rPr>
        <w:t>第五章</w:t>
      </w:r>
      <w:r>
        <w:rPr>
          <w:rFonts w:hint="eastAsia" w:ascii="Times New Roman" w:hAnsi="Times New Roman" w:eastAsia="宋体" w:cs="Times New Roman"/>
          <w:b/>
          <w:bCs/>
          <w:color w:val="000000" w:themeColor="text1"/>
          <w:spacing w:val="2"/>
          <w:kern w:val="0"/>
          <w:sz w:val="32"/>
          <w:szCs w:val="32"/>
          <w:lang w:val="en-US" w:eastAsia="zh-CN"/>
          <w14:textFill>
            <w14:solidFill>
              <w14:schemeClr w14:val="tx1"/>
            </w14:solidFill>
          </w14:textFill>
        </w:rPr>
        <w:t xml:space="preserve"> </w:t>
      </w:r>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技术标准和要求</w:t>
      </w:r>
      <w:bookmarkEnd w:id="185"/>
      <w:bookmarkEnd w:id="186"/>
      <w:bookmarkEnd w:id="187"/>
    </w:p>
    <w:p>
      <w:pPr>
        <w:numPr>
          <w:ilvl w:val="0"/>
          <w:numId w:val="0"/>
        </w:numPr>
        <w:jc w:val="both"/>
        <w:rPr>
          <w:rFonts w:hint="eastAsia" w:asciiTheme="minorEastAsia" w:hAnsiTheme="minorEastAsia" w:eastAsiaTheme="minorEastAsia" w:cstheme="minorEastAsia"/>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A包：耳鼻喉图文工作站</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一、医用内窥镜摄像系统（含摄像主机和摄像头）</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1、主芯片：数字全高清成像器件，1/1.8 CMOS</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2、分辨率：1920*1080 P，逐行扫描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3、扫描频率：≥60帧高速无拖影传输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4、支持输出格式：16:9、16:10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5、调制传递函数：MTF为50%≥55lp/mm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6、亮度响应特性：≥0.98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7、空间频率响应：SFR50%≥15C/°</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8、静态图像宽容度：40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9、★智能医用LED双液晶感控触摸屏，可在触屏进行功能设置和参数调节，实时显示图像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10、视频输出端口：HDMI*4，BNC*1，VGA*1，SDI*1、RS232*1(网络远程数据控制接口）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11、支持2K、4K,31寸、32寸、43寸、55寸及以上监视器图像传输</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12、专业集成抗干扰模组，解决手术环境中磁场及静电干扰</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13、★数字全高清摄像头防水：IPX8防水级别，支持低温等离子消毒</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14、手术视野，调焦范围：F14至F35定焦及变焦光学适配器，国际C型标准，可根据医院科室需求选择不同光学适配器，可连接国内外硬管及纤维内窥镜。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15、★数字全高清摄像头：摄像头具有5个按键，具有亮度调节，影像冻结，放大等15种调节模式满足临床手术要求</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w:t>
      </w:r>
      <w:r>
        <w:rPr>
          <w:rFonts w:hint="eastAsia" w:ascii="宋体" w:hAnsi="宋体" w:cs="宋体"/>
          <w:iCs/>
          <w:sz w:val="22"/>
          <w:szCs w:val="22"/>
          <w:u w:val="none"/>
          <w:lang w:val="en-US" w:eastAsia="zh-CN"/>
        </w:rPr>
        <w:t>6</w:t>
      </w:r>
      <w:r>
        <w:rPr>
          <w:rFonts w:hint="eastAsia" w:ascii="宋体" w:hAnsi="宋体" w:eastAsia="宋体" w:cs="宋体"/>
          <w:iCs/>
          <w:sz w:val="22"/>
          <w:szCs w:val="22"/>
          <w:u w:val="none"/>
        </w:rPr>
        <w:t>、支持互联网远程服务、远程升级、手术直播、手术示教、实时调节等功能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二、LED医用内窥镜冷光源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1、采用LED发光组件，稳定性强，抗震性强</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2、智能医用LED液晶感控触摸屏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3、液晶屏实时显示LED灯珠温度</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4、★LED发光寿命6万小时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5、色温5500K±20％，通透性好</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6、光输出孔直径为（10±0.30）mm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7、显色指数；≧90。输入功率：150VA</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8、可连接国内外硬管及纤维内窥镜</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9、支持互联网远程服务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三、显示器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1、≥24寸液晶屏</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2、比例；16:10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3、分辨率；≥1920×1200</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4、色彩；≥1670万</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5、对比度；1000:1</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6、视角；178/178</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 xml:space="preserve">7、响应时间；8ms </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8、支持互联网远程服务</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四、配件</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1、光学接口</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2、玻璃光纤束：φ4mm*2500mm</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3、仪器台车：托板间距可自行调整，方便移动，具有静音、带锁轮</w:t>
      </w:r>
    </w:p>
    <w:p>
      <w:pPr>
        <w:spacing w:line="560" w:lineRule="exact"/>
        <w:ind w:firstLine="440" w:firstLineChars="200"/>
        <w:jc w:val="left"/>
        <w:rPr>
          <w:rFonts w:hint="eastAsia" w:ascii="宋体" w:hAnsi="宋体" w:eastAsia="宋体" w:cs="宋体"/>
          <w:iCs/>
          <w:sz w:val="22"/>
          <w:szCs w:val="22"/>
          <w:u w:val="none"/>
        </w:rPr>
      </w:pPr>
      <w:r>
        <w:rPr>
          <w:rFonts w:hint="eastAsia" w:ascii="宋体" w:hAnsi="宋体" w:eastAsia="宋体" w:cs="宋体"/>
          <w:iCs/>
          <w:sz w:val="22"/>
          <w:szCs w:val="22"/>
          <w:u w:val="none"/>
        </w:rPr>
        <w:t>五、配置清单：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76"/>
        <w:gridCol w:w="2205"/>
        <w:gridCol w:w="25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名称</w:t>
            </w:r>
          </w:p>
        </w:tc>
        <w:tc>
          <w:tcPr>
            <w:tcW w:w="22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r>
              <w:rPr>
                <w:rFonts w:hint="eastAsia" w:ascii="宋体" w:hAnsi="宋体" w:eastAsia="宋体" w:cs="宋体"/>
                <w:b/>
                <w:bCs/>
                <w:sz w:val="22"/>
                <w:szCs w:val="22"/>
              </w:rPr>
              <w:t>数量</w:t>
            </w:r>
          </w:p>
        </w:tc>
        <w:tc>
          <w:tcPr>
            <w:tcW w:w="2505" w:type="dxa"/>
            <w:tcBorders>
              <w:top w:val="nil"/>
              <w:left w:val="nil"/>
              <w:bottom w:val="nil"/>
              <w:right w:val="nil"/>
            </w:tcBorders>
            <w:vAlign w:val="center"/>
          </w:tcPr>
          <w:p>
            <w:pPr>
              <w:spacing w:after="120"/>
              <w:jc w:val="center"/>
              <w:rPr>
                <w:rFonts w:hint="eastAsia" w:ascii="宋体" w:hAnsi="宋体" w:eastAsia="宋体" w:cs="宋体"/>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医用摄像系统主机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医用冷光源</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1台</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摄像头</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台车</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1个</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高清工作站</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远程控制软件</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电脑+打印机</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1套</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耳镜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鼻镜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3076"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喉镜</w:t>
            </w:r>
          </w:p>
        </w:tc>
        <w:tc>
          <w:tcPr>
            <w:tcW w:w="2205" w:type="dxa"/>
            <w:tcBorders>
              <w:top w:val="nil"/>
              <w:left w:val="nil"/>
              <w:bottom w:val="nil"/>
              <w:right w:val="nil"/>
            </w:tcBorders>
            <w:vAlign w:val="center"/>
          </w:tcPr>
          <w:p>
            <w:pPr>
              <w:spacing w:after="120"/>
              <w:jc w:val="center"/>
              <w:rPr>
                <w:rFonts w:hint="eastAsia" w:ascii="宋体" w:hAnsi="宋体" w:eastAsia="宋体" w:cs="宋体"/>
                <w:sz w:val="22"/>
                <w:szCs w:val="22"/>
              </w:rPr>
            </w:pPr>
            <w:r>
              <w:rPr>
                <w:rFonts w:hint="eastAsia" w:ascii="宋体" w:hAnsi="宋体" w:eastAsia="宋体" w:cs="宋体"/>
                <w:sz w:val="22"/>
                <w:szCs w:val="22"/>
              </w:rPr>
              <w:t>1支</w:t>
            </w:r>
          </w:p>
        </w:tc>
        <w:tc>
          <w:tcPr>
            <w:tcW w:w="2505" w:type="dxa"/>
            <w:tcBorders>
              <w:top w:val="nil"/>
              <w:left w:val="nil"/>
              <w:bottom w:val="nil"/>
              <w:right w:val="nil"/>
            </w:tcBorders>
            <w:vAlign w:val="center"/>
          </w:tcPr>
          <w:p>
            <w:pPr>
              <w:spacing w:after="120"/>
              <w:jc w:val="center"/>
              <w:rPr>
                <w:rFonts w:hint="eastAsia" w:ascii="宋体" w:hAnsi="宋体" w:eastAsia="宋体" w:cs="宋体"/>
                <w:sz w:val="22"/>
                <w:szCs w:val="22"/>
              </w:rPr>
            </w:pPr>
          </w:p>
        </w:tc>
      </w:tr>
    </w:tbl>
    <w:p>
      <w:pPr>
        <w:pStyle w:val="35"/>
        <w:rPr>
          <w:rFonts w:hint="eastAsia" w:ascii="宋体" w:hAnsi="宋体" w:eastAsia="宋体" w:cs="宋体"/>
          <w:sz w:val="21"/>
          <w:szCs w:val="21"/>
        </w:rPr>
      </w:pPr>
    </w:p>
    <w:p>
      <w:pPr>
        <w:numPr>
          <w:ilvl w:val="0"/>
          <w:numId w:val="0"/>
        </w:numPr>
        <w:jc w:val="both"/>
        <w:rPr>
          <w:rFonts w:hint="eastAsia" w:asciiTheme="minorEastAsia" w:hAnsiTheme="minorEastAsia" w:eastAsia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B包：便携式彩色多普勒超声系统</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18"/>
        <w:tblW w:w="8880" w:type="dxa"/>
        <w:tblInd w:w="0" w:type="dxa"/>
        <w:tblLayout w:type="fixed"/>
        <w:tblCellMar>
          <w:top w:w="15" w:type="dxa"/>
          <w:left w:w="15" w:type="dxa"/>
          <w:bottom w:w="15" w:type="dxa"/>
          <w:right w:w="15" w:type="dxa"/>
        </w:tblCellMar>
      </w:tblPr>
      <w:tblGrid>
        <w:gridCol w:w="8880"/>
      </w:tblGrid>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bookmarkStart w:id="188" w:name="_Hlk144969578"/>
            <w:r>
              <w:rPr>
                <w:rFonts w:hint="eastAsia" w:ascii="宋体" w:hAnsi="宋体" w:cs="宋体"/>
                <w:kern w:val="0"/>
                <w:sz w:val="22"/>
                <w:szCs w:val="22"/>
                <w:lang w:bidi="ar"/>
              </w:rPr>
              <w:t>1、应用于全身超声检查：腹部、妇科、心脏、小器官、泌尿、血管、儿科、急诊及其它</w:t>
            </w:r>
          </w:p>
        </w:tc>
      </w:tr>
      <w:tr>
        <w:tblPrEx>
          <w:tblCellMar>
            <w:top w:w="15" w:type="dxa"/>
            <w:left w:w="15" w:type="dxa"/>
            <w:bottom w:w="15" w:type="dxa"/>
            <w:right w:w="15" w:type="dxa"/>
          </w:tblCellMar>
        </w:tblPrEx>
        <w:trPr>
          <w:trHeight w:val="3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2、探头接口1个，为无针式接口。</w:t>
            </w:r>
          </w:p>
        </w:tc>
      </w:tr>
      <w:tr>
        <w:tblPrEx>
          <w:tblCellMar>
            <w:top w:w="15" w:type="dxa"/>
            <w:left w:w="15" w:type="dxa"/>
            <w:bottom w:w="15" w:type="dxa"/>
            <w:right w:w="15" w:type="dxa"/>
          </w:tblCellMar>
        </w:tblPrEx>
        <w:trPr>
          <w:trHeight w:val="348"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3、探头配置：单晶体相控阵、凸阵、线阵探头。</w:t>
            </w:r>
          </w:p>
        </w:tc>
      </w:tr>
      <w:tr>
        <w:tblPrEx>
          <w:tblCellMar>
            <w:top w:w="15" w:type="dxa"/>
            <w:left w:w="15" w:type="dxa"/>
            <w:bottom w:w="15" w:type="dxa"/>
            <w:right w:w="15" w:type="dxa"/>
          </w:tblCellMar>
        </w:tblPrEx>
        <w:trPr>
          <w:trHeight w:val="32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w:t>
            </w:r>
            <w:r>
              <w:rPr>
                <w:rFonts w:ascii="宋体" w:hAnsi="宋体" w:cs="宋体"/>
                <w:kern w:val="0"/>
                <w:sz w:val="22"/>
                <w:szCs w:val="22"/>
              </w:rPr>
              <w:t>★</w:t>
            </w:r>
            <w:r>
              <w:rPr>
                <w:rFonts w:hint="eastAsia" w:ascii="宋体" w:hAnsi="宋体" w:cs="宋体"/>
                <w:kern w:val="0"/>
                <w:sz w:val="22"/>
                <w:szCs w:val="22"/>
                <w:lang w:bidi="ar"/>
              </w:rPr>
              <w:t>质量层次：国产，且在品牌所在国制造生产。</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一、主机及技术参数要求：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1、通用功能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w:t>
            </w:r>
            <w:r>
              <w:rPr>
                <w:rFonts w:ascii="宋体" w:hAnsi="宋体" w:cs="宋体"/>
                <w:kern w:val="0"/>
                <w:sz w:val="22"/>
                <w:szCs w:val="22"/>
              </w:rPr>
              <w:t>★</w:t>
            </w:r>
            <w:r>
              <w:rPr>
                <w:rFonts w:hint="eastAsia" w:ascii="宋体" w:hAnsi="宋体" w:cs="宋体"/>
                <w:kern w:val="0"/>
                <w:sz w:val="22"/>
                <w:szCs w:val="22"/>
                <w:lang w:bidi="ar"/>
              </w:rPr>
              <w:t>彩色液晶显示器≥15英寸，传统轨迹球操作面板设计</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rPr>
                <w:rFonts w:hint="eastAsia" w:ascii="宋体" w:hAnsi="宋体" w:cs="宋体"/>
                <w:sz w:val="22"/>
                <w:szCs w:val="22"/>
              </w:rPr>
            </w:pPr>
            <w:r>
              <w:rPr>
                <w:rFonts w:hint="eastAsia" w:ascii="宋体" w:hAnsi="宋体" w:cs="宋体"/>
                <w:sz w:val="22"/>
                <w:szCs w:val="22"/>
              </w:rPr>
              <w:t>1.2、 扩展成像技术 ，支持线阵探头、凸阵探头</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 测量和分析:(B型,M型,频谱多普勒,彩色多普勒)</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1.3.1一般测量</w:t>
            </w:r>
          </w:p>
        </w:tc>
      </w:tr>
      <w:tr>
        <w:tblPrEx>
          <w:tblCellMar>
            <w:top w:w="15" w:type="dxa"/>
            <w:left w:w="15" w:type="dxa"/>
            <w:bottom w:w="15" w:type="dxa"/>
            <w:right w:w="15" w:type="dxa"/>
          </w:tblCellMar>
        </w:tblPrEx>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1.3.2  产科测量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1.3.3  心脏功能测量</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1.3.4  妇科测量包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1.3.5  神经测量包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1.3.6  腹部测量包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1.3.7  急诊科测量包</w:t>
            </w:r>
          </w:p>
        </w:tc>
      </w:tr>
      <w:tr>
        <w:tblPrEx>
          <w:tblCellMar>
            <w:top w:w="15" w:type="dxa"/>
            <w:left w:w="15" w:type="dxa"/>
            <w:bottom w:w="15" w:type="dxa"/>
            <w:right w:w="15" w:type="dxa"/>
          </w:tblCellMar>
        </w:tblPrEx>
        <w:trPr>
          <w:trHeight w:val="47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1.3.8  外周血管血流测量分析报告功能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1.4、主机标配探头接口：1个，配备一拖三扩展器。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1.5、台车可升降</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1.6、二维灰阶模式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1.7、谐波成像模式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1.8、M型模式、彩色M型模式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★1.9、解剖M型模式，</w:t>
            </w:r>
            <w:r>
              <w:rPr>
                <w:rFonts w:hint="eastAsia" w:ascii="宋体" w:hAnsi="宋体" w:cs="宋体"/>
                <w:sz w:val="22"/>
                <w:szCs w:val="22"/>
              </w:rPr>
              <w:t>要求具有≥2条取样线，要求能360度任意旋转角度，同时要求支持实时扫描以及后处理离线分析过程中重构M型图像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1.10、具有组织特征成像，能够独立选择肌肉、常规、脂肪、液性成像模式</w:t>
            </w:r>
          </w:p>
        </w:tc>
      </w:tr>
      <w:tr>
        <w:tblPrEx>
          <w:tblCellMar>
            <w:top w:w="15" w:type="dxa"/>
            <w:left w:w="15" w:type="dxa"/>
            <w:bottom w:w="15" w:type="dxa"/>
            <w:right w:w="15" w:type="dxa"/>
          </w:tblCellMar>
        </w:tblPrEx>
        <w:trPr>
          <w:trHeight w:val="64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1.11、彩色多普勒成像（包括彩色、能量、方向能量多普勒模式）</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1.11.1、多普勒频率≥2段可视可独立调节</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1.11.2、B/Color双幅实时显示</w:t>
            </w:r>
          </w:p>
        </w:tc>
      </w:tr>
      <w:tr>
        <w:tblPrEx>
          <w:tblCellMar>
            <w:top w:w="15" w:type="dxa"/>
            <w:left w:w="15" w:type="dxa"/>
            <w:bottom w:w="15" w:type="dxa"/>
            <w:right w:w="15" w:type="dxa"/>
          </w:tblCellMar>
        </w:tblPrEx>
        <w:trPr>
          <w:trHeight w:val="473"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1.11.3、扫描帧率最大帧频≥260帧／秒</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1.12、频谱多普勒成像 </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1.12.1  支持脉冲多普勒（PW），高脉冲重复频率（HPRF）,连续多普勒（CW）模式</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1.12.2  取样宽度及位置范围：0.5mm~20mm</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1.12.3  线阵探头多普勒取样线偏转≥±20°可调</w:t>
            </w:r>
          </w:p>
        </w:tc>
      </w:tr>
      <w:tr>
        <w:tblPrEx>
          <w:tblCellMar>
            <w:top w:w="15" w:type="dxa"/>
            <w:left w:w="15" w:type="dxa"/>
            <w:bottom w:w="15" w:type="dxa"/>
            <w:right w:w="15" w:type="dxa"/>
          </w:tblCellMar>
        </w:tblPrEx>
        <w:trPr>
          <w:trHeight w:val="4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1.12.4  多普勒取样音可开关，音量大小可调</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1.13、组织多普勒成像（包括TVI, TVD, TVM, TEI4种模式，提供图片证明）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 xml:space="preserve">1.14、宽景成像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1.15、空间复合成像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1.16、斑点噪声抑制技术 </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w:t>
            </w:r>
            <w:r>
              <w:rPr>
                <w:rFonts w:ascii="宋体" w:hAnsi="宋体" w:cs="宋体"/>
                <w:kern w:val="0"/>
                <w:sz w:val="22"/>
                <w:szCs w:val="22"/>
                <w:lang w:bidi="ar"/>
              </w:rPr>
              <w:t>17</w:t>
            </w:r>
            <w:r>
              <w:rPr>
                <w:rFonts w:ascii="宋体" w:hAnsi="宋体" w:cs="宋体"/>
                <w:kern w:val="0"/>
                <w:sz w:val="22"/>
                <w:szCs w:val="22"/>
              </w:rPr>
              <w:t>★</w:t>
            </w:r>
            <w:r>
              <w:rPr>
                <w:rFonts w:hint="eastAsia" w:ascii="宋体" w:hAnsi="宋体" w:cs="宋体"/>
                <w:kern w:val="0"/>
                <w:sz w:val="22"/>
                <w:szCs w:val="22"/>
                <w:lang w:bidi="ar"/>
              </w:rPr>
              <w:t>造影成像及造影定量分析功能</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.1支持浅表、腹部探头</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.2支持微血管造影成像</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w:t>
            </w:r>
            <w:r>
              <w:rPr>
                <w:rFonts w:ascii="宋体" w:hAnsi="宋体" w:cs="宋体"/>
                <w:kern w:val="0"/>
                <w:sz w:val="22"/>
                <w:szCs w:val="22"/>
                <w:lang w:bidi="ar"/>
              </w:rPr>
              <w:t>7</w:t>
            </w:r>
            <w:r>
              <w:rPr>
                <w:rFonts w:hint="eastAsia" w:ascii="宋体" w:hAnsi="宋体" w:cs="宋体"/>
                <w:kern w:val="0"/>
                <w:sz w:val="22"/>
                <w:szCs w:val="22"/>
                <w:lang w:bidi="ar"/>
              </w:rPr>
              <w:t>.3支持造影图和组织图位置互换</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1.17.</w:t>
            </w:r>
            <w:r>
              <w:rPr>
                <w:rFonts w:ascii="宋体" w:hAnsi="宋体" w:cs="宋体"/>
                <w:kern w:val="0"/>
                <w:sz w:val="22"/>
                <w:szCs w:val="22"/>
                <w:lang w:bidi="ar"/>
              </w:rPr>
              <w:t>4</w:t>
            </w:r>
            <w:r>
              <w:rPr>
                <w:rFonts w:hint="eastAsia" w:ascii="宋体" w:hAnsi="宋体" w:cs="宋体"/>
                <w:kern w:val="0"/>
                <w:sz w:val="22"/>
                <w:szCs w:val="22"/>
                <w:lang w:bidi="ar"/>
              </w:rPr>
              <w:t>支持造影定量分析曲线显示和表格显示</w:t>
            </w:r>
          </w:p>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1.17.</w:t>
            </w:r>
            <w:r>
              <w:rPr>
                <w:rFonts w:ascii="宋体" w:hAnsi="宋体" w:cs="宋体"/>
                <w:kern w:val="0"/>
                <w:sz w:val="22"/>
                <w:szCs w:val="22"/>
                <w:lang w:bidi="ar"/>
              </w:rPr>
              <w:t>5</w:t>
            </w:r>
            <w:r>
              <w:rPr>
                <w:rFonts w:hint="eastAsia" w:ascii="宋体" w:hAnsi="宋体" w:cs="宋体"/>
                <w:kern w:val="0"/>
                <w:sz w:val="22"/>
                <w:szCs w:val="22"/>
                <w:lang w:bidi="ar"/>
              </w:rPr>
              <w:t>支持运动追踪功能</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★1.18、心脏检查支持兼容高速血流和低速血流同时显示技术</w:t>
            </w:r>
          </w:p>
        </w:tc>
      </w:tr>
      <w:tr>
        <w:tblPrEx>
          <w:tblCellMar>
            <w:top w:w="15" w:type="dxa"/>
            <w:left w:w="15" w:type="dxa"/>
            <w:bottom w:w="15" w:type="dxa"/>
            <w:right w:w="15" w:type="dxa"/>
          </w:tblCellMar>
        </w:tblPrEx>
        <w:trPr>
          <w:trHeight w:val="82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★1.19、心腔心肌对比显示技术，降低心腔噪声，提升心肌心腔对比显示率，获得优异的心脏图像</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1.20、★弹性成像及定量分析单元</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.1组织硬度定量分析软件和压力曲线提示图标</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w:t>
            </w:r>
            <w:r>
              <w:rPr>
                <w:rFonts w:ascii="宋体" w:hAnsi="宋体" w:cs="宋体"/>
                <w:kern w:val="0"/>
                <w:sz w:val="22"/>
                <w:szCs w:val="22"/>
                <w:lang w:bidi="ar"/>
              </w:rPr>
              <w:t>0</w:t>
            </w:r>
            <w:r>
              <w:rPr>
                <w:rFonts w:hint="eastAsia" w:ascii="宋体" w:hAnsi="宋体" w:cs="宋体"/>
                <w:kern w:val="0"/>
                <w:sz w:val="22"/>
                <w:szCs w:val="22"/>
                <w:lang w:bidi="ar"/>
              </w:rPr>
              <w:t>.2支持应变率测量和肿块周边组织弹性定量分析（提供证明图片）</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1.21、图像局部放大功能(实时和冻结放大，放大倍率≥8倍)，支持智能全屏放大实时显示功能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1.22、支持自动工作流协议，试用于体检中心、超声科等重复性检查，可以用户自定义操作流，节约检查时间，提升工作效率</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★1.23、支持基于辛普森的自动左心室收缩功能测量</w:t>
            </w:r>
          </w:p>
        </w:tc>
      </w:tr>
      <w:tr>
        <w:tblPrEx>
          <w:tblCellMar>
            <w:top w:w="15" w:type="dxa"/>
            <w:left w:w="15" w:type="dxa"/>
            <w:bottom w:w="15" w:type="dxa"/>
            <w:right w:w="15" w:type="dxa"/>
          </w:tblCellMar>
        </w:tblPrEx>
        <w:trPr>
          <w:trHeight w:val="57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1.24、穿刺针增强技术，可以增强针尖针体的显示，提高穿刺的可视性</w:t>
            </w:r>
          </w:p>
        </w:tc>
      </w:tr>
      <w:tr>
        <w:tblPrEx>
          <w:tblCellMar>
            <w:top w:w="15" w:type="dxa"/>
            <w:left w:w="15" w:type="dxa"/>
            <w:bottom w:w="15" w:type="dxa"/>
            <w:right w:w="15" w:type="dxa"/>
          </w:tblCellMar>
        </w:tblPrEx>
        <w:trPr>
          <w:trHeight w:val="81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1.25、支持移动终端系统：超声设备与智能设备无线连接，通过无线连接将超声机器的临床图像传输到手机或平板电脑,方便医生会诊。</w:t>
            </w:r>
          </w:p>
        </w:tc>
      </w:tr>
      <w:tr>
        <w:tblPrEx>
          <w:tblCellMar>
            <w:top w:w="15" w:type="dxa"/>
            <w:left w:w="15" w:type="dxa"/>
            <w:bottom w:w="15" w:type="dxa"/>
            <w:right w:w="15" w:type="dxa"/>
          </w:tblCellMar>
        </w:tblPrEx>
        <w:trPr>
          <w:trHeight w:val="49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1.26、预设置全面检查条件，一键快速切换至所需模式界面</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★1.27、自助超声教学系统，帮助医生更快掌握超声扫查的手法，实现标准化</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1.28、全中文操作系统界面、操作菜单并可选多种语言。</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1.29、 图像存储与(电影)回放重现单元：支持同步存储(支持单帧图像文件包含： DCM、TIFF、BMP、JEPG单帧，电影文件包括：CIN、AVI、DCM)，即后台存储或导出图像数据的同时前台可以完成实时扫描。直接一键存储至硬盘，无需格式转换；支持网格硬盘直接存储；突然关机或未结束检查关机资料不丢失</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2.探头规格</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2.1、超宽频变频探头，基波、谐波、彩色、多普勒模式下独立变频均≥3种</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2.2、凸振探头：频率范围1.5-5.0MHz，最大显示深度≥38cm（提供证明图片）</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2.3、线阵探头：频率范围3.0-13.0MHz</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2.4</w:t>
            </w:r>
            <w:r>
              <w:rPr>
                <w:rFonts w:ascii="宋体" w:hAnsi="宋体" w:cs="宋体"/>
                <w:kern w:val="0"/>
                <w:sz w:val="22"/>
                <w:szCs w:val="22"/>
              </w:rPr>
              <w:t>★</w:t>
            </w:r>
            <w:r>
              <w:rPr>
                <w:rFonts w:hint="eastAsia" w:ascii="宋体" w:hAnsi="宋体" w:cs="宋体"/>
                <w:kern w:val="0"/>
                <w:sz w:val="22"/>
                <w:szCs w:val="22"/>
                <w:lang w:bidi="ar"/>
              </w:rPr>
              <w:t xml:space="preserve">单晶体相控阵探头：频率范围1.2-4.2MHz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lang w:bidi="ar"/>
              </w:rPr>
              <w:t>2.5</w:t>
            </w:r>
            <w:r>
              <w:rPr>
                <w:rFonts w:ascii="宋体" w:hAnsi="宋体" w:cs="宋体"/>
                <w:kern w:val="0"/>
                <w:sz w:val="22"/>
                <w:szCs w:val="22"/>
              </w:rPr>
              <w:t>★</w:t>
            </w:r>
            <w:r>
              <w:rPr>
                <w:rFonts w:hint="eastAsia" w:ascii="宋体" w:hAnsi="宋体" w:cs="宋体"/>
                <w:kern w:val="0"/>
                <w:sz w:val="22"/>
                <w:szCs w:val="22"/>
                <w:lang w:bidi="ar"/>
              </w:rPr>
              <w:t>可选配经食道探头，带宽：4.0-7.0MHZ</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ascii="宋体" w:hAnsi="宋体" w:cs="宋体"/>
                <w:kern w:val="0"/>
                <w:sz w:val="22"/>
                <w:szCs w:val="22"/>
              </w:rPr>
              <w:t>2.6★生产厂家可生产探头类型：相控阵、电子扇扫、凸阵、线阵、腔内、容积探头、经食道探头，双平面探头，腹腔镜探头。</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3、系统技术参数及要求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3.1、二维灰阶成像单元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3.1.1、数字波束增强器</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3.1.2、接收方式：发射、接收通道≥60,000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3.1.3、最大显示深度:≥38cm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3.1.4、最大帧率: ≥800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★3.1.5、TGC: ≥8段,LGC:≥4段</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3.2、彩色多普勒参数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3.2.1、包括彩色、能量、方向性能量多普勒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3.2.2、支持高分辨率血流模式</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3.2.3、取样框偏转: ±30度 (线阵探头)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3.2.4、最大帧率: ≥260 帧/秒</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3.3、频谱多普勒参数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3.3.1、频谱多普勒模式：包括脉冲多普勒、高脉冲重复频率、连续多普勒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3.3.2、频谱多普勒最大速度≥7.0m/s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3.3.3、连续多普勒速度最大速度≥30.0m/s</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3.3.4、取样容积: 0.5-20mm</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4、测量功能</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 xml:space="preserve">4.1、具备常规测量：包括距离、周长、面积、预产期、分娩日期等  </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4.2、妇产科测量：多胞胎对比测量分析，胎儿生长曲线显示、生理评分 </w:t>
            </w:r>
          </w:p>
        </w:tc>
      </w:tr>
      <w:tr>
        <w:tblPrEx>
          <w:tblCellMar>
            <w:top w:w="15" w:type="dxa"/>
            <w:left w:w="15" w:type="dxa"/>
            <w:bottom w:w="15" w:type="dxa"/>
            <w:right w:w="15" w:type="dxa"/>
          </w:tblCellMar>
        </w:tblPrEx>
        <w:trPr>
          <w:trHeight w:val="46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★4.3、血管内中膜自动测量，取样框选定后自动计算血管前/后壁内中膜的厚度，测量角度。</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4.4、胎儿心脏评分用于胎儿心脏发育异常产前筛查评估，支持心脏≥15个测量项目，并同时获得胎儿心脏发育评分。</w:t>
            </w:r>
          </w:p>
        </w:tc>
      </w:tr>
      <w:tr>
        <w:tblPrEx>
          <w:tblCellMar>
            <w:top w:w="15" w:type="dxa"/>
            <w:left w:w="15" w:type="dxa"/>
            <w:bottom w:w="15" w:type="dxa"/>
            <w:right w:w="15" w:type="dxa"/>
          </w:tblCellMar>
        </w:tblPrEx>
        <w:trPr>
          <w:trHeight w:val="411"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4.5、</w:t>
            </w:r>
            <w:r>
              <w:rPr>
                <w:rFonts w:hint="eastAsia" w:ascii="宋体" w:hAnsi="宋体" w:cs="宋体"/>
                <w:sz w:val="22"/>
                <w:szCs w:val="22"/>
              </w:rPr>
              <w:t xml:space="preserve"> 外周血管专用测量及分析</w:t>
            </w:r>
          </w:p>
        </w:tc>
      </w:tr>
      <w:tr>
        <w:tblPrEx>
          <w:tblCellMar>
            <w:top w:w="15" w:type="dxa"/>
            <w:left w:w="15" w:type="dxa"/>
            <w:bottom w:w="15" w:type="dxa"/>
            <w:right w:w="15" w:type="dxa"/>
          </w:tblCellMar>
        </w:tblPrEx>
        <w:trPr>
          <w:trHeight w:val="424" w:hRule="atLeast"/>
        </w:trPr>
        <w:tc>
          <w:tcPr>
            <w:tcW w:w="8880" w:type="dxa"/>
            <w:tcBorders>
              <w:top w:val="nil"/>
              <w:left w:val="nil"/>
              <w:bottom w:val="nil"/>
              <w:right w:val="nil"/>
            </w:tcBorders>
            <w:vAlign w:val="center"/>
          </w:tcPr>
          <w:p>
            <w:pPr>
              <w:autoSpaceDE w:val="0"/>
              <w:autoSpaceDN w:val="0"/>
              <w:adjustRightInd w:val="0"/>
              <w:jc w:val="left"/>
              <w:rPr>
                <w:rFonts w:hint="eastAsia" w:ascii="宋体" w:hAnsi="宋体" w:cs="宋体"/>
                <w:kern w:val="0"/>
                <w:sz w:val="22"/>
                <w:szCs w:val="22"/>
                <w:lang w:bidi="ar"/>
              </w:rPr>
            </w:pPr>
            <w:r>
              <w:rPr>
                <w:rFonts w:hint="eastAsia" w:ascii="宋体" w:hAnsi="宋体" w:cs="宋体"/>
                <w:kern w:val="0"/>
                <w:sz w:val="22"/>
                <w:szCs w:val="22"/>
                <w:lang w:bidi="ar"/>
              </w:rPr>
              <w:t>4.6、</w:t>
            </w:r>
            <w:r>
              <w:rPr>
                <w:rFonts w:hint="eastAsia" w:ascii="宋体" w:hAnsi="宋体" w:cs="宋体"/>
                <w:sz w:val="22"/>
                <w:szCs w:val="22"/>
              </w:rPr>
              <w:t>心脏功能专用测量及分析</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ind w:left="220" w:hanging="220" w:hangingChars="100"/>
              <w:rPr>
                <w:rFonts w:hint="eastAsia" w:ascii="宋体" w:hAnsi="宋体" w:cs="宋体"/>
                <w:kern w:val="0"/>
                <w:sz w:val="22"/>
                <w:szCs w:val="22"/>
                <w:lang w:bidi="ar"/>
              </w:rPr>
            </w:pPr>
            <w:r>
              <w:rPr>
                <w:rFonts w:hint="eastAsia" w:ascii="宋体" w:hAnsi="宋体" w:cs="宋体"/>
                <w:sz w:val="22"/>
                <w:szCs w:val="22"/>
              </w:rPr>
              <w:t>4.6.1、左室心功能计算方法支持Teichholz，Cube,Gibson，Simpson Single-plane，Simpson-Bi-plane,Modified Simpson,Bullet,S-P Ellipse，B-P Ellipse</w:t>
            </w:r>
          </w:p>
        </w:tc>
      </w:tr>
      <w:tr>
        <w:tblPrEx>
          <w:tblCellMar>
            <w:top w:w="15" w:type="dxa"/>
            <w:left w:w="15" w:type="dxa"/>
            <w:bottom w:w="15" w:type="dxa"/>
            <w:right w:w="15" w:type="dxa"/>
          </w:tblCellMar>
        </w:tblPrEx>
        <w:trPr>
          <w:trHeight w:val="487"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4.6.2、支持左室TEI指数，右室TEI指数</w:t>
            </w:r>
          </w:p>
        </w:tc>
      </w:tr>
      <w:tr>
        <w:tblPrEx>
          <w:tblCellMar>
            <w:top w:w="15" w:type="dxa"/>
            <w:left w:w="15" w:type="dxa"/>
            <w:bottom w:w="15" w:type="dxa"/>
            <w:right w:w="15" w:type="dxa"/>
          </w:tblCellMar>
        </w:tblPrEx>
        <w:trPr>
          <w:trHeight w:val="45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4.6.3、左室心肌重量计算方法支持长度面积法，截断椭圆法，Cube法</w:t>
            </w:r>
          </w:p>
        </w:tc>
      </w:tr>
      <w:tr>
        <w:tblPrEx>
          <w:tblCellMar>
            <w:top w:w="15" w:type="dxa"/>
            <w:left w:w="15" w:type="dxa"/>
            <w:bottom w:w="15" w:type="dxa"/>
            <w:right w:w="15" w:type="dxa"/>
          </w:tblCellMar>
        </w:tblPrEx>
        <w:trPr>
          <w:trHeight w:val="47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4.6.4、支持辛普森测左室收缩功能</w:t>
            </w:r>
          </w:p>
        </w:tc>
      </w:tr>
      <w:tr>
        <w:tblPrEx>
          <w:tblCellMar>
            <w:top w:w="15" w:type="dxa"/>
            <w:left w:w="15" w:type="dxa"/>
            <w:bottom w:w="15" w:type="dxa"/>
            <w:right w:w="15" w:type="dxa"/>
          </w:tblCellMar>
        </w:tblPrEx>
        <w:trPr>
          <w:trHeight w:val="45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sz w:val="22"/>
                <w:szCs w:val="22"/>
              </w:rPr>
              <w:t>4.7、多普勒测量及分析（自动或手动包络测量，自动计算测量参数）</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5、检查存储和管理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 xml:space="preserve">5.1、≥200G固态硬盘 </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5.2、多种导出图像格式：动态图像、静态图像以PC格式直接导出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6、连通性要求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6.1、支持网络连接、DICOM 3.0  支持</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6.2、USB 3.0接口2个</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6.3、 外设数据模块：包含下列接口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ECG 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2 USB</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串行接口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1左/右音频输出接口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麦克风接口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遥控控制接口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复合视频输出接口</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1 DVI-I 输出接口</w:t>
            </w:r>
          </w:p>
        </w:tc>
      </w:tr>
      <w:tr>
        <w:tblPrEx>
          <w:tblCellMar>
            <w:top w:w="15" w:type="dxa"/>
            <w:left w:w="15" w:type="dxa"/>
            <w:bottom w:w="15" w:type="dxa"/>
            <w:right w:w="15" w:type="dxa"/>
          </w:tblCellMar>
        </w:tblPrEx>
        <w:trPr>
          <w:trHeight w:val="9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7、安全和认证</w:t>
            </w:r>
          </w:p>
        </w:tc>
      </w:tr>
      <w:tr>
        <w:tblPrEx>
          <w:tblCellMar>
            <w:top w:w="15" w:type="dxa"/>
            <w:left w:w="15" w:type="dxa"/>
            <w:bottom w:w="15" w:type="dxa"/>
            <w:right w:w="15" w:type="dxa"/>
          </w:tblCellMar>
        </w:tblPrEx>
        <w:trPr>
          <w:trHeight w:val="359"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 xml:space="preserve">二、 外设和附件     </w:t>
            </w:r>
          </w:p>
        </w:tc>
      </w:tr>
      <w:tr>
        <w:tblPrEx>
          <w:tblCellMar>
            <w:top w:w="15" w:type="dxa"/>
            <w:left w:w="15" w:type="dxa"/>
            <w:bottom w:w="15" w:type="dxa"/>
            <w:right w:w="15" w:type="dxa"/>
          </w:tblCellMar>
        </w:tblPrEx>
        <w:trPr>
          <w:trHeight w:val="50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1、具备专业探头放置架≥5个（不包括藕合剂放置架）</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2、支持数字黑白、模拟黑白、数字彩色、模拟彩色、文本及无线打印机 支持</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3、整机重量：≤</w:t>
            </w:r>
            <w:r>
              <w:rPr>
                <w:rFonts w:ascii="宋体" w:hAnsi="宋体" w:cs="宋体"/>
                <w:kern w:val="0"/>
                <w:sz w:val="22"/>
                <w:szCs w:val="22"/>
                <w:lang w:bidi="ar"/>
              </w:rPr>
              <w:t>6.5</w:t>
            </w:r>
            <w:r>
              <w:rPr>
                <w:rFonts w:hint="eastAsia" w:ascii="宋体" w:hAnsi="宋体" w:cs="宋体"/>
                <w:kern w:val="0"/>
                <w:sz w:val="22"/>
                <w:szCs w:val="22"/>
                <w:lang w:bidi="ar"/>
              </w:rPr>
              <w:t xml:space="preserve">Kg，（无外设）   </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b/>
                <w:sz w:val="22"/>
                <w:szCs w:val="22"/>
              </w:rPr>
            </w:pPr>
            <w:r>
              <w:rPr>
                <w:rFonts w:hint="eastAsia" w:ascii="宋体" w:hAnsi="宋体" w:cs="宋体"/>
                <w:b/>
                <w:kern w:val="0"/>
                <w:sz w:val="22"/>
                <w:szCs w:val="22"/>
                <w:lang w:bidi="ar"/>
              </w:rPr>
              <w:t>三、 配置要求：</w:t>
            </w:r>
          </w:p>
        </w:tc>
      </w:tr>
      <w:tr>
        <w:tblPrEx>
          <w:tblCellMar>
            <w:top w:w="15" w:type="dxa"/>
            <w:left w:w="15" w:type="dxa"/>
            <w:bottom w:w="15" w:type="dxa"/>
            <w:right w:w="15" w:type="dxa"/>
          </w:tblCellMar>
        </w:tblPrEx>
        <w:trPr>
          <w:trHeight w:val="285"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sz w:val="22"/>
                <w:szCs w:val="22"/>
              </w:rPr>
            </w:pPr>
            <w:r>
              <w:rPr>
                <w:rFonts w:hint="eastAsia" w:ascii="宋体" w:hAnsi="宋体" w:cs="宋体"/>
                <w:kern w:val="0"/>
                <w:sz w:val="22"/>
                <w:szCs w:val="22"/>
                <w:lang w:bidi="ar"/>
              </w:rPr>
              <w:t>1、便携式彩色多普勒超声系统主机1台</w:t>
            </w:r>
          </w:p>
        </w:tc>
      </w:tr>
      <w:tr>
        <w:tblPrEx>
          <w:tblCellMar>
            <w:top w:w="15" w:type="dxa"/>
            <w:left w:w="15" w:type="dxa"/>
            <w:bottom w:w="15" w:type="dxa"/>
            <w:right w:w="15" w:type="dxa"/>
          </w:tblCellMar>
        </w:tblPrEx>
        <w:trPr>
          <w:trHeight w:val="401"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sz w:val="22"/>
                <w:szCs w:val="22"/>
              </w:rPr>
            </w:pPr>
            <w:r>
              <w:rPr>
                <w:rFonts w:hint="eastAsia" w:ascii="宋体" w:hAnsi="宋体" w:cs="宋体"/>
                <w:kern w:val="0"/>
                <w:sz w:val="22"/>
                <w:szCs w:val="22"/>
                <w:lang w:bidi="ar"/>
              </w:rPr>
              <w:t>2、配置探头：腹部探头1把、浅表探头1把、心脏探头1把</w:t>
            </w:r>
          </w:p>
        </w:tc>
      </w:tr>
      <w:tr>
        <w:tblPrEx>
          <w:tblCellMar>
            <w:top w:w="15" w:type="dxa"/>
            <w:left w:w="15" w:type="dxa"/>
            <w:bottom w:w="15" w:type="dxa"/>
            <w:right w:w="15" w:type="dxa"/>
          </w:tblCellMar>
        </w:tblPrEx>
        <w:trPr>
          <w:trHeight w:val="402"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、技术及维修服务、备件、培训要求及其它</w:t>
            </w:r>
          </w:p>
        </w:tc>
      </w:tr>
      <w:tr>
        <w:tblPrEx>
          <w:tblCellMar>
            <w:top w:w="15" w:type="dxa"/>
            <w:left w:w="15" w:type="dxa"/>
            <w:bottom w:w="15" w:type="dxa"/>
            <w:right w:w="15" w:type="dxa"/>
          </w:tblCellMar>
        </w:tblPrEx>
        <w:trPr>
          <w:trHeight w:val="1284"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1</w:t>
            </w:r>
            <w:r>
              <w:rPr>
                <w:rFonts w:hint="eastAsia" w:ascii="宋体" w:hAnsi="宋体" w:cs="宋体"/>
                <w:kern w:val="0"/>
                <w:sz w:val="22"/>
                <w:szCs w:val="22"/>
                <w:lang w:bidi="ar"/>
              </w:rPr>
              <w:t>备件要求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卖方应在用户当地或省会中心城市设置备件库，存入所有必须的备件，保证必要时可以及时供应。</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val="en-US" w:eastAsia="zh-CN" w:bidi="ar"/>
              </w:rPr>
              <w:t>3</w:t>
            </w:r>
            <w:r>
              <w:rPr>
                <w:rFonts w:hint="eastAsia" w:ascii="宋体" w:hAnsi="宋体" w:cs="宋体"/>
                <w:kern w:val="0"/>
                <w:sz w:val="22"/>
                <w:szCs w:val="22"/>
                <w:lang w:bidi="ar"/>
              </w:rPr>
              <w:t>.</w:t>
            </w:r>
            <w:r>
              <w:rPr>
                <w:rFonts w:hint="eastAsia" w:ascii="宋体" w:hAnsi="宋体" w:cs="宋体"/>
                <w:kern w:val="0"/>
                <w:sz w:val="22"/>
                <w:szCs w:val="22"/>
                <w:lang w:val="en-US" w:eastAsia="zh-CN" w:bidi="ar"/>
              </w:rPr>
              <w:t>2</w:t>
            </w:r>
            <w:r>
              <w:rPr>
                <w:rFonts w:hint="eastAsia" w:ascii="宋体" w:hAnsi="宋体" w:cs="宋体"/>
                <w:kern w:val="0"/>
                <w:sz w:val="22"/>
                <w:szCs w:val="22"/>
                <w:lang w:bidi="ar"/>
              </w:rPr>
              <w:t>技术培训要求</w:t>
            </w:r>
          </w:p>
          <w:p>
            <w:pPr>
              <w:widowControl/>
              <w:spacing w:line="360" w:lineRule="auto"/>
              <w:jc w:val="left"/>
              <w:textAlignment w:val="center"/>
              <w:rPr>
                <w:rFonts w:hint="eastAsia" w:ascii="宋体" w:hAnsi="宋体" w:cs="宋体"/>
                <w:kern w:val="0"/>
                <w:sz w:val="22"/>
                <w:szCs w:val="22"/>
                <w:lang w:bidi="ar"/>
              </w:rPr>
            </w:pPr>
            <w:r>
              <w:rPr>
                <w:rFonts w:hint="eastAsia" w:ascii="宋体" w:hAnsi="宋体" w:cs="宋体"/>
                <w:kern w:val="0"/>
                <w:sz w:val="22"/>
                <w:szCs w:val="22"/>
                <w:lang w:bidi="ar"/>
              </w:rPr>
              <w:t>在用户当地或省会中心城市，卖方应配置专业技术人员提供现场技术培训，保证使用人员正常操作设备的各种功能。</w:t>
            </w:r>
          </w:p>
        </w:tc>
      </w:tr>
      <w:tr>
        <w:tblPrEx>
          <w:tblCellMar>
            <w:top w:w="15" w:type="dxa"/>
            <w:left w:w="15" w:type="dxa"/>
            <w:bottom w:w="15" w:type="dxa"/>
            <w:right w:w="15" w:type="dxa"/>
          </w:tblCellMar>
        </w:tblPrEx>
        <w:trPr>
          <w:trHeight w:val="780"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kern w:val="0"/>
                <w:sz w:val="22"/>
                <w:szCs w:val="22"/>
                <w:lang w:bidi="ar"/>
              </w:rPr>
              <w:t>★</w:t>
            </w:r>
            <w:r>
              <w:rPr>
                <w:rFonts w:hint="eastAsia" w:ascii="宋体" w:hAnsi="宋体" w:cs="宋体"/>
                <w:kern w:val="0"/>
                <w:sz w:val="22"/>
                <w:szCs w:val="22"/>
                <w:lang w:val="en-US" w:eastAsia="zh-CN" w:bidi="ar"/>
              </w:rPr>
              <w:t>4</w:t>
            </w:r>
            <w:r>
              <w:rPr>
                <w:rFonts w:hint="eastAsia" w:ascii="宋体" w:hAnsi="宋体" w:cs="宋体"/>
                <w:kern w:val="0"/>
                <w:sz w:val="22"/>
                <w:szCs w:val="22"/>
                <w:lang w:bidi="ar"/>
              </w:rPr>
              <w:t>、为适应医院信息化系统建设，保证医院远程会诊需要，制造商应具备生产远程超声会诊系统的能力（提供与超声主设备同品牌远程超声会诊系统医疗器械注册证为准）</w:t>
            </w:r>
          </w:p>
        </w:tc>
      </w:tr>
      <w:tr>
        <w:tblPrEx>
          <w:tblCellMar>
            <w:top w:w="15" w:type="dxa"/>
            <w:left w:w="15" w:type="dxa"/>
            <w:bottom w:w="15" w:type="dxa"/>
            <w:right w:w="15" w:type="dxa"/>
          </w:tblCellMar>
        </w:tblPrEx>
        <w:trPr>
          <w:trHeight w:val="316" w:hRule="atLeast"/>
        </w:trPr>
        <w:tc>
          <w:tcPr>
            <w:tcW w:w="8880" w:type="dxa"/>
            <w:tcBorders>
              <w:top w:val="nil"/>
              <w:left w:val="nil"/>
              <w:bottom w:val="nil"/>
              <w:right w:val="nil"/>
            </w:tcBorders>
            <w:vAlign w:val="center"/>
          </w:tcPr>
          <w:p>
            <w:pPr>
              <w:widowControl/>
              <w:spacing w:line="360" w:lineRule="auto"/>
              <w:jc w:val="left"/>
              <w:textAlignment w:val="center"/>
              <w:rPr>
                <w:rFonts w:ascii="宋体" w:hAnsi="宋体" w:cs="宋体"/>
                <w:kern w:val="0"/>
                <w:sz w:val="22"/>
                <w:szCs w:val="22"/>
                <w:lang w:bidi="ar"/>
              </w:rPr>
            </w:pPr>
            <w:r>
              <w:rPr>
                <w:rFonts w:hint="eastAsia" w:ascii="宋体" w:hAnsi="宋体" w:cs="宋体"/>
                <w:color w:val="auto"/>
                <w:kern w:val="0"/>
                <w:sz w:val="22"/>
                <w:szCs w:val="22"/>
                <w:lang w:bidi="ar"/>
              </w:rPr>
              <w:t>★</w:t>
            </w:r>
            <w:r>
              <w:rPr>
                <w:rFonts w:hint="eastAsia" w:ascii="宋体" w:hAnsi="宋体" w:cs="宋体"/>
                <w:color w:val="auto"/>
                <w:kern w:val="0"/>
                <w:sz w:val="22"/>
                <w:szCs w:val="22"/>
                <w:lang w:val="en-US" w:eastAsia="zh-CN" w:bidi="ar"/>
              </w:rPr>
              <w:t>5</w:t>
            </w:r>
            <w:r>
              <w:rPr>
                <w:rFonts w:hint="eastAsia" w:ascii="宋体" w:hAnsi="宋体" w:cs="宋体"/>
                <w:color w:val="auto"/>
                <w:kern w:val="0"/>
                <w:sz w:val="22"/>
                <w:szCs w:val="22"/>
                <w:lang w:bidi="ar"/>
              </w:rPr>
              <w:t>、整机（含探头）质保三年</w:t>
            </w:r>
          </w:p>
        </w:tc>
      </w:tr>
    </w:tbl>
    <w:p>
      <w:pPr>
        <w:rPr>
          <w:rFonts w:hint="eastAsia" w:ascii="宋体" w:hAnsi="宋体" w:eastAsia="宋体" w:cs="宋体"/>
          <w:sz w:val="22"/>
          <w:szCs w:val="22"/>
        </w:rPr>
      </w:pPr>
      <w:r>
        <w:rPr>
          <w:rFonts w:hint="eastAsia" w:ascii="宋体" w:hAnsi="宋体" w:eastAsia="宋体" w:cs="宋体"/>
          <w:sz w:val="22"/>
          <w:szCs w:val="22"/>
        </w:rPr>
        <w:t>产品配置清单：</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14"/>
        <w:gridCol w:w="3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产品配置清单</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便携式超声主机</w:t>
            </w:r>
          </w:p>
        </w:tc>
        <w:tc>
          <w:tcPr>
            <w:tcW w:w="3008" w:type="dxa"/>
            <w:tcBorders>
              <w:top w:val="nil"/>
              <w:left w:val="nil"/>
              <w:bottom w:val="nil"/>
              <w:right w:val="nil"/>
            </w:tcBorders>
            <w:vAlign w:val="center"/>
          </w:tcPr>
          <w:p>
            <w:pPr>
              <w:jc w:val="center"/>
              <w:rPr>
                <w:rFonts w:hint="eastAsia" w:ascii="宋体" w:hAnsi="宋体" w:eastAsia="宋体" w:cs="宋体"/>
                <w:sz w:val="22"/>
                <w:szCs w:val="22"/>
              </w:rPr>
            </w:pPr>
            <w:r>
              <w:rPr>
                <w:rFonts w:hint="eastAsia" w:ascii="宋体" w:hAnsi="宋体" w:eastAsia="宋体" w:cs="宋体"/>
                <w:sz w:val="22"/>
                <w:szCs w:val="22"/>
              </w:rPr>
              <w:t>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腹部探头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浅表探头</w:t>
            </w:r>
          </w:p>
        </w:tc>
        <w:tc>
          <w:tcPr>
            <w:tcW w:w="3008" w:type="dxa"/>
            <w:tcBorders>
              <w:top w:val="nil"/>
              <w:left w:val="nil"/>
              <w:bottom w:val="nil"/>
              <w:right w:val="nil"/>
            </w:tcBorders>
            <w:vAlign w:val="center"/>
          </w:tcPr>
          <w:p>
            <w:pPr>
              <w:widowControl/>
              <w:jc w:val="center"/>
              <w:textAlignment w:val="top"/>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心脏探头</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color w:val="000000"/>
                <w:kern w:val="0"/>
                <w:sz w:val="22"/>
                <w:szCs w:val="22"/>
                <w:lang w:bidi="ar"/>
              </w:rPr>
              <w:t>1把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514"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超声工作站（电脑，打印机，超声专用检查床，超声专用检查椅子）</w:t>
            </w:r>
          </w:p>
        </w:tc>
        <w:tc>
          <w:tcPr>
            <w:tcW w:w="3008" w:type="dxa"/>
            <w:tcBorders>
              <w:top w:val="nil"/>
              <w:left w:val="nil"/>
              <w:bottom w:val="nil"/>
              <w:right w:val="nil"/>
            </w:tcBorders>
            <w:vAlign w:val="center"/>
          </w:tcPr>
          <w:p>
            <w:pPr>
              <w:widowControl/>
              <w:jc w:val="center"/>
              <w:textAlignment w:val="center"/>
              <w:rPr>
                <w:rFonts w:hint="eastAsia" w:ascii="宋体" w:hAnsi="宋体" w:eastAsia="宋体" w:cs="宋体"/>
                <w:sz w:val="22"/>
                <w:szCs w:val="22"/>
              </w:rPr>
            </w:pPr>
            <w:r>
              <w:rPr>
                <w:rFonts w:hint="eastAsia" w:ascii="宋体" w:hAnsi="宋体" w:eastAsia="宋体" w:cs="宋体"/>
                <w:sz w:val="22"/>
                <w:szCs w:val="22"/>
              </w:rPr>
              <w:t>一套</w:t>
            </w:r>
          </w:p>
        </w:tc>
      </w:tr>
    </w:tbl>
    <w:p>
      <w:pPr>
        <w:spacing w:line="560" w:lineRule="exact"/>
        <w:jc w:val="left"/>
        <w:rPr>
          <w:rFonts w:ascii="仿宋" w:hAnsi="仿宋" w:eastAsia="仿宋"/>
          <w:sz w:val="32"/>
          <w:szCs w:val="32"/>
          <w:u w:val="single"/>
        </w:rPr>
      </w:pPr>
      <w:r>
        <w:rPr>
          <w:rFonts w:hint="eastAsia" w:ascii="宋体" w:hAnsi="宋体" w:eastAsia="宋体" w:cs="宋体"/>
          <w:sz w:val="22"/>
          <w:szCs w:val="22"/>
          <w:u w:val="none"/>
        </w:rPr>
        <w:t xml:space="preserve">    </w:t>
      </w:r>
      <w:r>
        <w:rPr>
          <w:rFonts w:hint="eastAsia" w:ascii="仿宋" w:hAnsi="仿宋" w:eastAsia="仿宋"/>
          <w:sz w:val="32"/>
          <w:szCs w:val="32"/>
          <w:u w:val="none"/>
        </w:rPr>
        <w:t xml:space="preserve">   </w:t>
      </w:r>
      <w:bookmarkEnd w:id="188"/>
    </w:p>
    <w:p>
      <w:pPr>
        <w:numPr>
          <w:ilvl w:val="0"/>
          <w:numId w:val="0"/>
        </w:numPr>
        <w:jc w:val="both"/>
        <w:rPr>
          <w:rFonts w:hint="eastAsia" w:asciiTheme="minorEastAsia" w:hAnsiTheme="minorEastAsia" w:eastAsiaTheme="minorEastAsia" w:cstheme="minorEastAsia"/>
          <w:b/>
          <w:bCs/>
          <w:sz w:val="28"/>
          <w:szCs w:val="32"/>
          <w:lang w:val="en-US" w:eastAsia="zh-CN"/>
        </w:rPr>
      </w:pPr>
      <w:bookmarkStart w:id="189" w:name="_Hlk144969768"/>
      <w:r>
        <w:rPr>
          <w:rFonts w:hint="eastAsia" w:asciiTheme="minorEastAsia" w:hAnsiTheme="minorEastAsia" w:cstheme="minorEastAsia"/>
          <w:b/>
          <w:bCs/>
          <w:sz w:val="28"/>
          <w:szCs w:val="32"/>
          <w:lang w:val="en-US" w:eastAsia="zh-CN"/>
        </w:rPr>
        <w:t>C包</w:t>
      </w:r>
      <w:r>
        <w:rPr>
          <w:rFonts w:hint="eastAsia" w:asciiTheme="minorEastAsia" w:hAnsiTheme="minorEastAsia" w:eastAsiaTheme="minorEastAsia" w:cstheme="minorEastAsia"/>
          <w:b/>
          <w:bCs/>
          <w:sz w:val="28"/>
          <w:szCs w:val="32"/>
          <w:lang w:val="en-US" w:eastAsia="zh-CN"/>
        </w:rPr>
        <w:t>：眼表综合分析仪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89"/>
    <w:p>
      <w:pPr>
        <w:rPr>
          <w:rFonts w:hint="eastAsia" w:ascii="宋体" w:hAnsi="宋体" w:eastAsia="宋体" w:cs="宋体"/>
          <w:sz w:val="22"/>
          <w:szCs w:val="22"/>
        </w:rPr>
      </w:pPr>
      <w:r>
        <w:rPr>
          <w:rFonts w:hint="eastAsia" w:ascii="宋体" w:hAnsi="宋体" w:eastAsia="宋体" w:cs="宋体"/>
          <w:sz w:val="22"/>
          <w:szCs w:val="22"/>
        </w:rPr>
        <w:t xml:space="preserve"> ★1、Placido环数量：50环</w:t>
      </w:r>
    </w:p>
    <w:p>
      <w:pPr>
        <w:rPr>
          <w:rFonts w:hint="eastAsia" w:ascii="宋体" w:hAnsi="宋体" w:eastAsia="宋体" w:cs="宋体"/>
          <w:sz w:val="22"/>
          <w:szCs w:val="22"/>
        </w:rPr>
      </w:pPr>
      <w:r>
        <w:rPr>
          <w:rFonts w:hint="eastAsia" w:ascii="宋体" w:hAnsi="宋体" w:eastAsia="宋体" w:cs="宋体"/>
          <w:sz w:val="22"/>
          <w:szCs w:val="22"/>
        </w:rPr>
        <w:t>2、检测点 ：18000个</w:t>
      </w:r>
    </w:p>
    <w:p>
      <w:pPr>
        <w:rPr>
          <w:rFonts w:hint="eastAsia" w:ascii="宋体" w:hAnsi="宋体" w:eastAsia="宋体" w:cs="宋体"/>
          <w:sz w:val="22"/>
          <w:szCs w:val="22"/>
        </w:rPr>
      </w:pPr>
      <w:r>
        <w:rPr>
          <w:rFonts w:hint="eastAsia" w:ascii="宋体" w:hAnsi="宋体" w:eastAsia="宋体" w:cs="宋体"/>
          <w:sz w:val="22"/>
          <w:szCs w:val="22"/>
        </w:rPr>
        <w:t>3、投影环直径：</w:t>
      </w:r>
    </w:p>
    <w:p>
      <w:pPr>
        <w:rPr>
          <w:rFonts w:hint="eastAsia" w:ascii="宋体" w:hAnsi="宋体" w:eastAsia="宋体" w:cs="宋体"/>
          <w:sz w:val="22"/>
          <w:szCs w:val="22"/>
        </w:rPr>
      </w:pPr>
      <w:r>
        <w:rPr>
          <w:rFonts w:hint="eastAsia" w:ascii="宋体" w:hAnsi="宋体" w:eastAsia="宋体" w:cs="宋体"/>
          <w:sz w:val="22"/>
          <w:szCs w:val="22"/>
        </w:rPr>
        <w:t>3.1、直径8.8mm(43D)</w:t>
      </w:r>
    </w:p>
    <w:p>
      <w:pPr>
        <w:rPr>
          <w:rFonts w:hint="eastAsia" w:ascii="宋体" w:hAnsi="宋体" w:eastAsia="宋体" w:cs="宋体"/>
          <w:sz w:val="22"/>
          <w:szCs w:val="22"/>
        </w:rPr>
      </w:pPr>
      <w:r>
        <w:rPr>
          <w:rFonts w:hint="eastAsia" w:ascii="宋体" w:hAnsi="宋体" w:eastAsia="宋体" w:cs="宋体"/>
          <w:sz w:val="22"/>
          <w:szCs w:val="22"/>
        </w:rPr>
        <w:t>3.2、直径11mm(43D)</w:t>
      </w:r>
    </w:p>
    <w:p>
      <w:pPr>
        <w:rPr>
          <w:rFonts w:hint="eastAsia" w:ascii="宋体" w:hAnsi="宋体" w:eastAsia="宋体" w:cs="宋体"/>
          <w:sz w:val="22"/>
          <w:szCs w:val="22"/>
        </w:rPr>
      </w:pPr>
      <w:r>
        <w:rPr>
          <w:rFonts w:hint="eastAsia" w:ascii="宋体" w:hAnsi="宋体" w:eastAsia="宋体" w:cs="宋体"/>
          <w:sz w:val="22"/>
          <w:szCs w:val="22"/>
        </w:rPr>
        <w:t>4、曲率半径：32.14D~61.36D (5.5mm~10.5mm)</w:t>
      </w:r>
    </w:p>
    <w:p>
      <w:pPr>
        <w:rPr>
          <w:rFonts w:hint="eastAsia" w:ascii="宋体" w:hAnsi="宋体" w:eastAsia="宋体" w:cs="宋体"/>
          <w:sz w:val="22"/>
          <w:szCs w:val="22"/>
        </w:rPr>
      </w:pPr>
      <w:r>
        <w:rPr>
          <w:rFonts w:hint="eastAsia" w:ascii="宋体" w:hAnsi="宋体" w:eastAsia="宋体" w:cs="宋体"/>
          <w:sz w:val="22"/>
          <w:szCs w:val="22"/>
        </w:rPr>
        <w:t>精度：土0.1D(±0.02mm)</w:t>
      </w:r>
    </w:p>
    <w:p>
      <w:pPr>
        <w:rPr>
          <w:rFonts w:hint="eastAsia" w:ascii="宋体" w:hAnsi="宋体" w:eastAsia="宋体" w:cs="宋体"/>
          <w:sz w:val="22"/>
          <w:szCs w:val="22"/>
        </w:rPr>
      </w:pPr>
      <w:r>
        <w:rPr>
          <w:rFonts w:hint="eastAsia" w:ascii="宋体" w:hAnsi="宋体" w:eastAsia="宋体" w:cs="宋体"/>
          <w:sz w:val="22"/>
          <w:szCs w:val="22"/>
        </w:rPr>
        <w:t>5、散光轴位：0~180°，允差：土2°</w:t>
      </w:r>
    </w:p>
    <w:p>
      <w:pPr>
        <w:rPr>
          <w:rFonts w:hint="eastAsia" w:ascii="宋体" w:hAnsi="宋体" w:eastAsia="宋体" w:cs="宋体"/>
          <w:sz w:val="22"/>
          <w:szCs w:val="22"/>
        </w:rPr>
      </w:pPr>
      <w:r>
        <w:rPr>
          <w:rFonts w:hint="eastAsia" w:ascii="宋体" w:hAnsi="宋体" w:eastAsia="宋体" w:cs="宋体"/>
          <w:sz w:val="22"/>
          <w:szCs w:val="22"/>
        </w:rPr>
        <w:t>6、白到白范围：6~17mm ，允差：土0.1mm</w:t>
      </w:r>
    </w:p>
    <w:p>
      <w:pPr>
        <w:rPr>
          <w:rFonts w:hint="eastAsia" w:ascii="宋体" w:hAnsi="宋体" w:eastAsia="宋体" w:cs="宋体"/>
          <w:sz w:val="22"/>
          <w:szCs w:val="22"/>
        </w:rPr>
      </w:pPr>
      <w:r>
        <w:rPr>
          <w:rFonts w:hint="eastAsia" w:ascii="宋体" w:hAnsi="宋体" w:eastAsia="宋体" w:cs="宋体"/>
          <w:sz w:val="22"/>
          <w:szCs w:val="22"/>
        </w:rPr>
        <w:t>7、瞳孔直径 ：1~13mm，允差：土0.1mm</w:t>
      </w:r>
    </w:p>
    <w:p>
      <w:pPr>
        <w:rPr>
          <w:rFonts w:hint="eastAsia" w:ascii="宋体" w:hAnsi="宋体" w:eastAsia="宋体" w:cs="宋体"/>
          <w:sz w:val="22"/>
          <w:szCs w:val="22"/>
        </w:rPr>
      </w:pPr>
      <w:r>
        <w:rPr>
          <w:rFonts w:hint="eastAsia" w:ascii="宋体" w:hAnsi="宋体" w:eastAsia="宋体" w:cs="宋体"/>
          <w:sz w:val="22"/>
          <w:szCs w:val="22"/>
        </w:rPr>
        <w:t>8、地形功能：</w:t>
      </w:r>
    </w:p>
    <w:p>
      <w:pPr>
        <w:rPr>
          <w:rFonts w:hint="eastAsia" w:ascii="宋体" w:hAnsi="宋体" w:eastAsia="宋体" w:cs="宋体"/>
          <w:sz w:val="22"/>
          <w:szCs w:val="22"/>
        </w:rPr>
      </w:pPr>
      <w:r>
        <w:rPr>
          <w:rFonts w:hint="eastAsia" w:ascii="宋体" w:hAnsi="宋体" w:eastAsia="宋体" w:cs="宋体"/>
          <w:sz w:val="22"/>
          <w:szCs w:val="22"/>
        </w:rPr>
        <w:t>8.1、轴向曲率</w:t>
      </w:r>
    </w:p>
    <w:p>
      <w:pPr>
        <w:rPr>
          <w:rFonts w:hint="eastAsia" w:ascii="宋体" w:hAnsi="宋体" w:eastAsia="宋体" w:cs="宋体"/>
          <w:sz w:val="22"/>
          <w:szCs w:val="22"/>
        </w:rPr>
      </w:pPr>
      <w:r>
        <w:rPr>
          <w:rFonts w:hint="eastAsia" w:ascii="宋体" w:hAnsi="宋体" w:eastAsia="宋体" w:cs="宋体"/>
          <w:sz w:val="22"/>
          <w:szCs w:val="22"/>
        </w:rPr>
        <w:t>8.2、切向曲率</w:t>
      </w:r>
    </w:p>
    <w:p>
      <w:pPr>
        <w:rPr>
          <w:rFonts w:hint="eastAsia" w:ascii="宋体" w:hAnsi="宋体" w:eastAsia="宋体" w:cs="宋体"/>
          <w:sz w:val="22"/>
          <w:szCs w:val="22"/>
        </w:rPr>
      </w:pPr>
      <w:r>
        <w:rPr>
          <w:rFonts w:hint="eastAsia" w:ascii="宋体" w:hAnsi="宋体" w:eastAsia="宋体" w:cs="宋体"/>
          <w:sz w:val="22"/>
          <w:szCs w:val="22"/>
        </w:rPr>
        <w:t>8.3、高度图</w:t>
      </w:r>
    </w:p>
    <w:p>
      <w:pPr>
        <w:rPr>
          <w:rFonts w:hint="eastAsia" w:ascii="宋体" w:hAnsi="宋体" w:eastAsia="宋体" w:cs="宋体"/>
          <w:sz w:val="22"/>
          <w:szCs w:val="22"/>
        </w:rPr>
      </w:pPr>
      <w:r>
        <w:rPr>
          <w:rFonts w:hint="eastAsia" w:ascii="宋体" w:hAnsi="宋体" w:eastAsia="宋体" w:cs="宋体"/>
          <w:sz w:val="22"/>
          <w:szCs w:val="22"/>
        </w:rPr>
        <w:t>8.4、屈光力</w:t>
      </w:r>
    </w:p>
    <w:p>
      <w:pPr>
        <w:rPr>
          <w:rFonts w:hint="eastAsia" w:ascii="宋体" w:hAnsi="宋体" w:eastAsia="宋体" w:cs="宋体"/>
          <w:sz w:val="22"/>
          <w:szCs w:val="22"/>
        </w:rPr>
      </w:pPr>
      <w:r>
        <w:rPr>
          <w:rFonts w:hint="eastAsia" w:ascii="宋体" w:hAnsi="宋体" w:eastAsia="宋体" w:cs="宋体"/>
          <w:sz w:val="22"/>
          <w:szCs w:val="22"/>
        </w:rPr>
        <w:t>9、四联图：四地形图显示</w:t>
      </w:r>
    </w:p>
    <w:p>
      <w:pPr>
        <w:rPr>
          <w:rFonts w:hint="eastAsia" w:ascii="宋体" w:hAnsi="宋体" w:eastAsia="宋体" w:cs="宋体"/>
          <w:sz w:val="22"/>
          <w:szCs w:val="22"/>
        </w:rPr>
      </w:pPr>
      <w:r>
        <w:rPr>
          <w:rFonts w:hint="eastAsia" w:ascii="宋体" w:hAnsi="宋体" w:eastAsia="宋体" w:cs="宋体"/>
          <w:sz w:val="22"/>
          <w:szCs w:val="22"/>
        </w:rPr>
        <w:t>★10、形态因子：E,ecc,P,Q值</w:t>
      </w:r>
    </w:p>
    <w:p>
      <w:pPr>
        <w:rPr>
          <w:rFonts w:hint="eastAsia" w:ascii="宋体" w:hAnsi="宋体" w:eastAsia="宋体" w:cs="宋体"/>
          <w:sz w:val="22"/>
          <w:szCs w:val="22"/>
        </w:rPr>
      </w:pPr>
      <w:r>
        <w:rPr>
          <w:rFonts w:hint="eastAsia" w:ascii="宋体" w:hAnsi="宋体" w:eastAsia="宋体" w:cs="宋体"/>
          <w:sz w:val="22"/>
          <w:szCs w:val="22"/>
        </w:rPr>
        <w:t>★11、像差：不同瞳孔直径范围内的角膜波前像差，PSF图，MTF曲线，视网膜模拟成像图</w:t>
      </w:r>
    </w:p>
    <w:p>
      <w:pPr>
        <w:rPr>
          <w:rFonts w:hint="eastAsia" w:ascii="宋体" w:hAnsi="宋体" w:eastAsia="宋体" w:cs="宋体"/>
          <w:sz w:val="22"/>
          <w:szCs w:val="22"/>
        </w:rPr>
      </w:pPr>
      <w:r>
        <w:rPr>
          <w:rFonts w:hint="eastAsia" w:ascii="宋体" w:hAnsi="宋体" w:eastAsia="宋体" w:cs="宋体"/>
          <w:sz w:val="22"/>
          <w:szCs w:val="22"/>
        </w:rPr>
        <w:t>12、检查结果对比：支持2次结果对比，地形图差值对比</w:t>
      </w:r>
    </w:p>
    <w:p>
      <w:pPr>
        <w:rPr>
          <w:rFonts w:hint="eastAsia" w:ascii="宋体" w:hAnsi="宋体" w:eastAsia="宋体" w:cs="宋体"/>
          <w:sz w:val="22"/>
          <w:szCs w:val="22"/>
        </w:rPr>
      </w:pPr>
      <w:r>
        <w:rPr>
          <w:rFonts w:hint="eastAsia" w:ascii="宋体" w:hAnsi="宋体" w:eastAsia="宋体" w:cs="宋体"/>
          <w:sz w:val="22"/>
          <w:szCs w:val="22"/>
        </w:rPr>
        <w:t>13、干眼分析参数</w:t>
      </w:r>
    </w:p>
    <w:p>
      <w:pPr>
        <w:rPr>
          <w:rFonts w:hint="eastAsia" w:ascii="宋体" w:hAnsi="宋体" w:eastAsia="宋体" w:cs="宋体"/>
          <w:sz w:val="22"/>
          <w:szCs w:val="22"/>
        </w:rPr>
      </w:pPr>
      <w:r>
        <w:rPr>
          <w:rFonts w:hint="eastAsia" w:ascii="宋体" w:hAnsi="宋体" w:eastAsia="宋体" w:cs="宋体"/>
          <w:sz w:val="22"/>
          <w:szCs w:val="22"/>
        </w:rPr>
        <w:t>13.1、问卷调查：提供中国干眼问卷量表、OSDI量表</w:t>
      </w:r>
    </w:p>
    <w:p>
      <w:pPr>
        <w:rPr>
          <w:rFonts w:hint="eastAsia" w:ascii="宋体" w:hAnsi="宋体" w:eastAsia="宋体" w:cs="宋体"/>
          <w:sz w:val="22"/>
          <w:szCs w:val="22"/>
        </w:rPr>
      </w:pPr>
      <w:r>
        <w:rPr>
          <w:rFonts w:hint="eastAsia" w:ascii="宋体" w:hAnsi="宋体" w:eastAsia="宋体" w:cs="宋体"/>
          <w:sz w:val="22"/>
          <w:szCs w:val="22"/>
        </w:rPr>
        <w:t>13.2、NIBUT：泪膜破裂饼图和趋势图，首次破裂时间和平均破裂时间</w:t>
      </w:r>
    </w:p>
    <w:p>
      <w:pPr>
        <w:rPr>
          <w:rFonts w:hint="eastAsia" w:ascii="宋体" w:hAnsi="宋体" w:eastAsia="宋体" w:cs="宋体"/>
          <w:sz w:val="22"/>
          <w:szCs w:val="22"/>
        </w:rPr>
      </w:pPr>
      <w:r>
        <w:rPr>
          <w:rFonts w:hint="eastAsia" w:ascii="宋体" w:hAnsi="宋体" w:eastAsia="宋体" w:cs="宋体"/>
          <w:sz w:val="22"/>
          <w:szCs w:val="22"/>
        </w:rPr>
        <w:t>★13.3、非侵入式泪河高度：0.01~2mm，AI自动识别并测量泪河高度</w:t>
      </w:r>
    </w:p>
    <w:p>
      <w:pPr>
        <w:rPr>
          <w:rFonts w:hint="eastAsia" w:ascii="宋体" w:hAnsi="宋体" w:eastAsia="宋体" w:cs="宋体"/>
          <w:sz w:val="22"/>
          <w:szCs w:val="22"/>
        </w:rPr>
      </w:pPr>
      <w:r>
        <w:rPr>
          <w:rFonts w:hint="eastAsia" w:ascii="宋体" w:hAnsi="宋体" w:eastAsia="宋体" w:cs="宋体"/>
          <w:sz w:val="22"/>
          <w:szCs w:val="22"/>
        </w:rPr>
        <w:t>★13.4、睑板腺：自动计算睑板腺缺失率占比和分级</w:t>
      </w:r>
    </w:p>
    <w:p>
      <w:pPr>
        <w:rPr>
          <w:rFonts w:hint="eastAsia" w:ascii="宋体" w:hAnsi="宋体" w:eastAsia="宋体" w:cs="宋体"/>
          <w:sz w:val="22"/>
          <w:szCs w:val="22"/>
        </w:rPr>
      </w:pPr>
      <w:r>
        <w:rPr>
          <w:rFonts w:hint="eastAsia" w:ascii="宋体" w:hAnsi="宋体" w:eastAsia="宋体" w:cs="宋体"/>
          <w:sz w:val="22"/>
          <w:szCs w:val="22"/>
        </w:rPr>
        <w:t>13.5、脂质层：模板匹配</w:t>
      </w:r>
    </w:p>
    <w:p>
      <w:pPr>
        <w:rPr>
          <w:rFonts w:hint="eastAsia" w:ascii="宋体" w:hAnsi="宋体" w:eastAsia="宋体" w:cs="宋体"/>
          <w:sz w:val="22"/>
          <w:szCs w:val="22"/>
        </w:rPr>
      </w:pPr>
      <w:r>
        <w:rPr>
          <w:rFonts w:hint="eastAsia" w:ascii="宋体" w:hAnsi="宋体" w:eastAsia="宋体" w:cs="宋体"/>
          <w:sz w:val="22"/>
          <w:szCs w:val="22"/>
        </w:rPr>
        <w:t>13.6、眼红：眼红占比和分级</w:t>
      </w:r>
    </w:p>
    <w:p>
      <w:pPr>
        <w:rPr>
          <w:rFonts w:hint="eastAsia" w:ascii="宋体" w:hAnsi="宋体" w:eastAsia="宋体" w:cs="宋体"/>
          <w:sz w:val="22"/>
          <w:szCs w:val="22"/>
        </w:rPr>
      </w:pPr>
      <w:r>
        <w:rPr>
          <w:rFonts w:hint="eastAsia" w:ascii="宋体" w:hAnsi="宋体" w:eastAsia="宋体" w:cs="宋体"/>
          <w:sz w:val="22"/>
          <w:szCs w:val="22"/>
        </w:rPr>
        <w:t>13.7、睑缘 ：支持图片电子放大</w:t>
      </w:r>
    </w:p>
    <w:p>
      <w:pPr>
        <w:rPr>
          <w:rFonts w:hint="eastAsia" w:ascii="宋体" w:hAnsi="宋体" w:eastAsia="宋体" w:cs="宋体"/>
          <w:sz w:val="22"/>
          <w:szCs w:val="22"/>
        </w:rPr>
      </w:pPr>
      <w:r>
        <w:rPr>
          <w:rFonts w:hint="eastAsia" w:ascii="宋体" w:hAnsi="宋体" w:eastAsia="宋体" w:cs="宋体"/>
          <w:sz w:val="22"/>
          <w:szCs w:val="22"/>
        </w:rPr>
        <w:t>★13.8、眼表：内置黄色滤色片</w:t>
      </w:r>
    </w:p>
    <w:p>
      <w:pPr>
        <w:rPr>
          <w:rFonts w:hint="eastAsia" w:ascii="宋体" w:hAnsi="宋体" w:eastAsia="宋体" w:cs="宋体"/>
          <w:sz w:val="22"/>
          <w:szCs w:val="22"/>
        </w:rPr>
      </w:pPr>
      <w:r>
        <w:rPr>
          <w:rFonts w:hint="eastAsia" w:ascii="宋体" w:hAnsi="宋体" w:eastAsia="宋体" w:cs="宋体"/>
          <w:sz w:val="22"/>
          <w:szCs w:val="22"/>
        </w:rPr>
        <w:t>★14、屏幕：</w:t>
      </w:r>
      <w:r>
        <w:rPr>
          <w:rFonts w:hint="eastAsia" w:ascii="宋体" w:hAnsi="宋体" w:cs="宋体"/>
          <w:kern w:val="0"/>
          <w:sz w:val="22"/>
          <w:szCs w:val="22"/>
          <w:lang w:bidi="ar"/>
        </w:rPr>
        <w:t>≥</w:t>
      </w:r>
      <w:r>
        <w:rPr>
          <w:rFonts w:hint="eastAsia" w:ascii="宋体" w:hAnsi="宋体" w:eastAsia="宋体" w:cs="宋体"/>
          <w:sz w:val="22"/>
          <w:szCs w:val="22"/>
        </w:rPr>
        <w:t>10.1"全触摸高清液晶屏</w:t>
      </w:r>
    </w:p>
    <w:p>
      <w:pPr>
        <w:rPr>
          <w:rFonts w:hint="eastAsia" w:ascii="宋体" w:hAnsi="宋体" w:eastAsia="宋体" w:cs="宋体"/>
          <w:sz w:val="22"/>
          <w:szCs w:val="22"/>
        </w:rPr>
      </w:pPr>
      <w:r>
        <w:rPr>
          <w:rFonts w:hint="eastAsia" w:ascii="宋体" w:hAnsi="宋体" w:eastAsia="宋体" w:cs="宋体"/>
          <w:sz w:val="22"/>
          <w:szCs w:val="22"/>
        </w:rPr>
        <w:t>15、光源：白光、红外光、钴蓝光</w:t>
      </w:r>
    </w:p>
    <w:p>
      <w:pPr>
        <w:rPr>
          <w:rFonts w:hint="eastAsia" w:ascii="宋体" w:hAnsi="宋体" w:eastAsia="宋体" w:cs="宋体"/>
          <w:sz w:val="22"/>
          <w:szCs w:val="22"/>
        </w:rPr>
      </w:pPr>
      <w:r>
        <w:rPr>
          <w:rFonts w:hint="eastAsia" w:ascii="宋体" w:hAnsi="宋体" w:eastAsia="宋体" w:cs="宋体"/>
          <w:sz w:val="22"/>
          <w:szCs w:val="22"/>
        </w:rPr>
        <w:t>16、通信接口：WIFI</w:t>
      </w:r>
    </w:p>
    <w:p>
      <w:pPr>
        <w:rPr>
          <w:rFonts w:hint="eastAsia" w:ascii="宋体" w:hAnsi="宋体" w:eastAsia="宋体" w:cs="宋体"/>
          <w:sz w:val="22"/>
          <w:szCs w:val="22"/>
        </w:rPr>
      </w:pPr>
      <w:r>
        <w:rPr>
          <w:rFonts w:hint="eastAsia" w:ascii="宋体" w:hAnsi="宋体" w:eastAsia="宋体" w:cs="宋体"/>
          <w:sz w:val="22"/>
          <w:szCs w:val="22"/>
        </w:rPr>
        <w:t>17、打印机接口：WIFI, USB</w:t>
      </w:r>
    </w:p>
    <w:p>
      <w:pPr>
        <w:rPr>
          <w:rFonts w:hint="eastAsia" w:ascii="宋体" w:hAnsi="宋体" w:eastAsia="宋体" w:cs="宋体"/>
          <w:sz w:val="22"/>
          <w:szCs w:val="22"/>
        </w:rPr>
      </w:pPr>
      <w:r>
        <w:rPr>
          <w:rFonts w:hint="eastAsia" w:ascii="宋体" w:hAnsi="宋体" w:eastAsia="宋体" w:cs="宋体"/>
          <w:sz w:val="22"/>
          <w:szCs w:val="22"/>
        </w:rPr>
        <w:t>18、扩展显示接口：DisplayPort</w:t>
      </w:r>
    </w:p>
    <w:p>
      <w:pPr>
        <w:rPr>
          <w:rFonts w:hint="eastAsia" w:ascii="宋体" w:hAnsi="宋体" w:eastAsia="宋体" w:cs="宋体"/>
          <w:sz w:val="22"/>
          <w:szCs w:val="22"/>
        </w:rPr>
      </w:pPr>
      <w:r>
        <w:rPr>
          <w:rFonts w:hint="eastAsia" w:ascii="宋体" w:hAnsi="宋体" w:eastAsia="宋体" w:cs="宋体"/>
          <w:sz w:val="22"/>
          <w:szCs w:val="22"/>
        </w:rPr>
        <w:t>19、左右眼识别：自动</w:t>
      </w:r>
    </w:p>
    <w:p>
      <w:pPr>
        <w:rPr>
          <w:rFonts w:hint="eastAsia" w:ascii="宋体" w:hAnsi="宋体" w:eastAsia="宋体" w:cs="宋体"/>
          <w:sz w:val="22"/>
          <w:szCs w:val="22"/>
        </w:rPr>
      </w:pPr>
      <w:r>
        <w:rPr>
          <w:rFonts w:hint="eastAsia" w:ascii="宋体" w:hAnsi="宋体" w:eastAsia="宋体" w:cs="宋体"/>
          <w:sz w:val="22"/>
          <w:szCs w:val="22"/>
        </w:rPr>
        <w:t>20、语言：中文／英文</w:t>
      </w:r>
    </w:p>
    <w:p>
      <w:pPr>
        <w:spacing w:line="360" w:lineRule="auto"/>
        <w:rPr>
          <w:rFonts w:hint="eastAsia" w:ascii="仿宋" w:hAnsi="仿宋" w:eastAsia="仿宋"/>
          <w:sz w:val="32"/>
          <w:szCs w:val="32"/>
        </w:rPr>
      </w:pPr>
      <w:r>
        <w:rPr>
          <w:rFonts w:hint="eastAsia" w:ascii="宋体" w:hAnsi="宋体" w:eastAsia="宋体" w:cs="宋体"/>
          <w:sz w:val="22"/>
          <w:szCs w:val="22"/>
        </w:rPr>
        <w:t xml:space="preserve">21、DICOM：支持       </w:t>
      </w:r>
      <w:r>
        <w:rPr>
          <w:rFonts w:hint="eastAsia" w:ascii="仿宋" w:hAnsi="仿宋" w:eastAsia="仿宋"/>
          <w:sz w:val="32"/>
          <w:szCs w:val="32"/>
        </w:rPr>
        <w:t xml:space="preserve"> </w:t>
      </w:r>
      <w:r>
        <w:rPr>
          <w:rFonts w:hint="eastAsia" w:ascii="宋体" w:hAnsi="宋体" w:eastAsia="宋体" w:cs="宋体"/>
          <w:sz w:val="22"/>
          <w:szCs w:val="22"/>
        </w:rPr>
        <w:t xml:space="preserve">   </w:t>
      </w:r>
      <w:r>
        <w:rPr>
          <w:rFonts w:hint="eastAsia" w:ascii="仿宋" w:hAnsi="仿宋" w:eastAsia="仿宋"/>
          <w:sz w:val="32"/>
          <w:szCs w:val="32"/>
        </w:rPr>
        <w:t xml:space="preserve">                                        </w:t>
      </w:r>
    </w:p>
    <w:p>
      <w:pPr>
        <w:pStyle w:val="35"/>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D包</w:t>
      </w:r>
      <w:r>
        <w:rPr>
          <w:rFonts w:hint="eastAsia" w:asciiTheme="minorEastAsia" w:hAnsiTheme="minorEastAsia" w:eastAsiaTheme="minorEastAsia" w:cstheme="minorEastAsia"/>
          <w:b/>
          <w:bCs/>
          <w:sz w:val="28"/>
          <w:szCs w:val="32"/>
          <w:lang w:val="en-US" w:eastAsia="zh-CN"/>
        </w:rPr>
        <w:t>：心肺转流离心系统（ECMO）</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tbl>
      <w:tblPr>
        <w:tblStyle w:val="44"/>
        <w:tblW w:w="863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63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1、具有体外生命支持功能，满足临床和突发公共卫生事件的需要，方便转运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2、系统显示：中文操作界面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★3、工作原理：磁力耦合驱动，无金属轴承</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6"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4、泵头驱动和工作台体积小，重量轻，利于转运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★5、双泵头驱动器设置，既可以单独使用，也可以同时支持双人使用，并可以互为备份，快速互换，降低事故的发生几率</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3"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6、泵头驱动器内置UPS电源，每分钟4L流量时，续航能力≥120min，且可以更换电池或使用直流电源供电，利于院内检查和转运</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7、泵头驱动器，具有可快速更换的内部电池，也可以由直流电源或者控制台供电，利于救护车长途转运需求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8、泵头驱动器独立工作，通过主流量/气泡传感器进行监测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9、泵头驱动最高转速</w:t>
            </w:r>
            <w:r>
              <w:rPr>
                <w:rFonts w:hint="eastAsia" w:ascii="宋体" w:hAnsi="宋体" w:cs="宋体"/>
                <w:kern w:val="0"/>
                <w:sz w:val="22"/>
                <w:szCs w:val="22"/>
                <w:lang w:bidi="ar"/>
              </w:rPr>
              <w:t>≥</w:t>
            </w:r>
            <w:r>
              <w:rPr>
                <w:rFonts w:hint="eastAsia" w:ascii="宋体" w:hAnsi="宋体" w:eastAsia="宋体" w:cs="宋体"/>
                <w:sz w:val="22"/>
                <w:szCs w:val="22"/>
              </w:rPr>
              <w:t>5500 rpm</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★10、具有双流量、气泡、压力、温度监测和告警功能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★11、双流量监测模式，除了利于实现VA-ECMO和VV-ECMO对任意位置流量监测外，还可以实现系统内对带分支回路ECMO模式的血流监测支持，便于医护人员选择最适合的体外生命支持方式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12、流量监测：-8 L/min～8 L/min，误差≤±5%</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13、具有双路（3/8或1/4管路）流量传感器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14、具有双路（3/8或1/4管路）气泡传感器监测，告警阈值≥500 uL</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15、具有≥4路压力监测：压力监测范围，-50 mmHg～500 mmHg，误差≤±3%</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2"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16、具有≥2路温度监测：监测范围10 ℃～42 ℃, 误差≤±0.5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8633" w:type="dxa"/>
            <w:tcBorders>
              <w:top w:val="nil"/>
              <w:left w:val="nil"/>
              <w:bottom w:val="nil"/>
              <w:right w:val="nil"/>
            </w:tcBorders>
            <w:vAlign w:val="center"/>
          </w:tcPr>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ascii="宋体" w:hAnsi="宋体" w:eastAsia="宋体" w:cs="宋体"/>
                <w:sz w:val="22"/>
                <w:szCs w:val="22"/>
              </w:rPr>
            </w:pPr>
            <w:r>
              <w:rPr>
                <w:rFonts w:hint="eastAsia" w:ascii="宋体" w:hAnsi="宋体" w:eastAsia="宋体" w:cs="宋体"/>
                <w:sz w:val="22"/>
                <w:szCs w:val="22"/>
              </w:rPr>
              <w:t>17、具有零流量模式及气泡零流量干预功能</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8633" w:type="dxa"/>
            <w:tcBorders>
              <w:top w:val="nil"/>
              <w:left w:val="nil"/>
              <w:bottom w:val="nil"/>
              <w:right w:val="nil"/>
            </w:tcBorders>
            <w:vAlign w:val="center"/>
          </w:tcPr>
          <w:p>
            <w:pPr>
              <w:rPr>
                <w:rFonts w:hint="eastAsia" w:ascii="宋体" w:hAnsi="宋体" w:eastAsia="宋体" w:cs="宋体"/>
                <w:sz w:val="22"/>
                <w:szCs w:val="22"/>
              </w:rPr>
            </w:pPr>
            <w:r>
              <w:rPr>
                <w:rFonts w:hint="eastAsia" w:ascii="宋体" w:hAnsi="宋体" w:eastAsia="宋体" w:cs="宋体"/>
                <w:sz w:val="22"/>
                <w:szCs w:val="22"/>
              </w:rPr>
              <w:t>★</w:t>
            </w:r>
            <w:r>
              <w:rPr>
                <w:rFonts w:ascii="宋体" w:hAnsi="宋体" w:eastAsia="宋体" w:cs="宋体"/>
                <w:spacing w:val="9"/>
                <w:sz w:val="24"/>
                <w:szCs w:val="24"/>
              </w:rPr>
              <w:t>18.</w:t>
            </w:r>
            <w:r>
              <w:t xml:space="preserve"> </w:t>
            </w:r>
            <w:r>
              <w:rPr>
                <w:rFonts w:hint="eastAsia" w:ascii="宋体" w:hAnsi="宋体" w:eastAsia="宋体" w:cs="宋体"/>
                <w:spacing w:val="9"/>
                <w:sz w:val="24"/>
                <w:szCs w:val="24"/>
              </w:rPr>
              <w:t>设备所使用的配套耗材均可在河南省公共资源交易中心网采平台采购。所使用耗材提供全网采购目录截图。</w:t>
            </w:r>
          </w:p>
        </w:tc>
      </w:tr>
    </w:tbl>
    <w:p>
      <w:pPr>
        <w:rPr>
          <w:rFonts w:hint="eastAsia" w:ascii="仿宋" w:hAnsi="仿宋" w:eastAsia="仿宋"/>
          <w:sz w:val="32"/>
          <w:szCs w:val="32"/>
        </w:rPr>
      </w:pPr>
      <w:r>
        <w:rPr>
          <w:rFonts w:hint="eastAsia" w:ascii="仿宋" w:hAnsi="仿宋" w:eastAsia="仿宋"/>
          <w:sz w:val="32"/>
          <w:szCs w:val="32"/>
        </w:rPr>
        <w:t>二、设备配置清单</w:t>
      </w:r>
    </w:p>
    <w:tbl>
      <w:tblPr>
        <w:tblStyle w:val="44"/>
        <w:tblW w:w="8647"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88"/>
        <w:gridCol w:w="3864"/>
        <w:gridCol w:w="1680"/>
        <w:gridCol w:w="151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8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编</w:t>
            </w:r>
            <w:r>
              <w:rPr>
                <w:rFonts w:ascii="宋体" w:hAnsi="宋体" w:eastAsia="宋体" w:cs="宋体"/>
                <w:spacing w:val="4"/>
                <w:sz w:val="22"/>
                <w:szCs w:val="22"/>
              </w:rPr>
              <w:t>号</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w:t>
            </w:r>
            <w:r>
              <w:rPr>
                <w:rFonts w:ascii="宋体" w:hAnsi="宋体" w:eastAsia="宋体" w:cs="宋体"/>
                <w:spacing w:val="7"/>
                <w:sz w:val="22"/>
                <w:szCs w:val="22"/>
              </w:rPr>
              <w:t>产品配置清单 (必备)</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z w:val="22"/>
                <w:szCs w:val="22"/>
              </w:rPr>
            </w:pPr>
            <w:r>
              <w:rPr>
                <w:rFonts w:hint="eastAsia" w:ascii="宋体" w:hAnsi="宋体" w:eastAsia="宋体" w:cs="宋体"/>
                <w:spacing w:val="4"/>
                <w:sz w:val="22"/>
                <w:szCs w:val="22"/>
              </w:rPr>
              <w:t>数</w:t>
            </w:r>
            <w:r>
              <w:rPr>
                <w:rFonts w:ascii="宋体" w:hAnsi="宋体" w:eastAsia="宋体" w:cs="宋体"/>
                <w:spacing w:val="4"/>
                <w:sz w:val="22"/>
                <w:szCs w:val="22"/>
              </w:rPr>
              <w:t>量</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ind w:firstLine="228" w:firstLineChars="100"/>
              <w:jc w:val="center"/>
              <w:textAlignment w:val="auto"/>
              <w:rPr>
                <w:rFonts w:ascii="宋体" w:hAnsi="宋体" w:eastAsia="宋体" w:cs="宋体"/>
                <w:spacing w:val="4"/>
                <w:sz w:val="22"/>
                <w:szCs w:val="22"/>
              </w:rPr>
            </w:pPr>
            <w:r>
              <w:rPr>
                <w:rFonts w:hint="eastAsia" w:ascii="宋体" w:hAnsi="宋体" w:eastAsia="宋体" w:cs="宋体"/>
                <w:spacing w:val="4"/>
                <w:sz w:val="22"/>
                <w:szCs w:val="22"/>
              </w:rPr>
              <w:t>单位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5"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控制台</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电动泵头驱动器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6"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3</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5" w:line="240" w:lineRule="exact"/>
              <w:jc w:val="center"/>
              <w:textAlignment w:val="auto"/>
              <w:rPr>
                <w:rFonts w:ascii="宋体" w:hAnsi="宋体" w:eastAsia="宋体" w:cs="宋体"/>
                <w:sz w:val="22"/>
                <w:szCs w:val="22"/>
              </w:rPr>
            </w:pPr>
            <w:r>
              <w:rPr>
                <w:rFonts w:hint="eastAsia" w:ascii="宋体" w:hAnsi="宋体" w:eastAsia="宋体" w:cs="宋体"/>
                <w:sz w:val="22"/>
                <w:szCs w:val="22"/>
              </w:rPr>
              <w:t>流量传感器</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2</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3"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7"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4</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7" w:line="240" w:lineRule="exact"/>
              <w:jc w:val="center"/>
              <w:textAlignment w:val="auto"/>
              <w:rPr>
                <w:rFonts w:ascii="宋体" w:hAnsi="宋体" w:eastAsia="宋体" w:cs="宋体"/>
                <w:sz w:val="22"/>
                <w:szCs w:val="22"/>
              </w:rPr>
            </w:pPr>
            <w:r>
              <w:rPr>
                <w:rFonts w:hint="eastAsia" w:ascii="宋体" w:hAnsi="宋体" w:eastAsia="宋体" w:cs="宋体"/>
                <w:spacing w:val="8"/>
                <w:sz w:val="22"/>
                <w:szCs w:val="22"/>
              </w:rPr>
              <w:t>台车</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4" w:line="240" w:lineRule="exact"/>
              <w:jc w:val="center"/>
              <w:textAlignment w:val="auto"/>
              <w:rPr>
                <w:rFonts w:ascii="宋体" w:hAnsi="宋体" w:eastAsia="宋体" w:cs="宋体"/>
                <w:sz w:val="22"/>
                <w:szCs w:val="22"/>
              </w:rPr>
            </w:pPr>
            <w:r>
              <w:rPr>
                <w:rFonts w:hint="eastAsia" w:ascii="宋体" w:hAnsi="宋体" w:eastAsia="宋体" w:cs="宋体"/>
                <w:sz w:val="22"/>
                <w:szCs w:val="22"/>
              </w:rPr>
              <w:t>个</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1"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5</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40" w:line="240" w:lineRule="exact"/>
              <w:jc w:val="center"/>
              <w:textAlignment w:val="auto"/>
              <w:rPr>
                <w:rFonts w:ascii="宋体" w:hAnsi="宋体" w:eastAsia="宋体" w:cs="宋体"/>
                <w:sz w:val="22"/>
                <w:szCs w:val="22"/>
              </w:rPr>
            </w:pPr>
            <w:r>
              <w:rPr>
                <w:rFonts w:ascii="宋体" w:hAnsi="宋体" w:eastAsia="宋体" w:cs="宋体"/>
                <w:spacing w:val="9"/>
                <w:sz w:val="22"/>
                <w:szCs w:val="22"/>
              </w:rPr>
              <w:t>空</w:t>
            </w:r>
            <w:r>
              <w:rPr>
                <w:rFonts w:ascii="宋体" w:hAnsi="宋体" w:eastAsia="宋体" w:cs="宋体"/>
                <w:spacing w:val="6"/>
                <w:sz w:val="22"/>
                <w:szCs w:val="22"/>
              </w:rPr>
              <w:t>氧混合器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8" w:line="240" w:lineRule="exact"/>
              <w:jc w:val="center"/>
              <w:textAlignment w:val="auto"/>
              <w:rPr>
                <w:rFonts w:ascii="宋体" w:hAnsi="宋体" w:eastAsia="宋体" w:cs="宋体"/>
                <w:sz w:val="22"/>
                <w:szCs w:val="22"/>
              </w:rPr>
            </w:pPr>
            <w:r>
              <w:rPr>
                <w:rFonts w:hint="eastAsia" w:ascii="宋体" w:hAnsi="宋体" w:eastAsia="宋体" w:cs="宋体"/>
                <w:sz w:val="22"/>
                <w:szCs w:val="22"/>
              </w:rPr>
              <w:t>台</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1588"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6</w:t>
            </w:r>
          </w:p>
        </w:tc>
        <w:tc>
          <w:tcPr>
            <w:tcW w:w="3864"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39" w:line="240" w:lineRule="exact"/>
              <w:jc w:val="center"/>
              <w:textAlignment w:val="auto"/>
              <w:rPr>
                <w:rFonts w:ascii="宋体" w:hAnsi="宋体" w:eastAsia="宋体" w:cs="宋体"/>
                <w:sz w:val="22"/>
                <w:szCs w:val="22"/>
              </w:rPr>
            </w:pPr>
            <w:r>
              <w:rPr>
                <w:rFonts w:hint="eastAsia" w:ascii="宋体" w:hAnsi="宋体" w:eastAsia="宋体" w:cs="宋体"/>
                <w:sz w:val="22"/>
                <w:szCs w:val="22"/>
              </w:rPr>
              <w:t>物理升降温仪器</w:t>
            </w:r>
            <w:r>
              <w:rPr>
                <w:rFonts w:hint="eastAsia" w:ascii="宋体" w:hAnsi="宋体" w:eastAsia="宋体" w:cs="宋体"/>
                <w:spacing w:val="6"/>
                <w:sz w:val="22"/>
                <w:szCs w:val="22"/>
              </w:rPr>
              <w:t>（原装进口）</w:t>
            </w:r>
          </w:p>
        </w:tc>
        <w:tc>
          <w:tcPr>
            <w:tcW w:w="1680"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ascii="宋体" w:hAnsi="宋体" w:eastAsia="宋体" w:cs="宋体"/>
                <w:sz w:val="22"/>
                <w:szCs w:val="22"/>
              </w:rPr>
              <w:t>1</w:t>
            </w:r>
          </w:p>
        </w:tc>
        <w:tc>
          <w:tcPr>
            <w:tcW w:w="1515" w:type="dxa"/>
            <w:tcBorders>
              <w:top w:val="nil"/>
              <w:left w:val="nil"/>
              <w:bottom w:val="nil"/>
              <w:right w:val="nil"/>
            </w:tcBorders>
          </w:tcPr>
          <w:p>
            <w:pPr>
              <w:keepNext w:val="0"/>
              <w:keepLines w:val="0"/>
              <w:pageBreakBefore w:val="0"/>
              <w:widowControl w:val="0"/>
              <w:kinsoku/>
              <w:wordWrap/>
              <w:overflowPunct/>
              <w:topLinePunct w:val="0"/>
              <w:autoSpaceDE/>
              <w:autoSpaceDN/>
              <w:bidi w:val="0"/>
              <w:adjustRightInd/>
              <w:snapToGrid/>
              <w:spacing w:before="76" w:line="240" w:lineRule="exact"/>
              <w:jc w:val="center"/>
              <w:textAlignment w:val="auto"/>
              <w:rPr>
                <w:rFonts w:ascii="宋体" w:hAnsi="宋体" w:eastAsia="宋体" w:cs="宋体"/>
                <w:sz w:val="22"/>
                <w:szCs w:val="22"/>
              </w:rPr>
            </w:pPr>
            <w:r>
              <w:rPr>
                <w:rFonts w:hint="eastAsia" w:ascii="宋体" w:hAnsi="宋体" w:eastAsia="宋体" w:cs="宋体"/>
                <w:sz w:val="22"/>
                <w:szCs w:val="22"/>
              </w:rPr>
              <w:t>套</w:t>
            </w:r>
          </w:p>
        </w:tc>
      </w:tr>
    </w:tbl>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E包</w:t>
      </w:r>
      <w:r>
        <w:rPr>
          <w:rFonts w:hint="eastAsia" w:asciiTheme="minorEastAsia" w:hAnsiTheme="minorEastAsia" w:eastAsiaTheme="minorEastAsia" w:cstheme="minorEastAsia"/>
          <w:b/>
          <w:bCs/>
          <w:sz w:val="28"/>
          <w:szCs w:val="32"/>
          <w:lang w:val="en-US" w:eastAsia="zh-CN"/>
        </w:rPr>
        <w:t>：静息代谢测试仪</w:t>
      </w: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数量：1套</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bookmarkStart w:id="190" w:name="_Hlk144970708"/>
      <w:r>
        <w:rPr>
          <w:rFonts w:hint="eastAsia" w:ascii="宋体" w:hAnsi="宋体" w:eastAsia="宋体" w:cs="宋体"/>
          <w:sz w:val="22"/>
          <w:szCs w:val="22"/>
        </w:rPr>
        <w:t>1、产品用途：用于6岁以上的健康人、自主呼吸患者进行静息代谢测试。（提供注册证）</w:t>
      </w:r>
    </w:p>
    <w:p>
      <w:pPr>
        <w:rPr>
          <w:rFonts w:hint="eastAsia" w:ascii="宋体" w:hAnsi="宋体" w:eastAsia="宋体" w:cs="宋体"/>
          <w:sz w:val="22"/>
          <w:szCs w:val="22"/>
        </w:rPr>
      </w:pPr>
      <w:r>
        <w:rPr>
          <w:rFonts w:hint="eastAsia" w:ascii="宋体" w:hAnsi="宋体" w:eastAsia="宋体" w:cs="宋体"/>
          <w:sz w:val="22"/>
          <w:szCs w:val="22"/>
        </w:rPr>
        <w:t>2、测试原理：</w:t>
      </w:r>
    </w:p>
    <w:p>
      <w:pPr>
        <w:rPr>
          <w:rFonts w:hint="eastAsia" w:ascii="宋体" w:hAnsi="宋体" w:eastAsia="宋体" w:cs="宋体"/>
          <w:sz w:val="22"/>
          <w:szCs w:val="22"/>
        </w:rPr>
      </w:pPr>
      <w:r>
        <w:rPr>
          <w:rFonts w:hint="eastAsia" w:ascii="宋体" w:hAnsi="宋体" w:eastAsia="宋体" w:cs="宋体"/>
          <w:sz w:val="22"/>
          <w:szCs w:val="22"/>
        </w:rPr>
        <w:t>2.1肺功能测量原理：通过流量传感器，测量患者呼出或吸入的气体流量及容量，根据时间-容积曲线和流量-容积曲线，分析得出人体呼吸生理的肺通气指标。</w:t>
      </w:r>
    </w:p>
    <w:p>
      <w:pPr>
        <w:rPr>
          <w:rFonts w:hint="eastAsia" w:ascii="宋体" w:hAnsi="宋体" w:eastAsia="宋体" w:cs="宋体"/>
          <w:sz w:val="22"/>
          <w:szCs w:val="22"/>
        </w:rPr>
      </w:pPr>
      <w:r>
        <w:rPr>
          <w:rFonts w:hint="eastAsia" w:ascii="宋体" w:hAnsi="宋体" w:eastAsia="宋体" w:cs="宋体"/>
          <w:sz w:val="22"/>
          <w:szCs w:val="22"/>
        </w:rPr>
        <w:t>★2.2呼吸检测原理：根据呼吸过程中消耗的氧气浓度、产生的二氧化碳浓度与通气量计算，分析得出VO2、VCO2等人体静息代谢指标。</w:t>
      </w:r>
    </w:p>
    <w:p>
      <w:pPr>
        <w:rPr>
          <w:rFonts w:hint="eastAsia" w:ascii="宋体" w:hAnsi="宋体" w:eastAsia="宋体" w:cs="宋体"/>
          <w:sz w:val="22"/>
          <w:szCs w:val="22"/>
        </w:rPr>
      </w:pPr>
      <w:r>
        <w:rPr>
          <w:rFonts w:hint="eastAsia" w:ascii="宋体" w:hAnsi="宋体" w:eastAsia="宋体" w:cs="宋体"/>
          <w:sz w:val="22"/>
          <w:szCs w:val="22"/>
        </w:rPr>
        <w:t>3、测量参数：</w:t>
      </w:r>
    </w:p>
    <w:p>
      <w:pPr>
        <w:rPr>
          <w:rFonts w:hint="eastAsia" w:ascii="宋体" w:hAnsi="宋体" w:eastAsia="宋体" w:cs="宋体"/>
          <w:sz w:val="22"/>
          <w:szCs w:val="22"/>
        </w:rPr>
      </w:pPr>
      <w:r>
        <w:rPr>
          <w:rFonts w:hint="eastAsia" w:ascii="宋体" w:hAnsi="宋体" w:eastAsia="宋体" w:cs="宋体"/>
          <w:sz w:val="22"/>
          <w:szCs w:val="22"/>
        </w:rPr>
        <w:t>★3.1静息能量消耗量REE</w:t>
      </w:r>
    </w:p>
    <w:p>
      <w:pPr>
        <w:rPr>
          <w:rFonts w:hint="eastAsia" w:ascii="宋体" w:hAnsi="宋体" w:eastAsia="宋体" w:cs="宋体"/>
          <w:sz w:val="22"/>
          <w:szCs w:val="22"/>
        </w:rPr>
      </w:pPr>
      <w:r>
        <w:rPr>
          <w:rFonts w:hint="eastAsia" w:ascii="宋体" w:hAnsi="宋体" w:eastAsia="宋体" w:cs="宋体"/>
          <w:sz w:val="22"/>
          <w:szCs w:val="22"/>
        </w:rPr>
        <w:t>★3.2静息能量代谢预计值REE pred；</w:t>
      </w:r>
    </w:p>
    <w:p>
      <w:pPr>
        <w:rPr>
          <w:rFonts w:hint="eastAsia" w:ascii="宋体" w:hAnsi="宋体" w:eastAsia="宋体" w:cs="宋体"/>
          <w:sz w:val="22"/>
          <w:szCs w:val="22"/>
        </w:rPr>
      </w:pPr>
      <w:r>
        <w:rPr>
          <w:rFonts w:hint="eastAsia" w:ascii="宋体" w:hAnsi="宋体" w:eastAsia="宋体" w:cs="宋体"/>
          <w:sz w:val="22"/>
          <w:szCs w:val="22"/>
        </w:rPr>
        <w:t>★3.3呼吸熵RQ；</w:t>
      </w:r>
    </w:p>
    <w:p>
      <w:pPr>
        <w:rPr>
          <w:rFonts w:hint="eastAsia" w:ascii="宋体" w:hAnsi="宋体" w:eastAsia="宋体" w:cs="宋体"/>
          <w:sz w:val="22"/>
          <w:szCs w:val="22"/>
        </w:rPr>
      </w:pPr>
      <w:r>
        <w:rPr>
          <w:rFonts w:hint="eastAsia" w:ascii="宋体" w:hAnsi="宋体" w:eastAsia="宋体" w:cs="宋体"/>
          <w:sz w:val="22"/>
          <w:szCs w:val="22"/>
        </w:rPr>
        <w:t>★3.4碳水化合物消耗占比CHO/REE*100%；</w:t>
      </w:r>
    </w:p>
    <w:p>
      <w:pPr>
        <w:rPr>
          <w:rFonts w:hint="eastAsia" w:ascii="宋体" w:hAnsi="宋体" w:eastAsia="宋体" w:cs="宋体"/>
          <w:sz w:val="22"/>
          <w:szCs w:val="22"/>
        </w:rPr>
      </w:pPr>
      <w:r>
        <w:rPr>
          <w:rFonts w:hint="eastAsia" w:ascii="宋体" w:hAnsi="宋体" w:eastAsia="宋体" w:cs="宋体"/>
          <w:sz w:val="22"/>
          <w:szCs w:val="22"/>
        </w:rPr>
        <w:t>★3.5脂肪消耗占比FAT/REE*100%；</w:t>
      </w:r>
    </w:p>
    <w:p>
      <w:pPr>
        <w:rPr>
          <w:rFonts w:hint="eastAsia" w:ascii="宋体" w:hAnsi="宋体" w:eastAsia="宋体" w:cs="宋体"/>
          <w:sz w:val="22"/>
          <w:szCs w:val="22"/>
        </w:rPr>
      </w:pPr>
      <w:r>
        <w:rPr>
          <w:rFonts w:hint="eastAsia" w:ascii="宋体" w:hAnsi="宋体" w:eastAsia="宋体" w:cs="宋体"/>
          <w:sz w:val="22"/>
          <w:szCs w:val="22"/>
        </w:rPr>
        <w:t>★3.6蛋白质消耗占比PRO/REE*100%；</w:t>
      </w:r>
    </w:p>
    <w:p>
      <w:pPr>
        <w:rPr>
          <w:rFonts w:hint="eastAsia" w:ascii="宋体" w:hAnsi="宋体" w:eastAsia="宋体" w:cs="宋体"/>
          <w:sz w:val="22"/>
          <w:szCs w:val="22"/>
        </w:rPr>
      </w:pPr>
      <w:r>
        <w:rPr>
          <w:rFonts w:hint="eastAsia" w:ascii="宋体" w:hAnsi="宋体" w:eastAsia="宋体" w:cs="宋体"/>
          <w:sz w:val="22"/>
          <w:szCs w:val="22"/>
        </w:rPr>
        <w:t>★3.7每分钟摄氧量VO2</w:t>
      </w:r>
    </w:p>
    <w:p>
      <w:pPr>
        <w:rPr>
          <w:rFonts w:hint="eastAsia" w:ascii="宋体" w:hAnsi="宋体" w:eastAsia="宋体" w:cs="宋体"/>
          <w:sz w:val="22"/>
          <w:szCs w:val="22"/>
        </w:rPr>
      </w:pPr>
      <w:r>
        <w:rPr>
          <w:rFonts w:hint="eastAsia" w:ascii="宋体" w:hAnsi="宋体" w:eastAsia="宋体" w:cs="宋体"/>
          <w:sz w:val="22"/>
          <w:szCs w:val="22"/>
        </w:rPr>
        <w:t>★3.8每分钟产生二氧化碳量VCO2</w:t>
      </w:r>
    </w:p>
    <w:p>
      <w:pPr>
        <w:rPr>
          <w:rFonts w:hint="eastAsia" w:ascii="宋体" w:hAnsi="宋体" w:eastAsia="宋体" w:cs="宋体"/>
          <w:sz w:val="22"/>
          <w:szCs w:val="22"/>
        </w:rPr>
      </w:pPr>
      <w:r>
        <w:rPr>
          <w:rFonts w:hint="eastAsia" w:ascii="宋体" w:hAnsi="宋体" w:eastAsia="宋体" w:cs="宋体"/>
          <w:sz w:val="22"/>
          <w:szCs w:val="22"/>
        </w:rPr>
        <w:t>3.9非蛋白呼吸熵NPRQ</w:t>
      </w:r>
    </w:p>
    <w:p>
      <w:pPr>
        <w:rPr>
          <w:rFonts w:hint="eastAsia" w:ascii="宋体" w:hAnsi="宋体" w:eastAsia="宋体" w:cs="宋体"/>
          <w:sz w:val="22"/>
          <w:szCs w:val="22"/>
        </w:rPr>
      </w:pPr>
      <w:r>
        <w:rPr>
          <w:rFonts w:hint="eastAsia" w:ascii="宋体" w:hAnsi="宋体" w:eastAsia="宋体" w:cs="宋体"/>
          <w:sz w:val="22"/>
          <w:szCs w:val="22"/>
        </w:rPr>
        <w:t>3.10呼吸频率RR</w:t>
      </w:r>
    </w:p>
    <w:p>
      <w:pPr>
        <w:rPr>
          <w:rFonts w:hint="eastAsia" w:ascii="宋体" w:hAnsi="宋体" w:eastAsia="宋体" w:cs="宋体"/>
          <w:sz w:val="22"/>
          <w:szCs w:val="22"/>
        </w:rPr>
      </w:pPr>
      <w:r>
        <w:rPr>
          <w:rFonts w:hint="eastAsia" w:ascii="宋体" w:hAnsi="宋体" w:eastAsia="宋体" w:cs="宋体"/>
          <w:sz w:val="22"/>
          <w:szCs w:val="22"/>
        </w:rPr>
        <w:t>3.11变异系数REE-COVAR*100%</w:t>
      </w:r>
    </w:p>
    <w:p>
      <w:pPr>
        <w:rPr>
          <w:rFonts w:hint="eastAsia" w:ascii="宋体" w:hAnsi="宋体" w:eastAsia="宋体" w:cs="宋体"/>
          <w:sz w:val="22"/>
          <w:szCs w:val="22"/>
        </w:rPr>
      </w:pPr>
      <w:r>
        <w:rPr>
          <w:rFonts w:hint="eastAsia" w:ascii="宋体" w:hAnsi="宋体" w:eastAsia="宋体" w:cs="宋体"/>
          <w:sz w:val="22"/>
          <w:szCs w:val="22"/>
        </w:rPr>
        <w:t>3.12用力肺活量FVC</w:t>
      </w:r>
    </w:p>
    <w:p>
      <w:pPr>
        <w:rPr>
          <w:rFonts w:hint="eastAsia" w:ascii="宋体" w:hAnsi="宋体" w:eastAsia="宋体" w:cs="宋体"/>
          <w:sz w:val="22"/>
          <w:szCs w:val="22"/>
        </w:rPr>
      </w:pPr>
      <w:r>
        <w:rPr>
          <w:rFonts w:hint="eastAsia" w:ascii="宋体" w:hAnsi="宋体" w:eastAsia="宋体" w:cs="宋体"/>
          <w:sz w:val="22"/>
          <w:szCs w:val="22"/>
        </w:rPr>
        <w:t>3.13慢肺活量SVC</w:t>
      </w:r>
    </w:p>
    <w:p>
      <w:pPr>
        <w:rPr>
          <w:rFonts w:hint="eastAsia" w:ascii="宋体" w:hAnsi="宋体" w:eastAsia="宋体" w:cs="宋体"/>
          <w:sz w:val="22"/>
          <w:szCs w:val="22"/>
        </w:rPr>
      </w:pPr>
      <w:r>
        <w:rPr>
          <w:rFonts w:hint="eastAsia" w:ascii="宋体" w:hAnsi="宋体" w:eastAsia="宋体" w:cs="宋体"/>
          <w:sz w:val="22"/>
          <w:szCs w:val="22"/>
        </w:rPr>
        <w:t>3.14最大通气量MVV</w:t>
      </w:r>
    </w:p>
    <w:p>
      <w:pPr>
        <w:rPr>
          <w:rFonts w:hint="eastAsia" w:ascii="宋体" w:hAnsi="宋体" w:eastAsia="宋体" w:cs="宋体"/>
          <w:sz w:val="22"/>
          <w:szCs w:val="22"/>
        </w:rPr>
      </w:pPr>
      <w:r>
        <w:rPr>
          <w:rFonts w:hint="eastAsia" w:ascii="宋体" w:hAnsi="宋体" w:eastAsia="宋体" w:cs="宋体"/>
          <w:sz w:val="22"/>
          <w:szCs w:val="22"/>
        </w:rPr>
        <w:t>4、技术要求</w:t>
      </w:r>
    </w:p>
    <w:p>
      <w:pPr>
        <w:rPr>
          <w:rFonts w:hint="eastAsia" w:ascii="宋体" w:hAnsi="宋体" w:eastAsia="宋体" w:cs="宋体"/>
          <w:sz w:val="22"/>
          <w:szCs w:val="22"/>
        </w:rPr>
      </w:pPr>
      <w:r>
        <w:rPr>
          <w:rFonts w:hint="eastAsia" w:ascii="宋体" w:hAnsi="宋体" w:eastAsia="宋体" w:cs="宋体"/>
          <w:sz w:val="22"/>
          <w:szCs w:val="22"/>
        </w:rPr>
        <w:t>4.1流量传感器</w:t>
      </w:r>
    </w:p>
    <w:p>
      <w:pPr>
        <w:rPr>
          <w:rFonts w:hint="eastAsia" w:ascii="宋体" w:hAnsi="宋体" w:eastAsia="宋体" w:cs="宋体"/>
          <w:sz w:val="22"/>
          <w:szCs w:val="22"/>
        </w:rPr>
      </w:pPr>
      <w:r>
        <w:rPr>
          <w:rFonts w:hint="eastAsia" w:ascii="宋体" w:hAnsi="宋体" w:eastAsia="宋体" w:cs="宋体"/>
          <w:sz w:val="22"/>
          <w:szCs w:val="22"/>
        </w:rPr>
        <w:t>4.1.1传感器类型：涡轮流量传感器：</w:t>
      </w:r>
    </w:p>
    <w:p>
      <w:pPr>
        <w:rPr>
          <w:rFonts w:hint="eastAsia" w:ascii="宋体" w:hAnsi="宋体" w:eastAsia="宋体" w:cs="宋体"/>
          <w:sz w:val="22"/>
          <w:szCs w:val="22"/>
        </w:rPr>
      </w:pPr>
      <w:r>
        <w:rPr>
          <w:rFonts w:hint="eastAsia" w:ascii="宋体" w:hAnsi="宋体" w:eastAsia="宋体" w:cs="宋体"/>
          <w:sz w:val="22"/>
          <w:szCs w:val="22"/>
        </w:rPr>
        <w:t>4.1.2分辨率：≥0.002L/s</w:t>
      </w:r>
    </w:p>
    <w:p>
      <w:pPr>
        <w:rPr>
          <w:rFonts w:hint="eastAsia" w:ascii="宋体" w:hAnsi="宋体" w:eastAsia="宋体" w:cs="宋体"/>
          <w:sz w:val="22"/>
          <w:szCs w:val="22"/>
        </w:rPr>
      </w:pPr>
      <w:r>
        <w:rPr>
          <w:rFonts w:hint="eastAsia" w:ascii="宋体" w:hAnsi="宋体" w:eastAsia="宋体" w:cs="宋体"/>
          <w:sz w:val="22"/>
          <w:szCs w:val="22"/>
        </w:rPr>
        <w:t>4.1.3精确度：≤±3%</w:t>
      </w:r>
    </w:p>
    <w:p>
      <w:pPr>
        <w:rPr>
          <w:rFonts w:hint="eastAsia" w:ascii="宋体" w:hAnsi="宋体" w:eastAsia="宋体" w:cs="宋体"/>
          <w:sz w:val="22"/>
          <w:szCs w:val="22"/>
        </w:rPr>
      </w:pPr>
      <w:r>
        <w:rPr>
          <w:rFonts w:hint="eastAsia" w:ascii="宋体" w:hAnsi="宋体" w:eastAsia="宋体" w:cs="宋体"/>
          <w:sz w:val="22"/>
          <w:szCs w:val="22"/>
        </w:rPr>
        <w:t>4.1.4流量范围：0~18L/s</w:t>
      </w:r>
    </w:p>
    <w:p>
      <w:pPr>
        <w:rPr>
          <w:rFonts w:hint="eastAsia" w:ascii="宋体" w:hAnsi="宋体" w:eastAsia="宋体" w:cs="宋体"/>
          <w:sz w:val="22"/>
          <w:szCs w:val="22"/>
        </w:rPr>
      </w:pPr>
      <w:r>
        <w:rPr>
          <w:rFonts w:hint="eastAsia" w:ascii="宋体" w:hAnsi="宋体" w:eastAsia="宋体" w:cs="宋体"/>
          <w:sz w:val="22"/>
          <w:szCs w:val="22"/>
        </w:rPr>
        <w:t>4.1.5当流量为12L/s，阻力：＜0.7cmH2O s/L</w:t>
      </w:r>
    </w:p>
    <w:p>
      <w:pPr>
        <w:rPr>
          <w:rFonts w:hint="eastAsia" w:ascii="宋体" w:hAnsi="宋体" w:eastAsia="宋体" w:cs="宋体"/>
          <w:sz w:val="22"/>
          <w:szCs w:val="22"/>
        </w:rPr>
      </w:pPr>
      <w:r>
        <w:rPr>
          <w:rFonts w:hint="eastAsia" w:ascii="宋体" w:hAnsi="宋体" w:eastAsia="宋体" w:cs="宋体"/>
          <w:sz w:val="22"/>
          <w:szCs w:val="22"/>
        </w:rPr>
        <w:t>4.2氧分析器</w:t>
      </w:r>
    </w:p>
    <w:p>
      <w:pPr>
        <w:rPr>
          <w:rFonts w:hint="eastAsia" w:ascii="宋体" w:hAnsi="宋体" w:eastAsia="宋体" w:cs="宋体"/>
          <w:sz w:val="22"/>
          <w:szCs w:val="22"/>
        </w:rPr>
      </w:pPr>
      <w:r>
        <w:rPr>
          <w:rFonts w:hint="eastAsia" w:ascii="宋体" w:hAnsi="宋体" w:eastAsia="宋体" w:cs="宋体"/>
          <w:sz w:val="22"/>
          <w:szCs w:val="22"/>
        </w:rPr>
        <w:t>★4.2.1传感器类型：电化学传感器</w:t>
      </w:r>
    </w:p>
    <w:p>
      <w:pPr>
        <w:rPr>
          <w:rFonts w:hint="eastAsia" w:ascii="宋体" w:hAnsi="宋体" w:eastAsia="宋体" w:cs="宋体"/>
          <w:sz w:val="22"/>
          <w:szCs w:val="22"/>
        </w:rPr>
      </w:pPr>
      <w:r>
        <w:rPr>
          <w:rFonts w:hint="eastAsia" w:ascii="宋体" w:hAnsi="宋体" w:eastAsia="宋体" w:cs="宋体"/>
          <w:sz w:val="22"/>
          <w:szCs w:val="22"/>
        </w:rPr>
        <w:t>4.2.2测量范围：0~100%</w:t>
      </w:r>
    </w:p>
    <w:p>
      <w:pPr>
        <w:rPr>
          <w:rFonts w:hint="eastAsia" w:ascii="宋体" w:hAnsi="宋体" w:eastAsia="宋体" w:cs="宋体"/>
          <w:sz w:val="22"/>
          <w:szCs w:val="22"/>
        </w:rPr>
      </w:pPr>
      <w:r>
        <w:rPr>
          <w:rFonts w:hint="eastAsia" w:ascii="宋体" w:hAnsi="宋体" w:eastAsia="宋体" w:cs="宋体"/>
          <w:sz w:val="22"/>
          <w:szCs w:val="22"/>
        </w:rPr>
        <w:t>4.2.3测量误差：≤±0.03%</w:t>
      </w:r>
    </w:p>
    <w:p>
      <w:pPr>
        <w:rPr>
          <w:rFonts w:hint="eastAsia" w:ascii="宋体" w:hAnsi="宋体" w:eastAsia="宋体" w:cs="宋体"/>
          <w:sz w:val="22"/>
          <w:szCs w:val="22"/>
        </w:rPr>
      </w:pPr>
      <w:r>
        <w:rPr>
          <w:rFonts w:hint="eastAsia" w:ascii="宋体" w:hAnsi="宋体" w:eastAsia="宋体" w:cs="宋体"/>
          <w:sz w:val="22"/>
          <w:szCs w:val="22"/>
        </w:rPr>
        <w:t>4.2.4分辨率：≥0.01%</w:t>
      </w:r>
    </w:p>
    <w:p>
      <w:pPr>
        <w:rPr>
          <w:rFonts w:hint="eastAsia" w:ascii="宋体" w:hAnsi="宋体" w:eastAsia="宋体" w:cs="宋体"/>
          <w:sz w:val="22"/>
          <w:szCs w:val="22"/>
        </w:rPr>
      </w:pPr>
      <w:r>
        <w:rPr>
          <w:rFonts w:hint="eastAsia" w:ascii="宋体" w:hAnsi="宋体" w:eastAsia="宋体" w:cs="宋体"/>
          <w:sz w:val="22"/>
          <w:szCs w:val="22"/>
        </w:rPr>
        <w:t>4.2.5响应时间：＜120ms</w:t>
      </w:r>
    </w:p>
    <w:p>
      <w:pPr>
        <w:rPr>
          <w:rFonts w:hint="eastAsia" w:ascii="宋体" w:hAnsi="宋体" w:eastAsia="宋体" w:cs="宋体"/>
          <w:sz w:val="22"/>
          <w:szCs w:val="22"/>
        </w:rPr>
      </w:pPr>
      <w:r>
        <w:rPr>
          <w:rFonts w:hint="eastAsia" w:ascii="宋体" w:hAnsi="宋体" w:eastAsia="宋体" w:cs="宋体"/>
          <w:sz w:val="22"/>
          <w:szCs w:val="22"/>
        </w:rPr>
        <w:t>4.3二氧化碳分析器</w:t>
      </w:r>
    </w:p>
    <w:p>
      <w:pPr>
        <w:rPr>
          <w:rFonts w:hint="eastAsia" w:ascii="宋体" w:hAnsi="宋体" w:eastAsia="宋体" w:cs="宋体"/>
          <w:sz w:val="22"/>
          <w:szCs w:val="22"/>
        </w:rPr>
      </w:pPr>
      <w:r>
        <w:rPr>
          <w:rFonts w:hint="eastAsia" w:ascii="宋体" w:hAnsi="宋体" w:eastAsia="宋体" w:cs="宋体"/>
          <w:sz w:val="22"/>
          <w:szCs w:val="22"/>
        </w:rPr>
        <w:t>★4.3.1传感器类型：非分散红外传感器</w:t>
      </w:r>
    </w:p>
    <w:p>
      <w:pPr>
        <w:rPr>
          <w:rFonts w:hint="eastAsia" w:ascii="宋体" w:hAnsi="宋体" w:eastAsia="宋体" w:cs="宋体"/>
          <w:sz w:val="22"/>
          <w:szCs w:val="22"/>
        </w:rPr>
      </w:pPr>
      <w:r>
        <w:rPr>
          <w:rFonts w:hint="eastAsia" w:ascii="宋体" w:hAnsi="宋体" w:eastAsia="宋体" w:cs="宋体"/>
          <w:sz w:val="22"/>
          <w:szCs w:val="22"/>
        </w:rPr>
        <w:t>4.3.2测量范围：0~20%</w:t>
      </w:r>
    </w:p>
    <w:p>
      <w:pPr>
        <w:rPr>
          <w:rFonts w:hint="eastAsia" w:ascii="宋体" w:hAnsi="宋体" w:eastAsia="宋体" w:cs="宋体"/>
          <w:sz w:val="22"/>
          <w:szCs w:val="22"/>
        </w:rPr>
      </w:pPr>
      <w:r>
        <w:rPr>
          <w:rFonts w:hint="eastAsia" w:ascii="宋体" w:hAnsi="宋体" w:eastAsia="宋体" w:cs="宋体"/>
          <w:sz w:val="22"/>
          <w:szCs w:val="22"/>
        </w:rPr>
        <w:t>4.3.3测量误差：≤±0.03%</w:t>
      </w:r>
    </w:p>
    <w:p>
      <w:pPr>
        <w:rPr>
          <w:rFonts w:hint="eastAsia" w:ascii="宋体" w:hAnsi="宋体" w:eastAsia="宋体" w:cs="宋体"/>
          <w:sz w:val="22"/>
          <w:szCs w:val="22"/>
        </w:rPr>
      </w:pPr>
      <w:r>
        <w:rPr>
          <w:rFonts w:hint="eastAsia" w:ascii="宋体" w:hAnsi="宋体" w:eastAsia="宋体" w:cs="宋体"/>
          <w:sz w:val="22"/>
          <w:szCs w:val="22"/>
        </w:rPr>
        <w:t>4.3.4分辨率：≥0.01%</w:t>
      </w:r>
    </w:p>
    <w:p>
      <w:pPr>
        <w:rPr>
          <w:rFonts w:hint="eastAsia" w:ascii="宋体" w:hAnsi="宋体" w:eastAsia="宋体" w:cs="宋体"/>
          <w:sz w:val="22"/>
          <w:szCs w:val="22"/>
        </w:rPr>
      </w:pPr>
      <w:r>
        <w:rPr>
          <w:rFonts w:hint="eastAsia" w:ascii="宋体" w:hAnsi="宋体" w:eastAsia="宋体" w:cs="宋体"/>
          <w:sz w:val="22"/>
          <w:szCs w:val="22"/>
        </w:rPr>
        <w:t>4.3.5响应时间：＜120ms</w:t>
      </w:r>
    </w:p>
    <w:p>
      <w:pPr>
        <w:rPr>
          <w:rFonts w:hint="eastAsia" w:ascii="宋体" w:hAnsi="宋体" w:eastAsia="宋体" w:cs="宋体"/>
          <w:sz w:val="22"/>
          <w:szCs w:val="22"/>
        </w:rPr>
      </w:pPr>
      <w:r>
        <w:rPr>
          <w:rFonts w:hint="eastAsia" w:ascii="宋体" w:hAnsi="宋体" w:eastAsia="宋体" w:cs="宋体"/>
          <w:sz w:val="22"/>
          <w:szCs w:val="22"/>
        </w:rPr>
        <w:t>5、自定义设置检测时间，自动定标检测，实时显示过程曲线和数据</w:t>
      </w:r>
    </w:p>
    <w:p>
      <w:pPr>
        <w:rPr>
          <w:rFonts w:hint="eastAsia" w:ascii="宋体" w:hAnsi="宋体" w:eastAsia="宋体" w:cs="宋体"/>
          <w:sz w:val="22"/>
          <w:szCs w:val="22"/>
        </w:rPr>
      </w:pPr>
      <w:r>
        <w:rPr>
          <w:rFonts w:hint="eastAsia" w:ascii="宋体" w:hAnsi="宋体" w:eastAsia="宋体" w:cs="宋体"/>
          <w:sz w:val="22"/>
          <w:szCs w:val="22"/>
        </w:rPr>
        <w:t>★6、设备自带触摸屏吗，尺寸大于8寸，便携提手使用</w:t>
      </w:r>
    </w:p>
    <w:p>
      <w:pPr>
        <w:rPr>
          <w:rFonts w:hint="eastAsia" w:ascii="宋体" w:hAnsi="宋体" w:eastAsia="宋体" w:cs="宋体"/>
          <w:sz w:val="22"/>
          <w:szCs w:val="22"/>
        </w:rPr>
      </w:pPr>
      <w:r>
        <w:rPr>
          <w:rFonts w:hint="eastAsia" w:ascii="宋体" w:hAnsi="宋体" w:eastAsia="宋体" w:cs="宋体"/>
          <w:sz w:val="22"/>
          <w:szCs w:val="22"/>
        </w:rPr>
        <w:t>7、采用图标式操作方式，使操作变得非常简单</w:t>
      </w:r>
    </w:p>
    <w:p>
      <w:pPr>
        <w:rPr>
          <w:rFonts w:hint="eastAsia" w:ascii="宋体" w:hAnsi="宋体" w:eastAsia="宋体" w:cs="宋体"/>
          <w:sz w:val="22"/>
          <w:szCs w:val="22"/>
        </w:rPr>
      </w:pPr>
      <w:r>
        <w:rPr>
          <w:rFonts w:hint="eastAsia" w:ascii="宋体" w:hAnsi="宋体" w:eastAsia="宋体" w:cs="宋体"/>
          <w:sz w:val="22"/>
          <w:szCs w:val="22"/>
        </w:rPr>
        <w:t>8、可选择热敏打印报告和A4报告打印，可设置多种预制报告格式</w:t>
      </w:r>
    </w:p>
    <w:p>
      <w:pPr>
        <w:rPr>
          <w:rFonts w:hint="eastAsia" w:ascii="宋体" w:hAnsi="宋体" w:eastAsia="宋体" w:cs="宋体"/>
          <w:sz w:val="22"/>
          <w:szCs w:val="22"/>
        </w:rPr>
      </w:pPr>
      <w:r>
        <w:rPr>
          <w:rFonts w:hint="eastAsia" w:ascii="宋体" w:hAnsi="宋体" w:eastAsia="宋体" w:cs="宋体"/>
          <w:sz w:val="22"/>
          <w:szCs w:val="22"/>
        </w:rPr>
        <w:t>9、可导出数据，可对接医院his系统，可对接第三方平台</w:t>
      </w:r>
    </w:p>
    <w:p>
      <w:pPr>
        <w:rPr>
          <w:rFonts w:hint="eastAsia" w:ascii="宋体" w:hAnsi="宋体" w:eastAsia="宋体" w:cs="宋体"/>
          <w:sz w:val="22"/>
          <w:szCs w:val="22"/>
        </w:rPr>
      </w:pPr>
      <w:r>
        <w:rPr>
          <w:rFonts w:hint="eastAsia" w:ascii="宋体" w:hAnsi="宋体" w:eastAsia="宋体" w:cs="宋体"/>
          <w:sz w:val="22"/>
          <w:szCs w:val="22"/>
        </w:rPr>
        <w:t>10、具备完整患者数据管理，查看检测详细报告及对比分析</w:t>
      </w:r>
    </w:p>
    <w:p>
      <w:pPr>
        <w:spacing w:line="360" w:lineRule="auto"/>
        <w:rPr>
          <w:rFonts w:hint="eastAsia" w:asciiTheme="minorEastAsia" w:hAnsiTheme="minorEastAsia" w:eastAsiaTheme="minorEastAsia" w:cstheme="minorEastAsia"/>
          <w:b/>
          <w:bCs/>
          <w:sz w:val="28"/>
          <w:szCs w:val="32"/>
          <w:lang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F包</w:t>
      </w:r>
      <w:r>
        <w:rPr>
          <w:rFonts w:hint="eastAsia" w:asciiTheme="minorEastAsia" w:hAnsiTheme="minorEastAsia" w:eastAsiaTheme="minorEastAsia" w:cstheme="minorEastAsia"/>
          <w:b/>
          <w:bCs/>
          <w:sz w:val="28"/>
          <w:szCs w:val="32"/>
          <w:lang w:val="en-US" w:eastAsia="zh-CN"/>
        </w:rPr>
        <w:t>：麻醉机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bookmarkEnd w:id="190"/>
    <w:p>
      <w:pPr>
        <w:rPr>
          <w:rFonts w:hint="eastAsia" w:ascii="宋体" w:hAnsi="宋体" w:eastAsia="宋体" w:cs="宋体"/>
          <w:sz w:val="22"/>
          <w:szCs w:val="22"/>
        </w:rPr>
      </w:pPr>
      <w:r>
        <w:rPr>
          <w:rFonts w:hint="eastAsia" w:ascii="宋体" w:hAnsi="宋体" w:eastAsia="宋体" w:cs="宋体"/>
          <w:sz w:val="22"/>
          <w:szCs w:val="22"/>
        </w:rPr>
        <w:t>1.采用电控、气动控制方式。</w:t>
      </w:r>
    </w:p>
    <w:p>
      <w:pPr>
        <w:rPr>
          <w:rFonts w:hint="eastAsia" w:ascii="宋体" w:hAnsi="宋体" w:eastAsia="宋体" w:cs="宋体"/>
          <w:sz w:val="22"/>
          <w:szCs w:val="22"/>
        </w:rPr>
      </w:pPr>
      <w:r>
        <w:rPr>
          <w:rFonts w:hint="eastAsia" w:ascii="宋体" w:hAnsi="宋体" w:eastAsia="宋体" w:cs="宋体"/>
          <w:sz w:val="22"/>
          <w:szCs w:val="22"/>
        </w:rPr>
        <w:t>2.具有多种报警、提示及保护功能。</w:t>
      </w:r>
    </w:p>
    <w:p>
      <w:pPr>
        <w:rPr>
          <w:rFonts w:hint="eastAsia" w:ascii="宋体" w:hAnsi="宋体" w:eastAsia="宋体" w:cs="宋体"/>
          <w:sz w:val="22"/>
          <w:szCs w:val="22"/>
        </w:rPr>
      </w:pPr>
      <w:r>
        <w:rPr>
          <w:rFonts w:hint="eastAsia" w:ascii="宋体" w:hAnsi="宋体" w:eastAsia="宋体" w:cs="宋体"/>
          <w:sz w:val="22"/>
          <w:szCs w:val="22"/>
        </w:rPr>
        <w:t>3.具有停电支持功能。当市电断电后，自动转为机内备用电源工作。</w:t>
      </w:r>
    </w:p>
    <w:p>
      <w:pPr>
        <w:rPr>
          <w:rFonts w:hint="eastAsia" w:ascii="宋体" w:hAnsi="宋体" w:eastAsia="宋体" w:cs="宋体"/>
          <w:sz w:val="22"/>
          <w:szCs w:val="22"/>
        </w:rPr>
      </w:pPr>
      <w:r>
        <w:rPr>
          <w:rFonts w:hint="eastAsia" w:ascii="宋体" w:hAnsi="宋体" w:eastAsia="宋体" w:cs="宋体"/>
          <w:sz w:val="22"/>
          <w:szCs w:val="22"/>
        </w:rPr>
        <w:t>★4.采用</w:t>
      </w:r>
      <w:r>
        <w:rPr>
          <w:rFonts w:hint="eastAsia" w:ascii="宋体" w:hAnsi="宋体" w:cs="宋体"/>
          <w:kern w:val="0"/>
          <w:sz w:val="22"/>
          <w:szCs w:val="22"/>
          <w:lang w:bidi="ar"/>
        </w:rPr>
        <w:t>≥</w:t>
      </w:r>
      <w:r>
        <w:rPr>
          <w:rFonts w:hint="eastAsia" w:ascii="宋体" w:hAnsi="宋体" w:eastAsia="宋体" w:cs="宋体"/>
          <w:sz w:val="22"/>
          <w:szCs w:val="22"/>
        </w:rPr>
        <w:t>12.1寸触摸显示器,显示通气参数、报警信息及波形图</w:t>
      </w:r>
    </w:p>
    <w:p>
      <w:pPr>
        <w:rPr>
          <w:rFonts w:hint="eastAsia" w:ascii="宋体" w:hAnsi="宋体" w:eastAsia="宋体" w:cs="宋体"/>
          <w:sz w:val="22"/>
          <w:szCs w:val="22"/>
        </w:rPr>
      </w:pPr>
      <w:r>
        <w:rPr>
          <w:rFonts w:hint="eastAsia" w:ascii="宋体" w:hAnsi="宋体" w:eastAsia="宋体" w:cs="宋体"/>
          <w:sz w:val="22"/>
          <w:szCs w:val="22"/>
        </w:rPr>
        <w:t>★5.成人、儿童两用，开机自检后可进入成人和儿童模式选择界面。</w:t>
      </w:r>
    </w:p>
    <w:p>
      <w:pPr>
        <w:rPr>
          <w:rFonts w:hint="eastAsia" w:ascii="宋体" w:hAnsi="宋体" w:eastAsia="宋体" w:cs="宋体"/>
          <w:sz w:val="22"/>
          <w:szCs w:val="22"/>
        </w:rPr>
      </w:pPr>
      <w:r>
        <w:rPr>
          <w:rFonts w:hint="eastAsia" w:ascii="宋体" w:hAnsi="宋体" w:eastAsia="宋体" w:cs="宋体"/>
          <w:sz w:val="22"/>
          <w:szCs w:val="22"/>
        </w:rPr>
        <w:t>6.</w:t>
      </w:r>
      <w:r>
        <w:rPr>
          <w:rFonts w:hint="eastAsia" w:ascii="宋体" w:hAnsi="宋体" w:eastAsia="宋体" w:cs="宋体"/>
          <w:sz w:val="22"/>
          <w:szCs w:val="22"/>
        </w:rPr>
        <w:tab/>
      </w:r>
      <w:r>
        <w:rPr>
          <w:rFonts w:hint="eastAsia" w:ascii="宋体" w:hAnsi="宋体" w:eastAsia="宋体" w:cs="宋体"/>
          <w:sz w:val="22"/>
          <w:szCs w:val="22"/>
        </w:rPr>
        <w:t>采用有温度、流量、压力补偿且零位自锁的麻醉药蒸发器</w:t>
      </w:r>
    </w:p>
    <w:p>
      <w:pPr>
        <w:rPr>
          <w:rFonts w:hint="eastAsia" w:ascii="宋体" w:hAnsi="宋体" w:eastAsia="宋体" w:cs="宋体"/>
          <w:sz w:val="22"/>
          <w:szCs w:val="22"/>
        </w:rPr>
      </w:pPr>
      <w:r>
        <w:rPr>
          <w:rFonts w:hint="eastAsia" w:ascii="宋体" w:hAnsi="宋体" w:eastAsia="宋体" w:cs="宋体"/>
          <w:sz w:val="22"/>
          <w:szCs w:val="22"/>
        </w:rPr>
        <w:t>★7.采用</w:t>
      </w:r>
      <w:r>
        <w:rPr>
          <w:rFonts w:hint="eastAsia" w:ascii="宋体" w:hAnsi="宋体" w:cs="宋体"/>
          <w:kern w:val="0"/>
          <w:sz w:val="22"/>
          <w:szCs w:val="22"/>
          <w:lang w:bidi="ar"/>
        </w:rPr>
        <w:t>≥</w:t>
      </w:r>
      <w:r>
        <w:rPr>
          <w:rFonts w:hint="eastAsia" w:ascii="宋体" w:hAnsi="宋体" w:eastAsia="宋体" w:cs="宋体"/>
          <w:sz w:val="22"/>
          <w:szCs w:val="22"/>
        </w:rPr>
        <w:t>7寸独立屏幕显示流量计</w:t>
      </w:r>
    </w:p>
    <w:p>
      <w:pPr>
        <w:rPr>
          <w:rFonts w:hint="eastAsia" w:ascii="宋体" w:hAnsi="宋体" w:eastAsia="宋体" w:cs="宋体"/>
          <w:sz w:val="22"/>
          <w:szCs w:val="22"/>
        </w:rPr>
      </w:pPr>
      <w:r>
        <w:rPr>
          <w:rFonts w:hint="eastAsia" w:ascii="宋体" w:hAnsi="宋体" w:eastAsia="宋体" w:cs="宋体"/>
          <w:sz w:val="22"/>
          <w:szCs w:val="22"/>
        </w:rPr>
        <w:t>★8.标配呼吸末二氧化碳接口，选配呼吸末二氧化碳监测功能,且同屏可显示</w:t>
      </w:r>
    </w:p>
    <w:p>
      <w:pPr>
        <w:rPr>
          <w:rFonts w:hint="eastAsia" w:ascii="宋体" w:hAnsi="宋体" w:eastAsia="宋体" w:cs="宋体"/>
          <w:sz w:val="22"/>
          <w:szCs w:val="22"/>
        </w:rPr>
      </w:pPr>
      <w:r>
        <w:rPr>
          <w:rFonts w:hint="eastAsia" w:ascii="宋体" w:hAnsi="宋体" w:eastAsia="宋体" w:cs="宋体"/>
          <w:sz w:val="22"/>
          <w:szCs w:val="22"/>
        </w:rPr>
        <w:t>9.可选配麻醉深度监测</w:t>
      </w:r>
      <w:r>
        <w:rPr>
          <w:rFonts w:hint="eastAsia" w:ascii="宋体" w:hAnsi="宋体" w:eastAsia="宋体" w:cs="宋体"/>
          <w:sz w:val="22"/>
          <w:szCs w:val="22"/>
        </w:rPr>
        <w:tab/>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10.标配三气源:氧气，笑气，空气</w:t>
      </w:r>
      <w:r>
        <w:rPr>
          <w:rFonts w:hint="eastAsia" w:ascii="宋体" w:hAnsi="宋体" w:eastAsia="宋体" w:cs="宋体"/>
          <w:sz w:val="22"/>
          <w:szCs w:val="22"/>
        </w:rPr>
        <w:tab/>
      </w:r>
    </w:p>
    <w:p>
      <w:pPr>
        <w:rPr>
          <w:rFonts w:hint="eastAsia" w:ascii="宋体" w:hAnsi="宋体" w:eastAsia="宋体" w:cs="宋体"/>
          <w:sz w:val="22"/>
          <w:szCs w:val="22"/>
        </w:rPr>
      </w:pPr>
      <w:r>
        <w:rPr>
          <w:rFonts w:hint="eastAsia" w:ascii="宋体" w:hAnsi="宋体" w:eastAsia="宋体" w:cs="宋体"/>
          <w:sz w:val="22"/>
          <w:szCs w:val="22"/>
        </w:rPr>
        <w:t xml:space="preserve">  ★通气模式</w:t>
      </w:r>
    </w:p>
    <w:p>
      <w:pPr>
        <w:rPr>
          <w:rFonts w:hint="eastAsia" w:ascii="宋体" w:hAnsi="宋体" w:eastAsia="宋体" w:cs="宋体"/>
          <w:sz w:val="22"/>
          <w:szCs w:val="22"/>
        </w:rPr>
      </w:pPr>
      <w:r>
        <w:rPr>
          <w:rFonts w:hint="eastAsia" w:ascii="宋体" w:hAnsi="宋体" w:eastAsia="宋体" w:cs="宋体"/>
          <w:sz w:val="22"/>
          <w:szCs w:val="22"/>
        </w:rPr>
        <w:t>1.间歇正压通气（IPPV/vcv）</w:t>
      </w:r>
    </w:p>
    <w:p>
      <w:pPr>
        <w:rPr>
          <w:rFonts w:hint="eastAsia" w:ascii="宋体" w:hAnsi="宋体" w:eastAsia="宋体" w:cs="宋体"/>
          <w:sz w:val="22"/>
          <w:szCs w:val="22"/>
        </w:rPr>
      </w:pPr>
      <w:r>
        <w:rPr>
          <w:rFonts w:hint="eastAsia" w:ascii="宋体" w:hAnsi="宋体" w:eastAsia="宋体" w:cs="宋体"/>
          <w:sz w:val="22"/>
          <w:szCs w:val="22"/>
        </w:rPr>
        <w:t>2.辅助/控制通气(A/C)</w:t>
      </w:r>
    </w:p>
    <w:p>
      <w:pPr>
        <w:rPr>
          <w:rFonts w:hint="eastAsia" w:ascii="宋体" w:hAnsi="宋体" w:eastAsia="宋体" w:cs="宋体"/>
          <w:sz w:val="22"/>
          <w:szCs w:val="22"/>
        </w:rPr>
      </w:pPr>
      <w:r>
        <w:rPr>
          <w:rFonts w:hint="eastAsia" w:ascii="宋体" w:hAnsi="宋体" w:eastAsia="宋体" w:cs="宋体"/>
          <w:sz w:val="22"/>
          <w:szCs w:val="22"/>
        </w:rPr>
        <w:t>3.同步间歇指令通气（SIMV）</w:t>
      </w:r>
    </w:p>
    <w:p>
      <w:pPr>
        <w:rPr>
          <w:rFonts w:hint="eastAsia" w:ascii="宋体" w:hAnsi="宋体" w:eastAsia="宋体" w:cs="宋体"/>
          <w:sz w:val="22"/>
          <w:szCs w:val="22"/>
        </w:rPr>
      </w:pPr>
      <w:r>
        <w:rPr>
          <w:rFonts w:hint="eastAsia" w:ascii="宋体" w:hAnsi="宋体" w:eastAsia="宋体" w:cs="宋体"/>
          <w:sz w:val="22"/>
          <w:szCs w:val="22"/>
        </w:rPr>
        <w:t>4.压力控制通气（PCV）</w:t>
      </w:r>
    </w:p>
    <w:p>
      <w:pPr>
        <w:rPr>
          <w:rFonts w:hint="eastAsia" w:ascii="宋体" w:hAnsi="宋体" w:eastAsia="宋体" w:cs="宋体"/>
          <w:sz w:val="22"/>
          <w:szCs w:val="22"/>
        </w:rPr>
      </w:pPr>
      <w:r>
        <w:rPr>
          <w:rFonts w:hint="eastAsia" w:ascii="宋体" w:hAnsi="宋体" w:eastAsia="宋体" w:cs="宋体"/>
          <w:sz w:val="22"/>
          <w:szCs w:val="22"/>
        </w:rPr>
        <w:t>5.叹息通气(SIGH)</w:t>
      </w:r>
    </w:p>
    <w:p>
      <w:pPr>
        <w:rPr>
          <w:rFonts w:hint="eastAsia" w:ascii="宋体" w:hAnsi="宋体" w:eastAsia="宋体" w:cs="宋体"/>
          <w:sz w:val="22"/>
          <w:szCs w:val="22"/>
        </w:rPr>
      </w:pPr>
      <w:r>
        <w:rPr>
          <w:rFonts w:hint="eastAsia" w:ascii="宋体" w:hAnsi="宋体" w:eastAsia="宋体" w:cs="宋体"/>
          <w:sz w:val="22"/>
          <w:szCs w:val="22"/>
        </w:rPr>
        <w:t>6.手控通气 （MANU）</w:t>
      </w:r>
    </w:p>
    <w:p>
      <w:pPr>
        <w:rPr>
          <w:rFonts w:hint="eastAsia" w:ascii="宋体" w:hAnsi="宋体" w:eastAsia="宋体" w:cs="宋体"/>
          <w:sz w:val="22"/>
          <w:szCs w:val="22"/>
        </w:rPr>
      </w:pPr>
      <w:r>
        <w:rPr>
          <w:rFonts w:hint="eastAsia" w:ascii="宋体" w:hAnsi="宋体" w:eastAsia="宋体" w:cs="宋体"/>
          <w:sz w:val="22"/>
          <w:szCs w:val="22"/>
        </w:rPr>
        <w:t>调节参数</w:t>
      </w:r>
    </w:p>
    <w:p>
      <w:pPr>
        <w:rPr>
          <w:rFonts w:hint="eastAsia" w:ascii="宋体" w:hAnsi="宋体" w:eastAsia="宋体" w:cs="宋体"/>
          <w:sz w:val="22"/>
          <w:szCs w:val="22"/>
        </w:rPr>
      </w:pPr>
      <w:r>
        <w:rPr>
          <w:rFonts w:hint="eastAsia" w:ascii="宋体" w:hAnsi="宋体" w:eastAsia="宋体" w:cs="宋体"/>
          <w:sz w:val="22"/>
          <w:szCs w:val="22"/>
        </w:rPr>
        <w:t>1.流量计：</w:t>
      </w:r>
      <w:r>
        <w:rPr>
          <w:rFonts w:hint="eastAsia" w:ascii="宋体" w:hAnsi="宋体"/>
          <w:sz w:val="24"/>
        </w:rPr>
        <w:t>O</w:t>
      </w:r>
      <w:r>
        <w:rPr>
          <w:rFonts w:hint="eastAsia" w:ascii="宋体" w:hAnsi="宋体"/>
          <w:sz w:val="24"/>
          <w:vertAlign w:val="subscript"/>
        </w:rPr>
        <w:t>2</w:t>
      </w:r>
      <w:r>
        <w:rPr>
          <w:rFonts w:hint="eastAsia" w:ascii="宋体" w:hAnsi="宋体"/>
          <w:sz w:val="24"/>
        </w:rPr>
        <w:t>：0.1～10 L/min</w:t>
      </w:r>
    </w:p>
    <w:p>
      <w:pPr>
        <w:rPr>
          <w:rFonts w:hint="eastAsia" w:ascii="宋体" w:hAnsi="宋体" w:eastAsia="宋体" w:cs="宋体"/>
          <w:sz w:val="22"/>
          <w:szCs w:val="22"/>
        </w:rPr>
      </w:pPr>
      <w:r>
        <w:rPr>
          <w:rFonts w:hint="eastAsia" w:ascii="宋体" w:hAnsi="宋体" w:eastAsia="宋体" w:cs="宋体"/>
          <w:sz w:val="22"/>
          <w:szCs w:val="22"/>
        </w:rPr>
        <w:t xml:space="preserve">  AIR：0.1～10 L/min</w:t>
      </w:r>
    </w:p>
    <w:p>
      <w:pPr>
        <w:rPr>
          <w:rFonts w:hint="eastAsia" w:ascii="宋体" w:hAnsi="宋体" w:eastAsia="宋体" w:cs="宋体"/>
          <w:sz w:val="22"/>
          <w:szCs w:val="22"/>
        </w:rPr>
      </w:pPr>
      <w:r>
        <w:rPr>
          <w:rFonts w:hint="eastAsia" w:ascii="宋体" w:hAnsi="宋体" w:eastAsia="宋体" w:cs="宋体"/>
          <w:sz w:val="22"/>
          <w:szCs w:val="22"/>
        </w:rPr>
        <w:t>N2O: 0.1～10L/min</w:t>
      </w:r>
    </w:p>
    <w:p>
      <w:pPr>
        <w:rPr>
          <w:rFonts w:hint="eastAsia" w:ascii="宋体" w:hAnsi="宋体" w:eastAsia="宋体" w:cs="宋体"/>
          <w:sz w:val="22"/>
          <w:szCs w:val="22"/>
        </w:rPr>
      </w:pPr>
      <w:r>
        <w:rPr>
          <w:rFonts w:hint="eastAsia" w:ascii="宋体" w:hAnsi="宋体" w:eastAsia="宋体" w:cs="宋体"/>
          <w:sz w:val="22"/>
          <w:szCs w:val="22"/>
        </w:rPr>
        <w:t xml:space="preserve">2.快速供氧 ：25 L/min～ 75 L/min </w:t>
      </w:r>
    </w:p>
    <w:p>
      <w:pPr>
        <w:rPr>
          <w:rFonts w:hint="eastAsia" w:ascii="宋体" w:hAnsi="宋体" w:eastAsia="宋体" w:cs="宋体"/>
          <w:sz w:val="22"/>
          <w:szCs w:val="22"/>
        </w:rPr>
      </w:pPr>
      <w:r>
        <w:rPr>
          <w:rFonts w:hint="eastAsia" w:ascii="宋体" w:hAnsi="宋体" w:eastAsia="宋体" w:cs="宋体"/>
          <w:sz w:val="22"/>
          <w:szCs w:val="22"/>
        </w:rPr>
        <w:t xml:space="preserve">★3.潮气量（VT）：0，20mL ～ 1500 mL  </w:t>
      </w:r>
    </w:p>
    <w:p>
      <w:pPr>
        <w:rPr>
          <w:rFonts w:hint="eastAsia" w:ascii="宋体" w:hAnsi="宋体" w:eastAsia="宋体" w:cs="宋体"/>
          <w:sz w:val="22"/>
          <w:szCs w:val="22"/>
        </w:rPr>
      </w:pPr>
      <w:r>
        <w:rPr>
          <w:rFonts w:hint="eastAsia" w:ascii="宋体" w:hAnsi="宋体" w:eastAsia="宋体" w:cs="宋体"/>
          <w:sz w:val="22"/>
          <w:szCs w:val="22"/>
        </w:rPr>
        <w:t xml:space="preserve">4.分钟最大通气量（MV）：成人  </w:t>
      </w:r>
      <w:r>
        <w:rPr>
          <w:rFonts w:hint="eastAsia" w:ascii="宋体" w:hAnsi="宋体" w:eastAsia="宋体" w:cs="宋体"/>
          <w:sz w:val="22"/>
          <w:szCs w:val="22"/>
        </w:rPr>
        <w:tab/>
      </w:r>
      <w:r>
        <w:rPr>
          <w:rFonts w:hint="eastAsia" w:ascii="宋体" w:hAnsi="宋体" w:eastAsia="宋体" w:cs="宋体"/>
          <w:sz w:val="22"/>
          <w:szCs w:val="22"/>
        </w:rPr>
        <w:t xml:space="preserve">≥18 L/min、儿童  </w:t>
      </w:r>
      <w:r>
        <w:rPr>
          <w:rFonts w:hint="eastAsia" w:ascii="宋体" w:hAnsi="宋体" w:eastAsia="宋体" w:cs="宋体"/>
          <w:sz w:val="22"/>
          <w:szCs w:val="22"/>
        </w:rPr>
        <w:tab/>
      </w:r>
      <w:r>
        <w:rPr>
          <w:rFonts w:hint="eastAsia" w:ascii="宋体" w:hAnsi="宋体" w:eastAsia="宋体" w:cs="宋体"/>
          <w:sz w:val="22"/>
          <w:szCs w:val="22"/>
        </w:rPr>
        <w:t>≥10 L/min</w:t>
      </w:r>
    </w:p>
    <w:p>
      <w:pPr>
        <w:rPr>
          <w:rFonts w:hint="eastAsia" w:ascii="宋体" w:hAnsi="宋体" w:eastAsia="宋体" w:cs="宋体"/>
          <w:sz w:val="22"/>
          <w:szCs w:val="22"/>
        </w:rPr>
      </w:pPr>
      <w:r>
        <w:rPr>
          <w:rFonts w:hint="eastAsia" w:ascii="宋体" w:hAnsi="宋体" w:eastAsia="宋体" w:cs="宋体"/>
          <w:sz w:val="22"/>
          <w:szCs w:val="22"/>
        </w:rPr>
        <w:t>★5.频率（Freq）： 1 bpm ～ 100 bpm、(SIMV模式：1 bpm～ 40 bpm、除SIMV模式：成人 4 bpm～ 40 bpm、儿童 20bpm～ 100 bpm )</w:t>
      </w:r>
    </w:p>
    <w:p>
      <w:pPr>
        <w:rPr>
          <w:rFonts w:hint="eastAsia" w:ascii="宋体" w:hAnsi="宋体" w:eastAsia="宋体" w:cs="宋体"/>
          <w:sz w:val="22"/>
          <w:szCs w:val="22"/>
        </w:rPr>
      </w:pPr>
      <w:r>
        <w:rPr>
          <w:rFonts w:hint="eastAsia" w:ascii="宋体" w:hAnsi="宋体" w:eastAsia="宋体" w:cs="宋体"/>
          <w:sz w:val="22"/>
          <w:szCs w:val="22"/>
        </w:rPr>
        <w:t>6.吸呼比：成人 4:1（1:0.25） ～ 1:8、儿童 2:1（1:0.5） ～ 1:8、（吸气时间0.2 s ～ 12.0 s）</w:t>
      </w:r>
    </w:p>
    <w:p>
      <w:pPr>
        <w:rPr>
          <w:rFonts w:hint="eastAsia" w:ascii="宋体" w:hAnsi="宋体" w:eastAsia="宋体" w:cs="宋体"/>
          <w:sz w:val="22"/>
          <w:szCs w:val="22"/>
        </w:rPr>
      </w:pPr>
      <w:r>
        <w:rPr>
          <w:rFonts w:hint="eastAsia" w:ascii="宋体" w:hAnsi="宋体" w:eastAsia="宋体" w:cs="宋体"/>
          <w:sz w:val="22"/>
          <w:szCs w:val="22"/>
        </w:rPr>
        <w:t>7.呼气末正压（PEEP）：</w:t>
      </w:r>
      <w:r>
        <w:rPr>
          <w:rFonts w:hint="eastAsia" w:ascii="宋体" w:hAnsi="宋体"/>
          <w:sz w:val="24"/>
          <w:lang w:val="pt-PT"/>
        </w:rPr>
        <w:t>0 cmH</w:t>
      </w:r>
      <w:r>
        <w:rPr>
          <w:rFonts w:hint="eastAsia" w:ascii="宋体" w:hAnsi="宋体"/>
          <w:sz w:val="24"/>
          <w:vertAlign w:val="subscript"/>
          <w:lang w:val="pt-PT"/>
        </w:rPr>
        <w:t>2</w:t>
      </w:r>
      <w:r>
        <w:rPr>
          <w:rFonts w:hint="eastAsia" w:ascii="宋体" w:hAnsi="宋体"/>
          <w:sz w:val="24"/>
          <w:lang w:val="pt-PT"/>
        </w:rPr>
        <w:t>O ～ 30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8.压力触发灵敏度（PTr）：</w:t>
      </w:r>
      <w:r>
        <w:rPr>
          <w:rFonts w:hint="eastAsia" w:ascii="宋体" w:hAnsi="宋体"/>
          <w:sz w:val="24"/>
          <w:lang w:val="pt-PT"/>
        </w:rPr>
        <w:t>－</w:t>
      </w:r>
      <w:r>
        <w:rPr>
          <w:rFonts w:ascii="宋体" w:hAnsi="宋体"/>
          <w:sz w:val="24"/>
          <w:lang w:val="pt-PT"/>
        </w:rPr>
        <w:t>20</w:t>
      </w:r>
      <w:r>
        <w:rPr>
          <w:rFonts w:hint="eastAsia" w:ascii="宋体" w:hAnsi="宋体"/>
          <w:sz w:val="24"/>
          <w:lang w:val="pt-PT"/>
        </w:rPr>
        <w:t xml:space="preserve"> cmH</w:t>
      </w:r>
      <w:r>
        <w:rPr>
          <w:rFonts w:hint="eastAsia" w:ascii="宋体" w:hAnsi="宋体"/>
          <w:sz w:val="24"/>
          <w:vertAlign w:val="subscript"/>
          <w:lang w:val="pt-PT"/>
        </w:rPr>
        <w:t>2</w:t>
      </w:r>
      <w:r>
        <w:rPr>
          <w:rFonts w:hint="eastAsia" w:ascii="宋体" w:hAnsi="宋体"/>
          <w:sz w:val="24"/>
          <w:lang w:val="pt-PT"/>
        </w:rPr>
        <w:t xml:space="preserve">O </w:t>
      </w:r>
      <w:r>
        <w:rPr>
          <w:rFonts w:hint="eastAsia" w:ascii="宋体" w:hAnsi="宋体"/>
          <w:sz w:val="24"/>
        </w:rPr>
        <w:t>～</w:t>
      </w:r>
      <w:r>
        <w:rPr>
          <w:rFonts w:hint="eastAsia" w:ascii="宋体" w:hAnsi="宋体"/>
          <w:sz w:val="24"/>
          <w:lang w:val="pt-PT"/>
        </w:rPr>
        <w:t xml:space="preserve"> 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（基于PEEP）</w:t>
      </w:r>
    </w:p>
    <w:p>
      <w:pPr>
        <w:rPr>
          <w:rFonts w:hint="eastAsia" w:ascii="宋体" w:hAnsi="宋体" w:eastAsia="宋体" w:cs="宋体"/>
          <w:sz w:val="22"/>
          <w:szCs w:val="22"/>
        </w:rPr>
      </w:pPr>
      <w:r>
        <w:rPr>
          <w:rFonts w:hint="eastAsia" w:ascii="宋体" w:hAnsi="宋体" w:eastAsia="宋体" w:cs="宋体"/>
          <w:sz w:val="22"/>
          <w:szCs w:val="22"/>
        </w:rPr>
        <w:t>9.流量触发灵敏度（FTr）： 关闭， 0.5 L/min ～ 30 L/min</w:t>
      </w:r>
    </w:p>
    <w:p>
      <w:pPr>
        <w:rPr>
          <w:rFonts w:hint="eastAsia" w:ascii="宋体" w:hAnsi="宋体" w:eastAsia="宋体" w:cs="宋体"/>
          <w:sz w:val="22"/>
          <w:szCs w:val="22"/>
        </w:rPr>
      </w:pPr>
      <w:r>
        <w:rPr>
          <w:rFonts w:hint="eastAsia" w:ascii="宋体" w:hAnsi="宋体" w:eastAsia="宋体" w:cs="宋体"/>
          <w:sz w:val="22"/>
          <w:szCs w:val="22"/>
        </w:rPr>
        <w:t>10.压力控制（Pc）：</w:t>
      </w:r>
      <w:r>
        <w:rPr>
          <w:rFonts w:hint="eastAsia" w:ascii="宋体" w:hAnsi="宋体"/>
          <w:color w:val="000000"/>
          <w:sz w:val="24"/>
          <w:lang w:val="pt-PT"/>
        </w:rPr>
        <w:t xml:space="preserve">5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color w:val="000000"/>
          <w:sz w:val="24"/>
          <w:lang w:val="pt-PT"/>
        </w:rPr>
        <w:t xml:space="preserve"> </w:t>
      </w:r>
      <w:r>
        <w:rPr>
          <w:rFonts w:hint="eastAsia" w:ascii="宋体" w:hAnsi="宋体"/>
          <w:color w:val="000000"/>
          <w:sz w:val="24"/>
        </w:rPr>
        <w:t>～</w:t>
      </w:r>
      <w:r>
        <w:rPr>
          <w:rFonts w:hint="eastAsia" w:ascii="宋体" w:hAnsi="宋体"/>
          <w:color w:val="000000"/>
          <w:sz w:val="24"/>
          <w:lang w:val="pt-PT"/>
        </w:rPr>
        <w:t xml:space="preserve"> 60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r>
        <w:rPr>
          <w:rFonts w:hint="eastAsia" w:ascii="宋体" w:hAnsi="宋体" w:eastAsia="宋体" w:cs="宋体"/>
          <w:sz w:val="22"/>
          <w:szCs w:val="22"/>
        </w:rPr>
        <w:t xml:space="preserve"> </w:t>
      </w:r>
    </w:p>
    <w:p>
      <w:pPr>
        <w:rPr>
          <w:rFonts w:hint="eastAsia" w:ascii="宋体" w:hAnsi="宋体" w:eastAsia="宋体" w:cs="宋体"/>
          <w:sz w:val="22"/>
          <w:szCs w:val="22"/>
        </w:rPr>
      </w:pPr>
      <w:r>
        <w:rPr>
          <w:rFonts w:hint="eastAsia" w:ascii="宋体" w:hAnsi="宋体" w:eastAsia="宋体" w:cs="宋体"/>
          <w:sz w:val="22"/>
          <w:szCs w:val="22"/>
        </w:rPr>
        <w:t>★11.屏气时间（吸气末屏气、吸气平台）（TIP）0 ～ 6s(0 % ～ 50 % 吸气时间)</w:t>
      </w:r>
    </w:p>
    <w:p>
      <w:pPr>
        <w:rPr>
          <w:rFonts w:hint="eastAsia" w:ascii="宋体" w:hAnsi="宋体" w:eastAsia="宋体" w:cs="宋体"/>
          <w:sz w:val="22"/>
          <w:szCs w:val="22"/>
        </w:rPr>
      </w:pPr>
      <w:r>
        <w:rPr>
          <w:rFonts w:hint="eastAsia" w:ascii="宋体" w:hAnsi="宋体" w:eastAsia="宋体" w:cs="宋体"/>
          <w:sz w:val="22"/>
          <w:szCs w:val="22"/>
        </w:rPr>
        <w:t xml:space="preserve">12.叹息通气（SIGH）： 0（OFF）,1 ～ 5 (/100)                </w:t>
      </w:r>
    </w:p>
    <w:p>
      <w:pPr>
        <w:rPr>
          <w:rFonts w:hint="eastAsia" w:ascii="宋体" w:hAnsi="宋体" w:eastAsia="宋体" w:cs="宋体"/>
          <w:sz w:val="22"/>
          <w:szCs w:val="22"/>
        </w:rPr>
      </w:pPr>
      <w:r>
        <w:rPr>
          <w:rFonts w:hint="eastAsia" w:ascii="宋体" w:hAnsi="宋体" w:eastAsia="宋体" w:cs="宋体"/>
          <w:sz w:val="22"/>
          <w:szCs w:val="22"/>
        </w:rPr>
        <w:t>13.窒息通气： OFF，5 s　～ 60 s</w:t>
      </w:r>
    </w:p>
    <w:p>
      <w:pPr>
        <w:rPr>
          <w:rFonts w:hint="eastAsia" w:ascii="宋体" w:hAnsi="宋体" w:eastAsia="宋体" w:cs="宋体"/>
          <w:sz w:val="22"/>
          <w:szCs w:val="22"/>
        </w:rPr>
      </w:pPr>
      <w:r>
        <w:rPr>
          <w:rFonts w:hint="eastAsia" w:ascii="宋体" w:hAnsi="宋体" w:eastAsia="宋体" w:cs="宋体"/>
          <w:sz w:val="22"/>
          <w:szCs w:val="22"/>
        </w:rPr>
        <w:t xml:space="preserve">14.压力限制： </w:t>
      </w:r>
      <w:r>
        <w:rPr>
          <w:rFonts w:hint="eastAsia" w:ascii="宋体" w:hAnsi="宋体"/>
          <w:sz w:val="24"/>
          <w:lang w:val="pt-PT"/>
        </w:rPr>
        <w:t>20 cmH</w:t>
      </w:r>
      <w:r>
        <w:rPr>
          <w:rFonts w:hint="eastAsia" w:ascii="宋体" w:hAnsi="宋体"/>
          <w:sz w:val="24"/>
          <w:vertAlign w:val="subscript"/>
          <w:lang w:val="pt-PT"/>
        </w:rPr>
        <w:t>2</w:t>
      </w:r>
      <w:r>
        <w:rPr>
          <w:rFonts w:hint="eastAsia" w:ascii="宋体" w:hAnsi="宋体"/>
          <w:sz w:val="24"/>
          <w:lang w:val="pt-PT"/>
        </w:rPr>
        <w:t>O ～ 100</w:t>
      </w:r>
      <w:r>
        <w:rPr>
          <w:rFonts w:ascii="宋体" w:hAnsi="宋体"/>
          <w:sz w:val="24"/>
          <w:lang w:val="pt-PT"/>
        </w:rPr>
        <w:t xml:space="preserve"> </w:t>
      </w:r>
      <w:r>
        <w:rPr>
          <w:rFonts w:hint="eastAsia" w:ascii="宋体" w:hAnsi="宋体"/>
          <w:sz w:val="24"/>
          <w:lang w:val="pt-PT"/>
        </w:rPr>
        <w:t>cmH</w:t>
      </w:r>
      <w:r>
        <w:rPr>
          <w:rFonts w:hint="eastAsia" w:ascii="宋体" w:hAnsi="宋体"/>
          <w:sz w:val="24"/>
          <w:vertAlign w:val="subscript"/>
          <w:lang w:val="pt-PT"/>
        </w:rPr>
        <w:t>2</w:t>
      </w:r>
      <w:r>
        <w:rPr>
          <w:rFonts w:hint="eastAsia" w:ascii="宋体" w:hAnsi="宋体"/>
          <w:sz w:val="24"/>
          <w:lang w:val="pt-PT"/>
        </w:rPr>
        <w:t>O</w:t>
      </w:r>
    </w:p>
    <w:p>
      <w:pPr>
        <w:rPr>
          <w:rFonts w:hint="eastAsia" w:ascii="宋体" w:hAnsi="宋体" w:eastAsia="宋体" w:cs="宋体"/>
          <w:sz w:val="22"/>
          <w:szCs w:val="22"/>
        </w:rPr>
      </w:pPr>
      <w:r>
        <w:rPr>
          <w:rFonts w:hint="eastAsia" w:ascii="宋体" w:hAnsi="宋体" w:eastAsia="宋体" w:cs="宋体"/>
          <w:sz w:val="22"/>
          <w:szCs w:val="22"/>
        </w:rPr>
        <w:t>监测参数</w:t>
      </w:r>
    </w:p>
    <w:p>
      <w:pPr>
        <w:rPr>
          <w:rFonts w:hint="eastAsia" w:ascii="宋体" w:hAnsi="宋体" w:eastAsia="宋体" w:cs="宋体"/>
          <w:sz w:val="22"/>
          <w:szCs w:val="22"/>
        </w:rPr>
      </w:pPr>
      <w:r>
        <w:rPr>
          <w:rFonts w:hint="eastAsia" w:ascii="宋体" w:hAnsi="宋体" w:eastAsia="宋体" w:cs="宋体"/>
          <w:sz w:val="22"/>
          <w:szCs w:val="22"/>
        </w:rPr>
        <w:t>1.频率（Freq）： 0 /min ～ 100 /min</w:t>
      </w:r>
    </w:p>
    <w:p>
      <w:pPr>
        <w:rPr>
          <w:rFonts w:hint="eastAsia" w:ascii="宋体" w:hAnsi="宋体" w:eastAsia="宋体" w:cs="宋体"/>
          <w:sz w:val="22"/>
          <w:szCs w:val="22"/>
        </w:rPr>
      </w:pPr>
      <w:r>
        <w:rPr>
          <w:rFonts w:hint="eastAsia" w:ascii="宋体" w:hAnsi="宋体" w:eastAsia="宋体" w:cs="宋体"/>
          <w:sz w:val="22"/>
          <w:szCs w:val="22"/>
        </w:rPr>
        <w:t>2.潮气量（VT）：0 mL ～ 2000 mL</w:t>
      </w:r>
    </w:p>
    <w:p>
      <w:pPr>
        <w:rPr>
          <w:rFonts w:hint="eastAsia" w:ascii="宋体" w:hAnsi="宋体" w:eastAsia="宋体" w:cs="宋体"/>
          <w:sz w:val="22"/>
          <w:szCs w:val="22"/>
        </w:rPr>
      </w:pPr>
      <w:r>
        <w:rPr>
          <w:rFonts w:hint="eastAsia" w:ascii="宋体" w:hAnsi="宋体" w:eastAsia="宋体" w:cs="宋体"/>
          <w:sz w:val="22"/>
          <w:szCs w:val="22"/>
        </w:rPr>
        <w:t xml:space="preserve">3.分钟通气量（MV）：0 L/min ～ 100 L/min                                                                        </w:t>
      </w:r>
    </w:p>
    <w:p>
      <w:pPr>
        <w:rPr>
          <w:rFonts w:hint="eastAsia" w:ascii="宋体" w:hAnsi="宋体" w:eastAsia="宋体" w:cs="宋体"/>
          <w:sz w:val="22"/>
          <w:szCs w:val="22"/>
        </w:rPr>
      </w:pPr>
      <w:r>
        <w:rPr>
          <w:rFonts w:hint="eastAsia" w:ascii="宋体" w:hAnsi="宋体" w:eastAsia="宋体" w:cs="宋体"/>
          <w:sz w:val="22"/>
          <w:szCs w:val="22"/>
        </w:rPr>
        <w:t>4.气道压力： 0 cmH2O ～ 100 cmH2O</w:t>
      </w:r>
    </w:p>
    <w:p>
      <w:pPr>
        <w:rPr>
          <w:rFonts w:hint="eastAsia" w:ascii="宋体" w:hAnsi="宋体" w:eastAsia="宋体" w:cs="宋体"/>
          <w:sz w:val="22"/>
          <w:szCs w:val="22"/>
        </w:rPr>
      </w:pPr>
      <w:r>
        <w:rPr>
          <w:rFonts w:hint="eastAsia" w:ascii="宋体" w:hAnsi="宋体" w:eastAsia="宋体" w:cs="宋体"/>
          <w:sz w:val="22"/>
          <w:szCs w:val="22"/>
        </w:rPr>
        <w:t xml:space="preserve">5.患者动态肺顺应性监测 ：1mL/cmH2O ～ 1000 mL/cmH2O </w:t>
      </w:r>
    </w:p>
    <w:p>
      <w:pPr>
        <w:rPr>
          <w:rFonts w:hint="eastAsia" w:ascii="宋体" w:hAnsi="宋体" w:eastAsia="宋体" w:cs="宋体"/>
          <w:sz w:val="22"/>
          <w:szCs w:val="22"/>
        </w:rPr>
      </w:pPr>
      <w:r>
        <w:rPr>
          <w:rFonts w:hint="eastAsia" w:ascii="宋体" w:hAnsi="宋体" w:eastAsia="宋体" w:cs="宋体"/>
          <w:sz w:val="22"/>
          <w:szCs w:val="22"/>
        </w:rPr>
        <w:t xml:space="preserve"> ★6.吸入氧浓度： 15 % ～ 100 %</w:t>
      </w:r>
    </w:p>
    <w:p>
      <w:pPr>
        <w:rPr>
          <w:rFonts w:hint="eastAsia" w:ascii="宋体" w:hAnsi="宋体" w:eastAsia="宋体" w:cs="宋体"/>
          <w:sz w:val="22"/>
          <w:szCs w:val="22"/>
        </w:rPr>
      </w:pPr>
      <w:r>
        <w:rPr>
          <w:rFonts w:hint="eastAsia" w:ascii="宋体" w:hAnsi="宋体" w:eastAsia="宋体" w:cs="宋体"/>
          <w:sz w:val="22"/>
          <w:szCs w:val="22"/>
        </w:rPr>
        <w:t xml:space="preserve"> ★图形显示：</w:t>
      </w:r>
    </w:p>
    <w:p>
      <w:pPr>
        <w:rPr>
          <w:rFonts w:hint="eastAsia" w:ascii="宋体" w:hAnsi="宋体" w:eastAsia="宋体" w:cs="宋体"/>
          <w:sz w:val="22"/>
          <w:szCs w:val="22"/>
        </w:rPr>
      </w:pPr>
      <w:r>
        <w:rPr>
          <w:rFonts w:hint="eastAsia" w:ascii="宋体" w:hAnsi="宋体" w:eastAsia="宋体" w:cs="宋体"/>
          <w:sz w:val="22"/>
          <w:szCs w:val="22"/>
        </w:rPr>
        <w:t>1.气道压力—时间波形图</w:t>
      </w:r>
    </w:p>
    <w:p>
      <w:pPr>
        <w:rPr>
          <w:rFonts w:hint="eastAsia" w:ascii="宋体" w:hAnsi="宋体" w:eastAsia="宋体" w:cs="宋体"/>
          <w:sz w:val="22"/>
          <w:szCs w:val="22"/>
        </w:rPr>
      </w:pPr>
      <w:r>
        <w:rPr>
          <w:rFonts w:hint="eastAsia" w:ascii="宋体" w:hAnsi="宋体" w:eastAsia="宋体" w:cs="宋体"/>
          <w:sz w:val="22"/>
          <w:szCs w:val="22"/>
        </w:rPr>
        <w:t>2.流量—时间波形图</w:t>
      </w:r>
    </w:p>
    <w:p>
      <w:pPr>
        <w:rPr>
          <w:rFonts w:hint="eastAsia" w:ascii="宋体" w:hAnsi="宋体" w:eastAsia="宋体" w:cs="宋体"/>
          <w:sz w:val="22"/>
          <w:szCs w:val="22"/>
        </w:rPr>
      </w:pPr>
      <w:r>
        <w:rPr>
          <w:rFonts w:hint="eastAsia" w:ascii="宋体" w:hAnsi="宋体" w:eastAsia="宋体" w:cs="宋体"/>
          <w:sz w:val="22"/>
          <w:szCs w:val="22"/>
        </w:rPr>
        <w:t>3.压力容量环</w:t>
      </w:r>
    </w:p>
    <w:p>
      <w:pPr>
        <w:rPr>
          <w:rFonts w:hint="eastAsia" w:ascii="宋体" w:hAnsi="宋体" w:eastAsia="宋体" w:cs="宋体"/>
          <w:sz w:val="22"/>
          <w:szCs w:val="22"/>
        </w:rPr>
      </w:pPr>
      <w:r>
        <w:rPr>
          <w:rFonts w:hint="eastAsia" w:ascii="宋体" w:hAnsi="宋体" w:eastAsia="宋体" w:cs="宋体"/>
          <w:sz w:val="22"/>
          <w:szCs w:val="22"/>
        </w:rPr>
        <w:t xml:space="preserve">报警及保护 </w:t>
      </w:r>
    </w:p>
    <w:p>
      <w:pPr>
        <w:rPr>
          <w:rFonts w:hint="eastAsia" w:ascii="宋体" w:hAnsi="宋体" w:eastAsia="宋体" w:cs="宋体"/>
          <w:sz w:val="22"/>
          <w:szCs w:val="22"/>
        </w:rPr>
      </w:pPr>
      <w:r>
        <w:rPr>
          <w:rFonts w:hint="eastAsia" w:ascii="宋体" w:hAnsi="宋体" w:eastAsia="宋体" w:cs="宋体"/>
          <w:sz w:val="22"/>
          <w:szCs w:val="22"/>
        </w:rPr>
        <w:t>1.交流电源断电报警</w:t>
      </w:r>
    </w:p>
    <w:p>
      <w:pPr>
        <w:rPr>
          <w:rFonts w:hint="eastAsia" w:ascii="宋体" w:hAnsi="宋体" w:eastAsia="宋体" w:cs="宋体"/>
          <w:sz w:val="22"/>
          <w:szCs w:val="22"/>
        </w:rPr>
      </w:pPr>
      <w:r>
        <w:rPr>
          <w:rFonts w:hint="eastAsia" w:ascii="宋体" w:hAnsi="宋体" w:eastAsia="宋体" w:cs="宋体"/>
          <w:sz w:val="22"/>
          <w:szCs w:val="22"/>
        </w:rPr>
        <w:t>2.内部备用电源电池电压欠压报警</w:t>
      </w:r>
    </w:p>
    <w:p>
      <w:pPr>
        <w:rPr>
          <w:rFonts w:hint="eastAsia" w:ascii="宋体" w:hAnsi="宋体" w:eastAsia="宋体" w:cs="宋体"/>
          <w:sz w:val="22"/>
          <w:szCs w:val="22"/>
        </w:rPr>
      </w:pPr>
      <w:r>
        <w:rPr>
          <w:rFonts w:hint="eastAsia" w:ascii="宋体" w:hAnsi="宋体" w:eastAsia="宋体" w:cs="宋体"/>
          <w:sz w:val="22"/>
          <w:szCs w:val="22"/>
        </w:rPr>
        <w:t>3.无潮气量报警</w:t>
      </w:r>
    </w:p>
    <w:p>
      <w:pPr>
        <w:rPr>
          <w:rFonts w:hint="eastAsia" w:ascii="宋体" w:hAnsi="宋体" w:eastAsia="宋体" w:cs="宋体"/>
          <w:sz w:val="22"/>
          <w:szCs w:val="22"/>
        </w:rPr>
      </w:pPr>
      <w:r>
        <w:rPr>
          <w:rFonts w:hint="eastAsia" w:ascii="宋体" w:hAnsi="宋体" w:eastAsia="宋体" w:cs="宋体"/>
          <w:sz w:val="22"/>
          <w:szCs w:val="22"/>
        </w:rPr>
        <w:t>4.高（低）通气量报警</w:t>
      </w:r>
    </w:p>
    <w:p>
      <w:pPr>
        <w:rPr>
          <w:rFonts w:hint="eastAsia" w:ascii="宋体" w:hAnsi="宋体" w:eastAsia="宋体" w:cs="宋体"/>
          <w:sz w:val="22"/>
          <w:szCs w:val="22"/>
        </w:rPr>
      </w:pPr>
      <w:r>
        <w:rPr>
          <w:rFonts w:hint="eastAsia" w:ascii="宋体" w:hAnsi="宋体" w:eastAsia="宋体" w:cs="宋体"/>
          <w:sz w:val="22"/>
          <w:szCs w:val="22"/>
        </w:rPr>
        <w:t>5.气道高（低）压报警</w:t>
      </w:r>
    </w:p>
    <w:p>
      <w:pPr>
        <w:rPr>
          <w:rFonts w:hint="eastAsia" w:ascii="宋体" w:hAnsi="宋体" w:eastAsia="宋体" w:cs="宋体"/>
          <w:sz w:val="22"/>
          <w:szCs w:val="22"/>
        </w:rPr>
      </w:pPr>
      <w:r>
        <w:rPr>
          <w:rFonts w:hint="eastAsia" w:ascii="宋体" w:hAnsi="宋体" w:eastAsia="宋体" w:cs="宋体"/>
          <w:sz w:val="22"/>
          <w:szCs w:val="22"/>
        </w:rPr>
        <w:t>6.压力限制</w:t>
      </w:r>
    </w:p>
    <w:p>
      <w:pPr>
        <w:rPr>
          <w:rFonts w:hint="eastAsia" w:ascii="宋体" w:hAnsi="宋体" w:eastAsia="宋体" w:cs="宋体"/>
          <w:sz w:val="22"/>
          <w:szCs w:val="22"/>
        </w:rPr>
      </w:pPr>
      <w:r>
        <w:rPr>
          <w:rFonts w:hint="eastAsia" w:ascii="宋体" w:hAnsi="宋体" w:eastAsia="宋体" w:cs="宋体"/>
          <w:sz w:val="22"/>
          <w:szCs w:val="22"/>
        </w:rPr>
        <w:t xml:space="preserve">7.持续压力报警  </w:t>
      </w:r>
    </w:p>
    <w:p>
      <w:pPr>
        <w:rPr>
          <w:rFonts w:hint="eastAsia" w:ascii="宋体" w:hAnsi="宋体" w:eastAsia="宋体" w:cs="宋体"/>
          <w:sz w:val="22"/>
          <w:szCs w:val="22"/>
        </w:rPr>
      </w:pPr>
      <w:r>
        <w:rPr>
          <w:rFonts w:hint="eastAsia" w:ascii="宋体" w:hAnsi="宋体" w:eastAsia="宋体" w:cs="宋体"/>
          <w:sz w:val="22"/>
          <w:szCs w:val="22"/>
        </w:rPr>
        <w:t>8.高（低）氧浓度报警</w:t>
      </w:r>
    </w:p>
    <w:p>
      <w:pPr>
        <w:rPr>
          <w:rFonts w:hint="eastAsia" w:ascii="宋体" w:hAnsi="宋体" w:eastAsia="宋体" w:cs="宋体"/>
          <w:sz w:val="22"/>
          <w:szCs w:val="22"/>
        </w:rPr>
      </w:pPr>
      <w:r>
        <w:rPr>
          <w:rFonts w:hint="eastAsia" w:ascii="宋体" w:hAnsi="宋体" w:eastAsia="宋体" w:cs="宋体"/>
          <w:sz w:val="22"/>
          <w:szCs w:val="22"/>
        </w:rPr>
        <w:t>9.窒息报警</w:t>
      </w:r>
    </w:p>
    <w:p>
      <w:pPr>
        <w:rPr>
          <w:rFonts w:hint="eastAsia" w:ascii="宋体" w:hAnsi="宋体" w:eastAsia="宋体" w:cs="宋体"/>
          <w:sz w:val="22"/>
          <w:szCs w:val="22"/>
        </w:rPr>
      </w:pPr>
      <w:r>
        <w:rPr>
          <w:rFonts w:hint="eastAsia" w:ascii="宋体" w:hAnsi="宋体" w:eastAsia="宋体" w:cs="宋体"/>
          <w:sz w:val="22"/>
          <w:szCs w:val="22"/>
        </w:rPr>
        <w:t>10.最大极限压力  ＜12.5 kPa 报警</w:t>
      </w:r>
    </w:p>
    <w:p>
      <w:pPr>
        <w:numPr>
          <w:ilvl w:val="0"/>
          <w:numId w:val="0"/>
        </w:numPr>
        <w:jc w:val="both"/>
        <w:rPr>
          <w:rFonts w:hint="eastAsia" w:asciiTheme="minorEastAsia" w:hAnsiTheme="minorEastAsia" w:cstheme="minorEastAsia"/>
          <w:b/>
          <w:bCs/>
          <w:sz w:val="28"/>
          <w:szCs w:val="32"/>
          <w:lang w:val="en-US" w:eastAsia="zh-CN"/>
        </w:rPr>
      </w:pPr>
    </w:p>
    <w:p>
      <w:pPr>
        <w:numPr>
          <w:ilvl w:val="0"/>
          <w:numId w:val="0"/>
        </w:numPr>
        <w:jc w:val="both"/>
        <w:rPr>
          <w:rFonts w:hint="eastAsia" w:asciiTheme="minorEastAsia" w:hAnsiTheme="minorEastAsia" w:eastAsiaTheme="minorEastAsia" w:cstheme="minorEastAsia"/>
          <w:b/>
          <w:bCs/>
          <w:sz w:val="28"/>
          <w:szCs w:val="32"/>
          <w:lang w:val="en-US" w:eastAsia="zh-CN"/>
        </w:rPr>
      </w:pPr>
      <w:r>
        <w:rPr>
          <w:rFonts w:hint="eastAsia" w:asciiTheme="minorEastAsia" w:hAnsiTheme="minorEastAsia" w:cstheme="minorEastAsia"/>
          <w:b/>
          <w:bCs/>
          <w:sz w:val="28"/>
          <w:szCs w:val="32"/>
          <w:lang w:val="en-US" w:eastAsia="zh-CN"/>
        </w:rPr>
        <w:t>G</w:t>
      </w:r>
      <w:r>
        <w:rPr>
          <w:rFonts w:hint="eastAsia" w:asciiTheme="minorEastAsia" w:hAnsiTheme="minorEastAsia" w:eastAsiaTheme="minorEastAsia" w:cstheme="minorEastAsia"/>
          <w:b/>
          <w:bCs/>
          <w:sz w:val="28"/>
          <w:szCs w:val="32"/>
          <w:lang w:eastAsia="zh-CN"/>
        </w:rPr>
        <w:t>包</w:t>
      </w:r>
      <w:r>
        <w:rPr>
          <w:rFonts w:hint="eastAsia" w:asciiTheme="minorEastAsia" w:hAnsiTheme="minorEastAsia" w:eastAsiaTheme="minorEastAsia" w:cstheme="minorEastAsia"/>
          <w:b/>
          <w:bCs/>
          <w:sz w:val="28"/>
          <w:szCs w:val="32"/>
          <w:lang w:val="en-US" w:eastAsia="zh-CN"/>
        </w:rPr>
        <w:t>：电动移位机</w:t>
      </w:r>
    </w:p>
    <w:p>
      <w:pPr>
        <w:numPr>
          <w:ilvl w:val="0"/>
          <w:numId w:val="0"/>
        </w:numPr>
        <w:jc w:val="both"/>
        <w:rPr>
          <w:rFonts w:hint="default" w:asciiTheme="minorEastAsia" w:hAnsiTheme="minorEastAsia" w:eastAsiaTheme="minorEastAsia" w:cstheme="minorEastAsia"/>
          <w:b/>
          <w:bCs/>
          <w:sz w:val="28"/>
          <w:szCs w:val="32"/>
          <w:lang w:val="en-US" w:eastAsia="zh-CN"/>
        </w:rPr>
      </w:pPr>
      <w:r>
        <w:rPr>
          <w:rFonts w:hint="eastAsia" w:asciiTheme="minorEastAsia" w:hAnsiTheme="minorEastAsia" w:eastAsiaTheme="minorEastAsia" w:cstheme="minorEastAsia"/>
          <w:b/>
          <w:bCs/>
          <w:sz w:val="28"/>
          <w:szCs w:val="32"/>
          <w:lang w:val="en-US" w:eastAsia="zh-CN"/>
        </w:rPr>
        <w:t>数量：1</w:t>
      </w:r>
      <w:r>
        <w:rPr>
          <w:rFonts w:hint="eastAsia" w:asciiTheme="minorEastAsia" w:hAnsiTheme="minorEastAsia" w:cstheme="minorEastAsia"/>
          <w:b/>
          <w:bCs/>
          <w:sz w:val="28"/>
          <w:szCs w:val="32"/>
          <w:lang w:val="en-US" w:eastAsia="zh-CN"/>
        </w:rPr>
        <w:t>台</w:t>
      </w:r>
    </w:p>
    <w:p>
      <w:pPr>
        <w:spacing w:line="560" w:lineRule="exact"/>
        <w:jc w:val="left"/>
        <w:rPr>
          <w:rFonts w:hint="eastAsia" w:ascii="宋体" w:hAnsi="宋体" w:eastAsia="宋体" w:cs="宋体"/>
          <w:iCs/>
          <w:sz w:val="22"/>
          <w:szCs w:val="22"/>
          <w:u w:val="none"/>
        </w:rPr>
      </w:pPr>
      <w:r>
        <w:rPr>
          <w:rFonts w:hint="eastAsia" w:ascii="宋体" w:hAnsi="宋体" w:eastAsia="宋体" w:cs="宋体"/>
          <w:iCs/>
          <w:sz w:val="22"/>
          <w:szCs w:val="22"/>
          <w:u w:val="none"/>
        </w:rPr>
        <w:t>（1）技术要求</w:t>
      </w:r>
    </w:p>
    <w:p>
      <w:pPr>
        <w:rPr>
          <w:rFonts w:hint="eastAsia" w:ascii="宋体" w:hAnsi="宋体" w:eastAsia="宋体" w:cs="宋体"/>
          <w:sz w:val="22"/>
          <w:szCs w:val="22"/>
        </w:rPr>
      </w:pPr>
      <w:r>
        <w:rPr>
          <w:rFonts w:hint="eastAsia" w:ascii="宋体" w:hAnsi="宋体" w:eastAsia="宋体" w:cs="宋体"/>
          <w:sz w:val="22"/>
          <w:szCs w:val="22"/>
        </w:rPr>
        <w:t xml:space="preserve">1.1安全工作承重：标准吊臂 227 kg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整机通过高度：1402 – 2213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可通过门廊最小宽度：717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提升行程：1348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最小提升高度（中号DPS吊架）：227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最大提升高度（中号DPS吊架）：1575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7</w:t>
      </w:r>
      <w:r>
        <w:rPr>
          <w:rFonts w:hint="eastAsia" w:ascii="宋体" w:hAnsi="宋体" w:eastAsia="宋体" w:cs="宋体"/>
          <w:sz w:val="22"/>
          <w:szCs w:val="22"/>
        </w:rPr>
        <w:t xml:space="preserve">底盘高度（标准底座）：115 mm </w:t>
      </w:r>
    </w:p>
    <w:p>
      <w:pPr>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底盘下方高度：25 mm </w:t>
      </w:r>
    </w:p>
    <w:p>
      <w:pPr>
        <w:rPr>
          <w:rFonts w:hint="eastAsia" w:ascii="宋体" w:hAnsi="宋体" w:eastAsia="宋体" w:cs="宋体"/>
          <w:sz w:val="22"/>
          <w:szCs w:val="22"/>
        </w:rPr>
      </w:pPr>
      <w:r>
        <w:rPr>
          <w:rFonts w:hint="eastAsia" w:ascii="宋体" w:hAnsi="宋体" w:eastAsia="宋体" w:cs="宋体"/>
          <w:sz w:val="22"/>
          <w:szCs w:val="22"/>
          <w:lang w:val="en-US" w:eastAsia="zh-CN"/>
        </w:rPr>
        <w:t>1.9</w:t>
      </w:r>
      <w:r>
        <w:rPr>
          <w:rFonts w:hint="eastAsia" w:ascii="宋体" w:hAnsi="宋体" w:eastAsia="宋体" w:cs="宋体"/>
          <w:sz w:val="22"/>
          <w:szCs w:val="22"/>
        </w:rPr>
        <w:t xml:space="preserve">底盘宽度（外边缘）：718 - 1196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底盘宽度（内边缘）：578 – 1074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转弯直径：1222 mm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控制装置操作力：2.5 - 3N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3</w:t>
      </w:r>
      <w:r>
        <w:rPr>
          <w:rFonts w:hint="eastAsia" w:ascii="宋体" w:hAnsi="宋体" w:eastAsia="宋体" w:cs="宋体"/>
          <w:sz w:val="22"/>
          <w:szCs w:val="22"/>
        </w:rPr>
        <w:t xml:space="preserve">Maxi Move防护等级：IP24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手持控制器防护等级：IPX7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5</w:t>
      </w:r>
      <w:r>
        <w:rPr>
          <w:rFonts w:hint="eastAsia" w:ascii="宋体" w:hAnsi="宋体" w:eastAsia="宋体" w:cs="宋体"/>
          <w:sz w:val="22"/>
          <w:szCs w:val="22"/>
        </w:rPr>
        <w:t xml:space="preserve">电击防护等级：BF 类，符合 IEC 60601-1 的防电击保护标准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6</w:t>
      </w:r>
      <w:r>
        <w:rPr>
          <w:rFonts w:hint="eastAsia" w:ascii="宋体" w:hAnsi="宋体" w:eastAsia="宋体" w:cs="宋体"/>
          <w:sz w:val="22"/>
          <w:szCs w:val="22"/>
        </w:rPr>
        <w:t xml:space="preserve">电池类型：可充电电池（密封铅酸电池），24 V DC，4.0 Ah - 5.5 Ah </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7</w:t>
      </w:r>
      <w:r>
        <w:rPr>
          <w:rFonts w:hint="eastAsia" w:ascii="宋体" w:hAnsi="宋体" w:eastAsia="宋体" w:cs="宋体"/>
          <w:sz w:val="22"/>
          <w:szCs w:val="22"/>
        </w:rPr>
        <w:t>手持控制器显示屏：称重重量显示，电池电量显示，执行器状态显示</w:t>
      </w:r>
    </w:p>
    <w:p>
      <w:pPr>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8</w:t>
      </w:r>
      <w:r>
        <w:rPr>
          <w:rFonts w:hint="eastAsia" w:ascii="宋体" w:hAnsi="宋体" w:eastAsia="宋体" w:cs="宋体"/>
          <w:sz w:val="22"/>
          <w:szCs w:val="22"/>
        </w:rPr>
        <w:t xml:space="preserve"> 稳定垂直系统SVS：确保移位机升降时患者的稳定（抵抗摇摆）。 </w:t>
      </w:r>
    </w:p>
    <w:p>
      <w:pPr>
        <w:rPr>
          <w:rFonts w:hint="eastAsia" w:ascii="宋体" w:hAnsi="宋体" w:eastAsia="宋体" w:cs="宋体"/>
          <w:sz w:val="22"/>
          <w:szCs w:val="22"/>
        </w:rPr>
      </w:pPr>
      <w:r>
        <w:rPr>
          <w:rFonts w:hint="eastAsia" w:ascii="宋体" w:hAnsi="宋体" w:eastAsia="宋体" w:cs="宋体"/>
          <w:sz w:val="22"/>
          <w:szCs w:val="22"/>
          <w:lang w:val="en-US" w:eastAsia="zh-CN"/>
        </w:rPr>
        <w:t>2.9</w:t>
      </w:r>
      <w:r>
        <w:rPr>
          <w:rFonts w:hint="eastAsia" w:ascii="宋体" w:hAnsi="宋体" w:eastAsia="宋体" w:cs="宋体"/>
          <w:sz w:val="22"/>
          <w:szCs w:val="22"/>
        </w:rPr>
        <w:t xml:space="preserve">动态定位系统DPS：方便调节患者提升时的体位（坐立或后倾）。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0</w:t>
      </w:r>
      <w:r>
        <w:rPr>
          <w:rFonts w:hint="eastAsia" w:ascii="宋体" w:hAnsi="宋体" w:eastAsia="宋体" w:cs="宋体"/>
          <w:sz w:val="22"/>
          <w:szCs w:val="22"/>
        </w:rPr>
        <w:t xml:space="preserve">电动动态定位系统PDPS：双控制器均可操控患者提升时的体位（坐立或后倾）。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1</w:t>
      </w:r>
      <w:r>
        <w:rPr>
          <w:rFonts w:hint="eastAsia" w:ascii="宋体" w:hAnsi="宋体" w:eastAsia="宋体" w:cs="宋体"/>
          <w:sz w:val="22"/>
          <w:szCs w:val="22"/>
        </w:rPr>
        <w:t xml:space="preserve">吊架更换系统（Combi快速释放系统）：快速更换不同的吊架，满足不同的护理需求。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2</w:t>
      </w:r>
      <w:r>
        <w:rPr>
          <w:rFonts w:hint="eastAsia" w:ascii="宋体" w:hAnsi="宋体" w:eastAsia="宋体" w:cs="宋体"/>
          <w:sz w:val="22"/>
          <w:szCs w:val="22"/>
        </w:rPr>
        <w:t xml:space="preserve"> 障碍物识别自动暂停系统：下降过程中遇障碍物自动暂停。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3</w:t>
      </w:r>
      <w:r>
        <w:rPr>
          <w:rFonts w:hint="eastAsia" w:ascii="宋体" w:hAnsi="宋体" w:eastAsia="宋体" w:cs="宋体"/>
          <w:sz w:val="22"/>
          <w:szCs w:val="22"/>
        </w:rPr>
        <w:t>称重系统：最大227 kg，精度显示0.1 kg，LCD液晶显示，称重结果存储，支持基于纬度和海拔的重力参数调节。</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4</w:t>
      </w:r>
      <w:r>
        <w:rPr>
          <w:rFonts w:hint="eastAsia" w:ascii="宋体" w:hAnsi="宋体" w:eastAsia="宋体" w:cs="宋体"/>
          <w:sz w:val="22"/>
          <w:szCs w:val="22"/>
        </w:rPr>
        <w:t xml:space="preserve">双重电动控制系统：手持控制器；立柱控制面板。 </w:t>
      </w:r>
    </w:p>
    <w:p>
      <w:pPr>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eastAsia="宋体" w:cs="宋体"/>
          <w:sz w:val="22"/>
          <w:szCs w:val="22"/>
          <w:lang w:val="en-US" w:eastAsia="zh-CN"/>
        </w:rPr>
        <w:t>5</w:t>
      </w:r>
      <w:r>
        <w:rPr>
          <w:rFonts w:hint="eastAsia" w:ascii="宋体" w:hAnsi="宋体" w:eastAsia="宋体" w:cs="宋体"/>
          <w:sz w:val="22"/>
          <w:szCs w:val="22"/>
        </w:rPr>
        <w:t>可选配最多8种吊架，160个以上吊兜，以适应不同体形、体重患者的多种护理需求</w:t>
      </w: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ascii="宋体" w:hAnsi="宋体" w:eastAsia="宋体" w:cs="宋体"/>
          <w:sz w:val="21"/>
          <w:szCs w:val="21"/>
        </w:rPr>
      </w:pPr>
    </w:p>
    <w:p>
      <w:pPr>
        <w:pStyle w:val="36"/>
        <w:rPr>
          <w:rFonts w:hint="eastAsia" w:ascii="宋体" w:hAnsi="宋体" w:eastAsia="宋体" w:cs="宋体"/>
          <w:sz w:val="21"/>
          <w:szCs w:val="21"/>
        </w:rPr>
      </w:pPr>
    </w:p>
    <w:p>
      <w:pPr>
        <w:rPr>
          <w:rFonts w:hint="eastAsia" w:ascii="宋体" w:hAnsi="宋体" w:eastAsia="宋体" w:cs="宋体"/>
          <w:sz w:val="21"/>
          <w:szCs w:val="21"/>
        </w:rPr>
      </w:pPr>
    </w:p>
    <w:p>
      <w:pPr>
        <w:pStyle w:val="35"/>
        <w:rPr>
          <w:rFonts w:hint="eastAsia"/>
        </w:rPr>
      </w:pPr>
    </w:p>
    <w:p>
      <w:pPr>
        <w:pStyle w:val="17"/>
        <w:rPr>
          <w:rFonts w:hint="eastAsia"/>
        </w:rPr>
      </w:pPr>
      <w:r>
        <w:rPr>
          <w:rFonts w:hint="eastAsia"/>
          <w:lang w:val="en-US" w:eastAsia="zh-CN"/>
        </w:rPr>
        <w:t xml:space="preserve">              </w:t>
      </w:r>
    </w:p>
    <w:p>
      <w:pPr>
        <w:kinsoku w:val="0"/>
        <w:overflowPunct w:val="0"/>
        <w:autoSpaceDE w:val="0"/>
        <w:autoSpaceDN w:val="0"/>
        <w:adjustRightInd w:val="0"/>
        <w:spacing w:before="51"/>
        <w:jc w:val="center"/>
        <w:outlineLvl w:val="0"/>
        <w:rPr>
          <w:rFonts w:ascii="Times New Roman" w:hAnsi="Times New Roman" w:eastAsia="宋体" w:cs="Times New Roman"/>
          <w:color w:val="000000" w:themeColor="text1"/>
          <w:kern w:val="0"/>
          <w:sz w:val="32"/>
          <w:szCs w:val="32"/>
          <w14:textFill>
            <w14:solidFill>
              <w14:schemeClr w14:val="tx1"/>
            </w14:solidFill>
          </w14:textFill>
        </w:rPr>
      </w:pPr>
      <w:bookmarkStart w:id="191" w:name="_Toc30869"/>
      <w:r>
        <w:rPr>
          <w:rFonts w:hint="eastAsia" w:ascii="Times New Roman" w:hAnsi="Times New Roman" w:eastAsia="宋体" w:cs="Times New Roman"/>
          <w:b/>
          <w:bCs/>
          <w:color w:val="000000" w:themeColor="text1"/>
          <w:spacing w:val="2"/>
          <w:kern w:val="0"/>
          <w:sz w:val="32"/>
          <w:szCs w:val="32"/>
          <w14:textFill>
            <w14:solidFill>
              <w14:schemeClr w14:val="tx1"/>
            </w14:solidFill>
          </w14:textFill>
        </w:rPr>
        <w:t>第六章</w:t>
      </w:r>
      <w:r>
        <w:rPr>
          <w:rFonts w:ascii="Times New Roman" w:hAnsi="Times New Roman" w:eastAsia="宋体" w:cs="Times New Roman"/>
          <w:b/>
          <w:bCs/>
          <w:color w:val="000000" w:themeColor="text1"/>
          <w:spacing w:val="-9"/>
          <w:kern w:val="0"/>
          <w:sz w:val="32"/>
          <w:szCs w:val="32"/>
          <w14:textFill>
            <w14:solidFill>
              <w14:schemeClr w14:val="tx1"/>
            </w14:solidFill>
          </w14:textFill>
        </w:rPr>
        <w:t xml:space="preserve"> </w:t>
      </w:r>
      <w:r>
        <w:rPr>
          <w:rFonts w:hint="eastAsia" w:ascii="Times New Roman" w:hAnsi="Times New Roman" w:eastAsia="宋体" w:cs="Times New Roman"/>
          <w:b/>
          <w:bCs/>
          <w:color w:val="000000" w:themeColor="text1"/>
          <w:kern w:val="0"/>
          <w:sz w:val="32"/>
          <w:szCs w:val="32"/>
          <w14:textFill>
            <w14:solidFill>
              <w14:schemeClr w14:val="tx1"/>
            </w14:solidFill>
          </w14:textFill>
        </w:rPr>
        <w:t>投标文件格式</w:t>
      </w:r>
      <w:bookmarkEnd w:id="191"/>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72"/>
          <w:szCs w:val="72"/>
          <w:lang w:eastAsia="zh-CN"/>
          <w14:textFill>
            <w14:solidFill>
              <w14:schemeClr w14:val="tx1"/>
            </w14:solidFill>
          </w14:textFill>
        </w:rPr>
      </w:pPr>
    </w:p>
    <w:p>
      <w:pPr>
        <w:kinsoku w:val="0"/>
        <w:overflowPunct w:val="0"/>
        <w:autoSpaceDE w:val="0"/>
        <w:autoSpaceDN w:val="0"/>
        <w:adjustRightInd w:val="0"/>
        <w:ind w:left="854"/>
        <w:jc w:val="center"/>
        <w:rPr>
          <w:rFonts w:hint="eastAsia" w:ascii="宋体" w:hAnsi="宋体" w:eastAsia="宋体" w:cs="宋体"/>
          <w:b/>
          <w:bCs/>
          <w:color w:val="000000" w:themeColor="text1"/>
          <w:spacing w:val="6"/>
          <w:kern w:val="0"/>
          <w:sz w:val="24"/>
          <w:szCs w:val="24"/>
          <w:lang w:eastAsia="zh-CN"/>
          <w14:textFill>
            <w14:solidFill>
              <w14:schemeClr w14:val="tx1"/>
            </w14:solidFill>
          </w14:textFill>
        </w:rPr>
      </w:pPr>
      <w:r>
        <w:rPr>
          <w:rFonts w:hint="eastAsia" w:ascii="宋体" w:hAnsi="宋体" w:eastAsia="宋体" w:cs="宋体"/>
          <w:b/>
          <w:bCs/>
          <w:color w:val="000000" w:themeColor="text1"/>
          <w:spacing w:val="6"/>
          <w:kern w:val="0"/>
          <w:sz w:val="72"/>
          <w:szCs w:val="72"/>
          <w:lang w:eastAsia="zh-CN"/>
          <w14:textFill>
            <w14:solidFill>
              <w14:schemeClr w14:val="tx1"/>
            </w14:solidFill>
          </w14:textFill>
        </w:rPr>
        <w:t>郑州市第九人民医院医疗设备采购项目</w:t>
      </w:r>
      <w:r>
        <w:rPr>
          <w:rFonts w:hint="eastAsia" w:ascii="宋体" w:hAnsi="宋体" w:eastAsia="宋体" w:cs="宋体"/>
          <w:b w:val="0"/>
          <w:bCs w:val="0"/>
          <w:color w:val="000000" w:themeColor="text1"/>
          <w:spacing w:val="6"/>
          <w:w w:val="100"/>
          <w:kern w:val="0"/>
          <w:sz w:val="21"/>
          <w:szCs w:val="21"/>
          <w14:textFill>
            <w14:solidFill>
              <w14:schemeClr w14:val="tx1"/>
            </w14:solidFill>
          </w14:textFill>
        </w:rPr>
        <w:t xml:space="preserve"> </w:t>
      </w:r>
    </w:p>
    <w:p>
      <w:pPr>
        <w:kinsoku w:val="0"/>
        <w:overflowPunct w:val="0"/>
        <w:autoSpaceDE w:val="0"/>
        <w:autoSpaceDN w:val="0"/>
        <w:adjustRightInd w:val="0"/>
        <w:ind w:left="855"/>
        <w:jc w:val="center"/>
        <w:rPr>
          <w:rFonts w:ascii="Times New Roman" w:hAnsi="Times New Roman" w:eastAsia="宋体" w:cs="Times New Roman"/>
          <w:color w:val="000000" w:themeColor="text1"/>
          <w:kern w:val="0"/>
          <w:sz w:val="55"/>
          <w:szCs w:val="55"/>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30"/>
          <w:szCs w:val="30"/>
          <w14:textFill>
            <w14:solidFill>
              <w14:schemeClr w14:val="tx1"/>
            </w14:solidFill>
          </w14:textFill>
        </w:rPr>
      </w:pPr>
    </w:p>
    <w:p>
      <w:pPr>
        <w:kinsoku w:val="0"/>
        <w:overflowPunct w:val="0"/>
        <w:autoSpaceDE w:val="0"/>
        <w:autoSpaceDN w:val="0"/>
        <w:adjustRightInd w:val="0"/>
        <w:spacing w:before="223"/>
        <w:ind w:left="1053"/>
        <w:jc w:val="center"/>
        <w:rPr>
          <w:rFonts w:ascii="Times New Roman" w:hAnsi="Times New Roman" w:eastAsia="宋体" w:cs="Times New Roman"/>
          <w:b/>
          <w:bCs/>
          <w:color w:val="000000" w:themeColor="text1"/>
          <w:kern w:val="0"/>
          <w:sz w:val="72"/>
          <w:szCs w:val="72"/>
          <w14:textFill>
            <w14:solidFill>
              <w14:schemeClr w14:val="tx1"/>
            </w14:solidFill>
          </w14:textFill>
        </w:rPr>
      </w:pPr>
    </w:p>
    <w:p>
      <w:pPr>
        <w:kinsoku w:val="0"/>
        <w:overflowPunct w:val="0"/>
        <w:autoSpaceDE w:val="0"/>
        <w:autoSpaceDN w:val="0"/>
        <w:adjustRightInd w:val="0"/>
        <w:spacing w:before="223"/>
        <w:ind w:left="0" w:firstLine="2496" w:firstLineChars="1200"/>
        <w:jc w:val="both"/>
        <w:outlineLvl w:val="0"/>
        <w:rPr>
          <w:rFonts w:ascii="Times New Roman" w:hAnsi="Times New Roman" w:eastAsia="宋体" w:cs="Times New Roman"/>
          <w:color w:val="000000" w:themeColor="text1"/>
          <w:kern w:val="0"/>
          <w:sz w:val="72"/>
          <w:szCs w:val="72"/>
          <w14:textFill>
            <w14:solidFill>
              <w14:schemeClr w14:val="tx1"/>
            </w14:solidFill>
          </w14:textFill>
        </w:rPr>
      </w:pPr>
      <w:bookmarkStart w:id="192" w:name="_Toc20294"/>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bookmarkStart w:id="193" w:name="_Toc19884"/>
      <w:r>
        <w:rPr>
          <w:rFonts w:hint="eastAsia" w:ascii="Times New Roman" w:hAnsi="Times New Roman" w:eastAsia="宋体" w:cs="Times New Roman"/>
          <w:b/>
          <w:bCs/>
          <w:color w:val="000000" w:themeColor="text1"/>
          <w:kern w:val="0"/>
          <w:sz w:val="72"/>
          <w:szCs w:val="72"/>
          <w:lang w:eastAsia="zh-CN"/>
          <w14:textFill>
            <w14:solidFill>
              <w14:schemeClr w14:val="tx1"/>
            </w14:solidFill>
          </w14:textFill>
        </w:rPr>
        <w:t>包</w:t>
      </w:r>
      <w:r>
        <w:rPr>
          <w:rFonts w:hint="eastAsia" w:ascii="Times New Roman" w:hAnsi="Times New Roman" w:eastAsia="宋体" w:cs="Times New Roman"/>
          <w:b/>
          <w:bCs/>
          <w:color w:val="000000" w:themeColor="text1"/>
          <w:kern w:val="0"/>
          <w:sz w:val="72"/>
          <w:szCs w:val="72"/>
          <w14:textFill>
            <w14:solidFill>
              <w14:schemeClr w14:val="tx1"/>
            </w14:solidFill>
          </w14:textFill>
        </w:rPr>
        <w:t>投标文</w:t>
      </w:r>
      <w:r>
        <w:rPr>
          <w:rFonts w:hint="eastAsia" w:ascii="Times New Roman" w:hAnsi="Times New Roman" w:eastAsia="宋体" w:cs="Times New Roman"/>
          <w:b/>
          <w:bCs/>
          <w:color w:val="000000" w:themeColor="text1"/>
          <w:spacing w:val="5"/>
          <w:kern w:val="0"/>
          <w:sz w:val="72"/>
          <w:szCs w:val="72"/>
          <w14:textFill>
            <w14:solidFill>
              <w14:schemeClr w14:val="tx1"/>
            </w14:solidFill>
          </w14:textFill>
        </w:rPr>
        <w:t>件</w:t>
      </w:r>
      <w:bookmarkEnd w:id="192"/>
      <w:bookmarkEnd w:id="193"/>
      <w:r>
        <w:rPr>
          <w:rFonts w:ascii="Times New Roman" w:hAnsi="Times New Roman" w:eastAsia="宋体" w:cs="Times New Roman"/>
          <w:b/>
          <w:bCs/>
          <w:color w:val="000000" w:themeColor="text1"/>
          <w:w w:val="99"/>
          <w:kern w:val="0"/>
          <w:sz w:val="72"/>
          <w:szCs w:val="72"/>
          <w14:textFill>
            <w14:solidFill>
              <w14:schemeClr w14:val="tx1"/>
            </w14:solidFill>
          </w14:textFill>
        </w:rPr>
        <w:t xml:space="preserve"> </w:t>
      </w:r>
    </w:p>
    <w:p>
      <w:pPr>
        <w:kinsoku w:val="0"/>
        <w:overflowPunct w:val="0"/>
        <w:autoSpaceDE w:val="0"/>
        <w:autoSpaceDN w:val="0"/>
        <w:adjustRightInd w:val="0"/>
        <w:spacing w:before="635"/>
        <w:ind w:left="1573" w:right="843" w:firstLine="2108" w:firstLineChars="75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采购编号：</w:t>
      </w: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b/>
          <w:bCs/>
          <w:color w:val="000000" w:themeColor="text1"/>
          <w:kern w:val="0"/>
          <w:sz w:val="28"/>
          <w:szCs w:val="28"/>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b/>
          <w:bCs/>
          <w:color w:val="000000" w:themeColor="text1"/>
          <w:kern w:val="0"/>
          <w:sz w:val="24"/>
          <w:szCs w:val="24"/>
          <w14:textFill>
            <w14:solidFill>
              <w14:schemeClr w14:val="tx1"/>
            </w14:solidFill>
          </w14:textFill>
        </w:rPr>
      </w:pPr>
    </w:p>
    <w:p>
      <w:pPr>
        <w:kinsoku w:val="0"/>
        <w:overflowPunct w:val="0"/>
        <w:autoSpaceDE w:val="0"/>
        <w:autoSpaceDN w:val="0"/>
        <w:adjustRightInd w:val="0"/>
        <w:spacing w:line="360" w:lineRule="auto"/>
        <w:ind w:left="1573" w:right="843" w:firstLine="281"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供应商（企业公章）：</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328"/>
          <w:tab w:val="left" w:pos="3384"/>
          <w:tab w:val="left" w:pos="4968"/>
        </w:tabs>
        <w:kinsoku w:val="0"/>
        <w:overflowPunct w:val="0"/>
        <w:autoSpaceDE w:val="0"/>
        <w:autoSpaceDN w:val="0"/>
        <w:adjustRightInd w:val="0"/>
        <w:spacing w:line="360" w:lineRule="auto"/>
        <w:ind w:right="340" w:firstLine="1827" w:firstLineChars="650"/>
        <w:jc w:val="left"/>
        <w:rPr>
          <w:rFonts w:ascii="Times New Roman" w:hAnsi="Times New Roman" w:eastAsia="宋体" w:cs="Times New Roman"/>
          <w:b/>
          <w:bCs/>
          <w:color w:val="000000" w:themeColor="text1"/>
          <w:w w:val="99"/>
          <w:kern w:val="0"/>
          <w:sz w:val="28"/>
          <w:szCs w:val="28"/>
          <w14:textFill>
            <w14:solidFill>
              <w14:schemeClr w14:val="tx1"/>
            </w14:solidFill>
          </w14:textFill>
        </w:rPr>
      </w:pPr>
      <w:r>
        <w:rPr>
          <w:rFonts w:hint="eastAsia" w:ascii="Times New Roman" w:hAnsi="Times New Roman" w:eastAsia="宋体" w:cs="Times New Roman"/>
          <w:b/>
          <w:bCs/>
          <w:color w:val="000000" w:themeColor="text1"/>
          <w:kern w:val="0"/>
          <w:sz w:val="28"/>
          <w:szCs w:val="28"/>
          <w14:textFill>
            <w14:solidFill>
              <w14:schemeClr w14:val="tx1"/>
            </w14:solidFill>
          </w14:textFill>
        </w:rPr>
        <w:t>法定代表人或授权委托人（签字或盖章）：</w:t>
      </w:r>
      <w:r>
        <w:rPr>
          <w:rFonts w:ascii="Times New Roman" w:hAnsi="Times New Roman" w:eastAsia="宋体" w:cs="Times New Roman"/>
          <w:b/>
          <w:bCs/>
          <w:color w:val="000000" w:themeColor="text1"/>
          <w:spacing w:val="-6"/>
          <w:w w:val="99"/>
          <w:kern w:val="0"/>
          <w:sz w:val="28"/>
          <w:szCs w:val="28"/>
          <w14:textFill>
            <w14:solidFill>
              <w14:schemeClr w14:val="tx1"/>
            </w14:solidFill>
          </w14:textFill>
        </w:rPr>
        <w:t xml:space="preserve"> </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p>
    <w:p>
      <w:pPr>
        <w:tabs>
          <w:tab w:val="left" w:pos="2593"/>
          <w:tab w:val="left" w:pos="4968"/>
        </w:tabs>
        <w:kinsoku w:val="0"/>
        <w:overflowPunct w:val="0"/>
        <w:autoSpaceDE w:val="0"/>
        <w:autoSpaceDN w:val="0"/>
        <w:adjustRightInd w:val="0"/>
        <w:spacing w:line="360" w:lineRule="auto"/>
        <w:ind w:left="1573" w:right="342" w:firstLine="267" w:firstLineChars="100"/>
        <w:jc w:val="left"/>
        <w:rPr>
          <w:rFonts w:ascii="Times New Roman" w:hAnsi="Times New Roman" w:eastAsia="宋体" w:cs="Times New Roman"/>
          <w:color w:val="000000" w:themeColor="text1"/>
          <w:kern w:val="0"/>
          <w:sz w:val="28"/>
          <w:szCs w:val="28"/>
          <w14:textFill>
            <w14:solidFill>
              <w14:schemeClr w14:val="tx1"/>
            </w14:solidFill>
          </w14:textFill>
        </w:rPr>
      </w:pP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日</w:t>
      </w:r>
      <w:r>
        <w:rPr>
          <w:rFonts w:ascii="Times New Roman" w:hAnsi="Times New Roman" w:eastAsia="宋体" w:cs="Times New Roman"/>
          <w:b/>
          <w:bCs/>
          <w:color w:val="000000" w:themeColor="text1"/>
          <w:w w:val="95"/>
          <w:kern w:val="0"/>
          <w:sz w:val="28"/>
          <w:szCs w:val="28"/>
          <w14:textFill>
            <w14:solidFill>
              <w14:schemeClr w14:val="tx1"/>
            </w14:solidFill>
          </w14:textFill>
        </w:rPr>
        <w:tab/>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期： </w:t>
      </w:r>
      <w:r>
        <w:rPr>
          <w:rFonts w:ascii="Times New Roman" w:hAnsi="Times New Roman" w:eastAsia="宋体" w:cs="Times New Roman"/>
          <w:b/>
          <w:bCs/>
          <w:color w:val="000000" w:themeColor="text1"/>
          <w:w w:val="95"/>
          <w:kern w:val="0"/>
          <w:sz w:val="28"/>
          <w:szCs w:val="28"/>
          <w14:textFill>
            <w14:solidFill>
              <w14:schemeClr w14:val="tx1"/>
            </w14:solidFill>
          </w14:textFill>
        </w:rPr>
        <w:t>20</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2</w:t>
      </w:r>
      <w:r>
        <w:rPr>
          <w:rFonts w:hint="eastAsia" w:ascii="Times New Roman" w:hAnsi="Times New Roman" w:eastAsia="宋体" w:cs="Times New Roman"/>
          <w:b/>
          <w:bCs/>
          <w:color w:val="000000" w:themeColor="text1"/>
          <w:w w:val="95"/>
          <w:kern w:val="0"/>
          <w:sz w:val="28"/>
          <w:szCs w:val="28"/>
          <w:lang w:val="en-US" w:eastAsia="zh-CN"/>
          <w14:textFill>
            <w14:solidFill>
              <w14:schemeClr w14:val="tx1"/>
            </w14:solidFill>
          </w14:textFill>
        </w:rPr>
        <w:t>3</w:t>
      </w:r>
      <w:r>
        <w:rPr>
          <w:rFonts w:hint="eastAsia" w:ascii="Times New Roman" w:hAnsi="Times New Roman" w:eastAsia="宋体" w:cs="Times New Roman"/>
          <w:b/>
          <w:bCs/>
          <w:color w:val="000000" w:themeColor="text1"/>
          <w:w w:val="95"/>
          <w:kern w:val="0"/>
          <w:sz w:val="28"/>
          <w:szCs w:val="28"/>
          <w14:textFill>
            <w14:solidFill>
              <w14:schemeClr w14:val="tx1"/>
            </w14:solidFill>
          </w14:textFill>
        </w:rPr>
        <w:t xml:space="preserve">年      </w:t>
      </w:r>
      <w:r>
        <w:rPr>
          <w:rFonts w:hint="eastAsia" w:ascii="Times New Roman" w:hAnsi="Times New Roman" w:eastAsia="宋体" w:cs="Times New Roman"/>
          <w:b/>
          <w:bCs/>
          <w:color w:val="000000" w:themeColor="text1"/>
          <w:kern w:val="0"/>
          <w:sz w:val="28"/>
          <w:szCs w:val="28"/>
          <w14:textFill>
            <w14:solidFill>
              <w14:schemeClr w14:val="tx1"/>
            </w14:solidFill>
          </w14:textFill>
        </w:rPr>
        <w:t>月</w:t>
      </w:r>
      <w:r>
        <w:rPr>
          <w:rFonts w:ascii="Times New Roman" w:hAnsi="Times New Roman" w:eastAsia="宋体" w:cs="Times New Roman"/>
          <w:b/>
          <w:bCs/>
          <w:color w:val="000000" w:themeColor="text1"/>
          <w:w w:val="99"/>
          <w:kern w:val="0"/>
          <w:sz w:val="28"/>
          <w:szCs w:val="28"/>
          <w14:textFill>
            <w14:solidFill>
              <w14:schemeClr w14:val="tx1"/>
            </w14:solidFill>
          </w14:textFill>
        </w:rPr>
        <w:t xml:space="preserve"> </w:t>
      </w:r>
      <w:r>
        <w:rPr>
          <w:rFonts w:hint="eastAsia" w:ascii="Times New Roman" w:hAnsi="Times New Roman" w:eastAsia="宋体" w:cs="Times New Roman"/>
          <w:b/>
          <w:bCs/>
          <w:color w:val="000000" w:themeColor="text1"/>
          <w:w w:val="99"/>
          <w:kern w:val="0"/>
          <w:sz w:val="28"/>
          <w:szCs w:val="28"/>
          <w14:textFill>
            <w14:solidFill>
              <w14:schemeClr w14:val="tx1"/>
            </w14:solidFill>
          </w14:textFill>
        </w:rPr>
        <w:t xml:space="preserve">    日</w:t>
      </w:r>
    </w:p>
    <w:p>
      <w:pPr>
        <w:tabs>
          <w:tab w:val="left" w:pos="2328"/>
          <w:tab w:val="left" w:pos="3384"/>
          <w:tab w:val="left" w:pos="4968"/>
        </w:tabs>
        <w:kinsoku w:val="0"/>
        <w:overflowPunct w:val="0"/>
        <w:autoSpaceDE w:val="0"/>
        <w:autoSpaceDN w:val="0"/>
        <w:adjustRightInd w:val="0"/>
        <w:spacing w:line="345" w:lineRule="auto"/>
        <w:ind w:left="1573" w:right="342"/>
        <w:jc w:val="left"/>
        <w:rPr>
          <w:rFonts w:ascii="Times New Roman" w:hAnsi="Times New Roman" w:eastAsia="宋体" w:cs="Times New Roman"/>
          <w:color w:val="000000" w:themeColor="text1"/>
          <w:kern w:val="0"/>
          <w:sz w:val="30"/>
          <w:szCs w:val="30"/>
          <w14:textFill>
            <w14:solidFill>
              <w14:schemeClr w14:val="tx1"/>
            </w14:solidFill>
          </w14:textFill>
        </w:rPr>
        <w:sectPr>
          <w:headerReference r:id="rId8" w:type="default"/>
          <w:footerReference r:id="rId9" w:type="default"/>
          <w:pgSz w:w="11920" w:h="16850"/>
          <w:pgMar w:top="1440" w:right="168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194" w:name="_Toc7535"/>
      <w:bookmarkStart w:id="195" w:name="_Toc27412"/>
      <w:bookmarkStart w:id="196" w:name="_Toc88447540"/>
      <w:bookmarkStart w:id="197" w:name="_Toc331"/>
      <w:bookmarkStart w:id="198" w:name="_Toc12808"/>
      <w:r>
        <w:rPr>
          <w:rFonts w:hint="eastAsia" w:ascii="宋体" w:hAnsi="Times New Roman" w:eastAsia="宋体" w:cs="宋体"/>
          <w:color w:val="000000" w:themeColor="text1"/>
          <w:kern w:val="0"/>
          <w:sz w:val="28"/>
          <w:szCs w:val="28"/>
          <w14:textFill>
            <w14:solidFill>
              <w14:schemeClr w14:val="tx1"/>
            </w14:solidFill>
          </w14:textFill>
        </w:rPr>
        <w:t>一、法定代表人身份证明</w:t>
      </w:r>
      <w:bookmarkEnd w:id="194"/>
      <w:bookmarkEnd w:id="195"/>
      <w:bookmarkEnd w:id="196"/>
      <w:bookmarkEnd w:id="197"/>
      <w:bookmarkEnd w:id="198"/>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5"/>
          <w:kern w:val="0"/>
          <w:szCs w:val="21"/>
          <w14:textFill>
            <w14:solidFill>
              <w14:schemeClr w14:val="tx1"/>
            </w14:solidFill>
          </w14:textFill>
        </w:rPr>
        <w:t>供应商名称：</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单位性质：</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60" w:lineRule="auto"/>
        <w:ind w:left="590"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spacing w:val="4"/>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址：</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成立时间：</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spacing w:val="-3"/>
          <w:kern w:val="0"/>
          <w:szCs w:val="21"/>
          <w14:textFill>
            <w14:solidFill>
              <w14:schemeClr w14:val="tx1"/>
            </w14:solidFill>
          </w14:textFill>
        </w:rPr>
        <w:t>日</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经营期限：</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姓名：</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性别：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年龄：</w:t>
      </w:r>
      <w:r>
        <w:rPr>
          <w:rFonts w:ascii="Times New Roman" w:hAnsi="Times New Roman" w:eastAsia="宋体" w:cs="Times New Roman"/>
          <w:color w:val="000000" w:themeColor="text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spacing w:val="-17"/>
          <w:kern w:val="0"/>
          <w:szCs w:val="21"/>
          <w14:textFill>
            <w14:solidFill>
              <w14:schemeClr w14:val="tx1"/>
            </w14:solidFill>
          </w14:textFill>
        </w:rPr>
      </w:pPr>
      <w:r>
        <w:rPr>
          <w:rFonts w:hint="eastAsia" w:ascii="Times New Roman" w:hAnsi="Times New Roman" w:eastAsia="宋体" w:cs="Times New Roman"/>
          <w:color w:val="000000" w:themeColor="text1"/>
          <w:spacing w:val="-7"/>
          <w:kern w:val="0"/>
          <w:szCs w:val="21"/>
          <w14:textFill>
            <w14:solidFill>
              <w14:schemeClr w14:val="tx1"/>
            </w14:solidFill>
          </w14:textFill>
        </w:rPr>
        <w:t>职务：</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p>
    <w:p>
      <w:pPr>
        <w:tabs>
          <w:tab w:val="left" w:pos="3156"/>
          <w:tab w:val="left" w:pos="3820"/>
          <w:tab w:val="left" w:pos="4956"/>
          <w:tab w:val="left" w:pos="5141"/>
          <w:tab w:val="left" w:pos="6396"/>
          <w:tab w:val="left" w:pos="6581"/>
        </w:tabs>
        <w:kinsoku w:val="0"/>
        <w:overflowPunct w:val="0"/>
        <w:autoSpaceDE w:val="0"/>
        <w:autoSpaceDN w:val="0"/>
        <w:adjustRightInd w:val="0"/>
        <w:spacing w:line="355" w:lineRule="auto"/>
        <w:ind w:left="601" w:right="102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身份证号：</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系</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供应商名称）的法定代表人。</w:t>
      </w: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5381"/>
        </w:tabs>
        <w:kinsoku w:val="0"/>
        <w:overflowPunct w:val="0"/>
        <w:autoSpaceDE w:val="0"/>
        <w:autoSpaceDN w:val="0"/>
        <w:adjustRightInd w:val="0"/>
        <w:spacing w:before="38"/>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特此证明。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60"/>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4901"/>
        </w:tabs>
        <w:kinsoku w:val="0"/>
        <w:overflowPunct w:val="0"/>
        <w:autoSpaceDE w:val="0"/>
        <w:autoSpaceDN w:val="0"/>
        <w:adjustRightInd w:val="0"/>
        <w:spacing w:before="127"/>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供应商：</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59"/>
        <w:ind w:left="65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740"/>
          <w:tab w:val="left" w:pos="3580"/>
          <w:tab w:val="left" w:pos="4420"/>
        </w:tabs>
        <w:kinsoku w:val="0"/>
        <w:overflowPunct w:val="0"/>
        <w:autoSpaceDE w:val="0"/>
        <w:autoSpaceDN w:val="0"/>
        <w:adjustRightInd w:val="0"/>
        <w:spacing w:before="178"/>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日期：</w:t>
      </w:r>
      <w:r>
        <w:rPr>
          <w:rFonts w:ascii="Times New Roman" w:hAnsi="Times New Roman" w:eastAsia="宋体" w:cs="Times New Roman"/>
          <w:color w:val="000000" w:themeColor="text1"/>
          <w:spacing w:val="-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2"/>
        <w:ind w:left="640"/>
        <w:jc w:val="left"/>
        <w:rPr>
          <w:rFonts w:ascii="宋体" w:hAnsi="Times New Roman" w:eastAsia="宋体" w:cs="宋体"/>
          <w:color w:val="000000" w:themeColor="text1"/>
          <w:kern w:val="0"/>
          <w:szCs w:val="21"/>
          <w14:textFill>
            <w14:solidFill>
              <w14:schemeClr w14:val="tx1"/>
            </w14:solidFill>
          </w14:textFill>
        </w:rPr>
      </w:pPr>
      <w:r>
        <w:rPr>
          <w:rFonts w:ascii="宋体" w:hAnsi="Times New Roman" w:eastAsia="宋体" w:cs="宋体"/>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3"/>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6"/>
        <w:ind w:left="64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60"/>
        <w:ind w:left="678"/>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（附法定代表人身份证复印件正反面）</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86"/>
        <w:ind w:left="599" w:right="1029"/>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0" w:type="default"/>
          <w:pgSz w:w="11920" w:h="16850"/>
          <w:pgMar w:top="1380" w:right="126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199" w:name="_Toc2622"/>
      <w:bookmarkStart w:id="200" w:name="_Toc88447541"/>
      <w:bookmarkStart w:id="201" w:name="_Toc13444"/>
      <w:bookmarkStart w:id="202" w:name="_Toc20180"/>
      <w:bookmarkStart w:id="203" w:name="_Toc9725"/>
      <w:r>
        <w:rPr>
          <w:rFonts w:hint="eastAsia" w:ascii="宋体" w:hAnsi="Times New Roman" w:eastAsia="宋体" w:cs="宋体"/>
          <w:color w:val="000000" w:themeColor="text1"/>
          <w:kern w:val="0"/>
          <w:sz w:val="28"/>
          <w:szCs w:val="28"/>
          <w14:textFill>
            <w14:solidFill>
              <w14:schemeClr w14:val="tx1"/>
            </w14:solidFill>
          </w14:textFill>
        </w:rPr>
        <w:t>二、授权委托书</w:t>
      </w:r>
      <w:bookmarkEnd w:id="199"/>
      <w:bookmarkEnd w:id="200"/>
      <w:bookmarkEnd w:id="201"/>
      <w:bookmarkEnd w:id="202"/>
      <w:bookmarkEnd w:id="203"/>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26" w:line="360" w:lineRule="auto"/>
        <w:ind w:left="119" w:firstLine="535"/>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0"/>
          <w:kern w:val="0"/>
          <w:szCs w:val="21"/>
          <w14:textFill>
            <w14:solidFill>
              <w14:schemeClr w14:val="tx1"/>
            </w14:solidFill>
          </w14:textFill>
        </w:rPr>
        <w:t>本授权书声明：注册于（</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注</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20"/>
          <w:kern w:val="0"/>
          <w:szCs w:val="21"/>
          <w:u w:val="single"/>
          <w14:textFill>
            <w14:solidFill>
              <w14:schemeClr w14:val="tx1"/>
            </w14:solidFill>
          </w14:textFill>
        </w:rPr>
        <w:t>册地址名</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称</w:t>
      </w:r>
      <w:r>
        <w:rPr>
          <w:rFonts w:ascii="Times New Roman" w:hAnsi="Times New Roman" w:eastAsia="宋体" w:cs="Times New Roman"/>
          <w:color w:val="000000" w:themeColor="text1"/>
          <w:spacing w:val="-8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3"/>
          <w:kern w:val="0"/>
          <w:szCs w:val="21"/>
          <w14:textFill>
            <w14:solidFill>
              <w14:schemeClr w14:val="tx1"/>
            </w14:solidFill>
          </w14:textFill>
        </w:rPr>
        <w:t>）的</w:t>
      </w:r>
      <w:r>
        <w:rPr>
          <w:rFonts w:ascii="Times New Roman" w:hAnsi="Times New Roman" w:eastAsia="宋体" w:cs="Times New Roman"/>
          <w:color w:val="000000" w:themeColor="text1"/>
          <w:spacing w:val="13"/>
          <w:kern w:val="0"/>
          <w:szCs w:val="21"/>
          <w14:textFill>
            <w14:solidFill>
              <w14:schemeClr w14:val="tx1"/>
            </w14:solidFill>
          </w14:textFill>
        </w:rPr>
        <w:t>(</w:t>
      </w:r>
      <w:r>
        <w:rPr>
          <w:rFonts w:hint="eastAsia" w:ascii="Times New Roman" w:hAnsi="Times New Roman" w:eastAsia="宋体" w:cs="Times New Roman"/>
          <w:color w:val="000000" w:themeColor="text1"/>
          <w:spacing w:val="13"/>
          <w:kern w:val="0"/>
          <w:szCs w:val="21"/>
          <w:u w:val="single"/>
          <w14:textFill>
            <w14:solidFill>
              <w14:schemeClr w14:val="tx1"/>
            </w14:solidFill>
          </w14:textFill>
        </w:rPr>
        <w:t>投</w:t>
      </w:r>
      <w:r>
        <w:rPr>
          <w:rFonts w:ascii="Times New Roman" w:hAnsi="Times New Roman" w:eastAsia="宋体" w:cs="Times New Roman"/>
          <w:color w:val="000000" w:themeColor="text1"/>
          <w:spacing w:val="-92"/>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标人全名</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14:textFill>
            <w14:solidFill>
              <w14:schemeClr w14:val="tx1"/>
            </w14:solidFill>
          </w14:textFill>
        </w:rPr>
        <w:t>的在下面签字的</w:t>
      </w:r>
      <w:r>
        <w:rPr>
          <w:rFonts w:ascii="Times New Roman" w:hAnsi="Times New Roman" w:eastAsia="宋体" w:cs="Times New Roman"/>
          <w:color w:val="000000" w:themeColor="text1"/>
          <w:spacing w:val="19"/>
          <w:kern w:val="0"/>
          <w:szCs w:val="21"/>
          <w14:textFill>
            <w14:solidFill>
              <w14:schemeClr w14:val="tx1"/>
            </w14:solidFill>
          </w14:textFill>
        </w:rPr>
        <w:t>(</w:t>
      </w:r>
      <w:r>
        <w:rPr>
          <w:rFonts w:hint="eastAsia" w:ascii="Times New Roman" w:hAnsi="Times New Roman" w:eastAsia="宋体" w:cs="Times New Roman"/>
          <w:color w:val="000000" w:themeColor="text1"/>
          <w:spacing w:val="19"/>
          <w:kern w:val="0"/>
          <w:szCs w:val="21"/>
          <w:u w:val="single"/>
          <w14:textFill>
            <w14:solidFill>
              <w14:schemeClr w14:val="tx1"/>
            </w14:solidFill>
          </w14:textFill>
        </w:rPr>
        <w:t>法</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定代表人姓名、职务</w:t>
      </w:r>
      <w:r>
        <w:rPr>
          <w:rFonts w:ascii="Times New Roman" w:hAnsi="Times New Roman" w:eastAsia="宋体" w:cs="Times New Roman"/>
          <w:color w:val="000000" w:themeColor="text1"/>
          <w:spacing w:val="-8"/>
          <w:kern w:val="0"/>
          <w:szCs w:val="21"/>
          <w14:textFill>
            <w14:solidFill>
              <w14:schemeClr w14:val="tx1"/>
            </w14:solidFill>
          </w14:textFill>
        </w:rPr>
        <w:t>)</w:t>
      </w:r>
      <w:r>
        <w:rPr>
          <w:rFonts w:hint="eastAsia" w:ascii="Times New Roman" w:hAnsi="Times New Roman" w:eastAsia="宋体" w:cs="Times New Roman"/>
          <w:color w:val="000000" w:themeColor="text1"/>
          <w:spacing w:val="-8"/>
          <w:kern w:val="0"/>
          <w:szCs w:val="21"/>
          <w14:textFill>
            <w14:solidFill>
              <w14:schemeClr w14:val="tx1"/>
            </w14:solidFill>
          </w14:textFill>
        </w:rPr>
        <w:t>代表本公司授权（</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单位名称</w:t>
      </w:r>
      <w:r>
        <w:rPr>
          <w:rFonts w:hint="eastAsia" w:ascii="Times New Roman" w:hAnsi="Times New Roman" w:eastAsia="宋体" w:cs="Times New Roman"/>
          <w:color w:val="000000" w:themeColor="text1"/>
          <w:spacing w:val="-8"/>
          <w:kern w:val="0"/>
          <w:szCs w:val="21"/>
          <w14:textFill>
            <w14:solidFill>
              <w14:schemeClr w14:val="tx1"/>
            </w14:solidFill>
          </w14:textFill>
        </w:rPr>
        <w:t>）的在下面签字的</w:t>
      </w:r>
      <w:r>
        <w:rPr>
          <w:rFonts w:hint="eastAsia" w:ascii="Times New Roman" w:hAnsi="Times New Roman" w:eastAsia="宋体" w:cs="Times New Roman"/>
          <w:color w:val="000000" w:themeColor="text1"/>
          <w:spacing w:val="-8"/>
          <w:kern w:val="0"/>
          <w:szCs w:val="21"/>
          <w:u w:val="single"/>
          <w14:textFill>
            <w14:solidFill>
              <w14:schemeClr w14:val="tx1"/>
            </w14:solidFill>
          </w14:textFill>
        </w:rPr>
        <w:t>（被授权人的姓名、职</w:t>
      </w:r>
      <w:r>
        <w:rPr>
          <w:rFonts w:ascii="Times New Roman" w:hAnsi="Times New Roman" w:eastAsia="宋体" w:cs="Times New Roman"/>
          <w:color w:val="000000" w:themeColor="text1"/>
          <w:spacing w:val="-103"/>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0"/>
          <w:kern w:val="0"/>
          <w:szCs w:val="21"/>
          <w:u w:val="single"/>
          <w14:textFill>
            <w14:solidFill>
              <w14:schemeClr w14:val="tx1"/>
            </w14:solidFill>
          </w14:textFill>
        </w:rPr>
        <w:t>务</w:t>
      </w:r>
      <w:r>
        <w:rPr>
          <w:rFonts w:hint="eastAsia" w:ascii="Times New Roman" w:hAnsi="Times New Roman" w:eastAsia="宋体" w:cs="Times New Roman"/>
          <w:color w:val="000000" w:themeColor="text1"/>
          <w:spacing w:val="-10"/>
          <w:kern w:val="0"/>
          <w:szCs w:val="21"/>
          <w14:textFill>
            <w14:solidFill>
              <w14:schemeClr w14:val="tx1"/>
            </w14:solidFill>
          </w14:textFill>
        </w:rPr>
        <w:t>）为本公司的合法代理人，就</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）的投标及合同执行，以本公司名义处理一切与之有关的事务。本授权书于年月日签字生效，特此声明。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00" w:beforeAutospacing="1" w:line="360" w:lineRule="auto"/>
        <w:ind w:left="60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代理人无转委托权。</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2"/>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5880"/>
          <w:tab w:val="left" w:pos="6600"/>
          <w:tab w:val="left" w:pos="7321"/>
        </w:tabs>
        <w:kinsoku w:val="0"/>
        <w:overflowPunct w:val="0"/>
        <w:autoSpaceDE w:val="0"/>
        <w:autoSpaceDN w:val="0"/>
        <w:adjustRightInd w:val="0"/>
        <w:spacing w:before="100" w:beforeAutospacing="1" w:line="360" w:lineRule="auto"/>
        <w:ind w:left="601" w:right="1544"/>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9"/>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666" w:lineRule="exact"/>
        <w:ind w:left="707"/>
        <w:jc w:val="left"/>
        <w:rPr>
          <w:rFonts w:ascii="Times New Roman" w:hAnsi="Times New Roman" w:eastAsia="宋体" w:cs="Times New Roman"/>
          <w:color w:val="000000" w:themeColor="text1"/>
          <w:kern w:val="0"/>
          <w:position w:val="-53"/>
          <w:szCs w:val="21"/>
          <w14:textFill>
            <w14:solidFill>
              <w14:schemeClr w14:val="tx1"/>
            </w14:solidFill>
          </w14:textFill>
        </w:rPr>
      </w:pPr>
      <w:r>
        <w:rPr>
          <w:rFonts w:ascii="Times New Roman" w:hAnsi="Times New Roman" w:eastAsia="宋体" w:cs="Times New Roman"/>
          <w:color w:val="000000" w:themeColor="text1"/>
          <w:kern w:val="0"/>
          <w:position w:val="-53"/>
          <w:szCs w:val="21"/>
          <w14:textFill>
            <w14:solidFill>
              <w14:schemeClr w14:val="tx1"/>
            </w14:solidFill>
          </w14:textFill>
        </w:rPr>
        <mc:AlternateContent>
          <mc:Choice Requires="wpg">
            <w:drawing>
              <wp:inline distT="0" distB="0" distL="0" distR="0">
                <wp:extent cx="5702935" cy="1693545"/>
                <wp:effectExtent l="1905" t="0" r="10160" b="3175"/>
                <wp:docPr id="12" name="组合 19"/>
                <wp:cNvGraphicFramePr/>
                <a:graphic xmlns:a="http://schemas.openxmlformats.org/drawingml/2006/main">
                  <a:graphicData uri="http://schemas.microsoft.com/office/word/2010/wordprocessingGroup">
                    <wpg:wgp>
                      <wpg:cNvGrpSpPr/>
                      <wpg:grpSpPr>
                        <a:xfrm>
                          <a:off x="0" y="0"/>
                          <a:ext cx="5702935" cy="1693545"/>
                          <a:chOff x="0" y="0"/>
                          <a:chExt cx="8981" cy="2667"/>
                        </a:xfrm>
                      </wpg:grpSpPr>
                      <wps:wsp>
                        <wps:cNvPr id="13" name="任意多边形 20"/>
                        <wps:cNvSpPr/>
                        <wps:spPr bwMode="auto">
                          <a:xfrm>
                            <a:off x="9" y="9"/>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5" name="任意多边形 21"/>
                        <wps:cNvSpPr/>
                        <wps:spPr bwMode="auto">
                          <a:xfrm>
                            <a:off x="4493" y="9"/>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16" name="任意多边形 22"/>
                        <wps:cNvSpPr/>
                        <wps:spPr bwMode="auto">
                          <a:xfrm>
                            <a:off x="4"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17" name="任意多边形 23"/>
                        <wps:cNvSpPr/>
                        <wps:spPr bwMode="auto">
                          <a:xfrm>
                            <a:off x="9" y="2657"/>
                            <a:ext cx="4475" cy="20"/>
                          </a:xfrm>
                          <a:custGeom>
                            <a:avLst/>
                            <a:gdLst>
                              <a:gd name="T0" fmla="*/ 0 w 4475"/>
                              <a:gd name="T1" fmla="*/ 0 h 20"/>
                              <a:gd name="T2" fmla="*/ 4474 w 4475"/>
                              <a:gd name="T3" fmla="*/ 0 h 20"/>
                            </a:gdLst>
                            <a:ahLst/>
                            <a:cxnLst>
                              <a:cxn ang="0">
                                <a:pos x="T0" y="T1"/>
                              </a:cxn>
                              <a:cxn ang="0">
                                <a:pos x="T2" y="T3"/>
                              </a:cxn>
                            </a:cxnLst>
                            <a:rect l="0" t="0" r="r" b="b"/>
                            <a:pathLst>
                              <a:path w="4475" h="20">
                                <a:moveTo>
                                  <a:pt x="0" y="0"/>
                                </a:moveTo>
                                <a:lnTo>
                                  <a:pt x="4474" y="0"/>
                                </a:lnTo>
                              </a:path>
                            </a:pathLst>
                          </a:custGeom>
                          <a:noFill/>
                          <a:ln w="6096">
                            <a:solidFill>
                              <a:srgbClr val="000000"/>
                            </a:solidFill>
                            <a:round/>
                          </a:ln>
                        </wps:spPr>
                        <wps:bodyPr rot="0" vert="horz" wrap="square" lIns="91440" tIns="45720" rIns="91440" bIns="45720" anchor="t" anchorCtr="0" upright="1">
                          <a:noAutofit/>
                        </wps:bodyPr>
                      </wps:wsp>
                      <wps:wsp>
                        <wps:cNvPr id="18" name="任意多边形 24"/>
                        <wps:cNvSpPr/>
                        <wps:spPr bwMode="auto">
                          <a:xfrm>
                            <a:off x="4488"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5">
                            <a:solidFill>
                              <a:srgbClr val="000000"/>
                            </a:solidFill>
                            <a:round/>
                          </a:ln>
                        </wps:spPr>
                        <wps:bodyPr rot="0" vert="horz" wrap="square" lIns="91440" tIns="45720" rIns="91440" bIns="45720" anchor="t" anchorCtr="0" upright="1">
                          <a:noAutofit/>
                        </wps:bodyPr>
                      </wps:wsp>
                      <wps:wsp>
                        <wps:cNvPr id="19" name="任意多边形 25"/>
                        <wps:cNvSpPr/>
                        <wps:spPr bwMode="auto">
                          <a:xfrm>
                            <a:off x="4493" y="2657"/>
                            <a:ext cx="4477" cy="20"/>
                          </a:xfrm>
                          <a:custGeom>
                            <a:avLst/>
                            <a:gdLst>
                              <a:gd name="T0" fmla="*/ 0 w 4477"/>
                              <a:gd name="T1" fmla="*/ 0 h 20"/>
                              <a:gd name="T2" fmla="*/ 4476 w 4477"/>
                              <a:gd name="T3" fmla="*/ 0 h 20"/>
                            </a:gdLst>
                            <a:ahLst/>
                            <a:cxnLst>
                              <a:cxn ang="0">
                                <a:pos x="T0" y="T1"/>
                              </a:cxn>
                              <a:cxn ang="0">
                                <a:pos x="T2" y="T3"/>
                              </a:cxn>
                            </a:cxnLst>
                            <a:rect l="0" t="0" r="r" b="b"/>
                            <a:pathLst>
                              <a:path w="4477" h="20">
                                <a:moveTo>
                                  <a:pt x="0" y="0"/>
                                </a:moveTo>
                                <a:lnTo>
                                  <a:pt x="4476" y="0"/>
                                </a:lnTo>
                              </a:path>
                            </a:pathLst>
                          </a:custGeom>
                          <a:noFill/>
                          <a:ln w="6096">
                            <a:solidFill>
                              <a:srgbClr val="000000"/>
                            </a:solidFill>
                            <a:round/>
                          </a:ln>
                        </wps:spPr>
                        <wps:bodyPr rot="0" vert="horz" wrap="square" lIns="91440" tIns="45720" rIns="91440" bIns="45720" anchor="t" anchorCtr="0" upright="1">
                          <a:noAutofit/>
                        </wps:bodyPr>
                      </wps:wsp>
                      <wps:wsp>
                        <wps:cNvPr id="20" name="任意多边形 26"/>
                        <wps:cNvSpPr/>
                        <wps:spPr bwMode="auto">
                          <a:xfrm>
                            <a:off x="8975" y="4"/>
                            <a:ext cx="20" cy="2658"/>
                          </a:xfrm>
                          <a:custGeom>
                            <a:avLst/>
                            <a:gdLst>
                              <a:gd name="T0" fmla="*/ 0 w 20"/>
                              <a:gd name="T1" fmla="*/ 0 h 2658"/>
                              <a:gd name="T2" fmla="*/ 0 w 20"/>
                              <a:gd name="T3" fmla="*/ 2657 h 2658"/>
                            </a:gdLst>
                            <a:ahLst/>
                            <a:cxnLst>
                              <a:cxn ang="0">
                                <a:pos x="T0" y="T1"/>
                              </a:cxn>
                              <a:cxn ang="0">
                                <a:pos x="T2" y="T3"/>
                              </a:cxn>
                            </a:cxnLst>
                            <a:rect l="0" t="0" r="r" b="b"/>
                            <a:pathLst>
                              <a:path w="20" h="2658">
                                <a:moveTo>
                                  <a:pt x="0" y="0"/>
                                </a:moveTo>
                                <a:lnTo>
                                  <a:pt x="0" y="2657"/>
                                </a:lnTo>
                              </a:path>
                            </a:pathLst>
                          </a:custGeom>
                          <a:noFill/>
                          <a:ln w="6096">
                            <a:solidFill>
                              <a:srgbClr val="000000"/>
                            </a:solidFill>
                            <a:round/>
                          </a:ln>
                        </wps:spPr>
                        <wps:bodyPr rot="0" vert="horz" wrap="square" lIns="91440" tIns="45720" rIns="91440" bIns="45720" anchor="t" anchorCtr="0" upright="1">
                          <a:noAutofit/>
                        </wps:bodyPr>
                      </wps:wsp>
                      <wps:wsp>
                        <wps:cNvPr id="21" name="文本框 27"/>
                        <wps:cNvSpPr txBox="1">
                          <a:spLocks noChangeArrowheads="1"/>
                        </wps:cNvSpPr>
                        <wps:spPr bwMode="auto">
                          <a:xfrm>
                            <a:off x="5" y="10"/>
                            <a:ext cx="4485"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s:wsp>
                        <wps:cNvPr id="22" name="文本框 28"/>
                        <wps:cNvSpPr txBox="1">
                          <a:spLocks noChangeArrowheads="1"/>
                        </wps:cNvSpPr>
                        <wps:spPr bwMode="auto">
                          <a:xfrm>
                            <a:off x="4489" y="10"/>
                            <a:ext cx="4487" cy="2648"/>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19" o:spid="_x0000_s1026" o:spt="203" style="height:133.35pt;width:449.05pt;" coordsize="8981,2667" o:gfxdata="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">
                <o:lock v:ext="edit" aspectratio="f"/>
                <v:shape id="任意多边形 20" o:spid="_x0000_s1026" o:spt="100" style="position:absolute;left:9;top:9;height:20;width:4475;" filled="f" stroked="t" coordsize="4475,20" o:gfxdata="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XZTe7sAAADb&#10;AAAADwAAAAAAAAABACAAAAAiAAAAZHJzL2Rvd25yZXYueG1sUEsBAhQAFAAAAAgAh07iQDMvBZ47&#10;AAAAOQAAABAAAAAAAAAAAQAgAAAACgEAAGRycy9zaGFwZXhtbC54bWxQSwUGAAAAAAYABgBbAQAA&#10;tAMAAAAA&#10;" path="m0,0l4474,0e">
                  <v:path o:connectlocs="0,0;4474,0" o:connectangles="0,0"/>
                  <v:fill on="f" focussize="0,0"/>
                  <v:stroke weight="0.48pt" color="#000000" joinstyle="round"/>
                  <v:imagedata o:title=""/>
                  <o:lock v:ext="edit" aspectratio="f"/>
                </v:shape>
                <v:shape id="任意多边形 21" o:spid="_x0000_s1026" o:spt="100" style="position:absolute;left:4493;top:9;height:20;width:4477;" filled="f" stroked="t" coordsize="4477,20" o:gfxdata="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9svN7sAAADb&#10;AAAADwAAAAAAAAABACAAAAAiAAAAZHJzL2Rvd25yZXYueG1sUEsBAhQAFAAAAAgAh07iQDMvBZ47&#10;AAAAOQAAABAAAAAAAAAAAQAgAAAACgEAAGRycy9zaGFwZXhtbC54bWxQSwUGAAAAAAYABgBbAQAA&#10;tAMAAAAA&#10;" path="m0,0l4476,0e">
                  <v:path o:connectlocs="0,0;4476,0" o:connectangles="0,0"/>
                  <v:fill on="f" focussize="0,0"/>
                  <v:stroke weight="0.48pt" color="#000000" joinstyle="round"/>
                  <v:imagedata o:title=""/>
                  <o:lock v:ext="edit" aspectratio="f"/>
                </v:shape>
                <v:shape id="任意多边形 22" o:spid="_x0000_s1026" o:spt="100" style="position:absolute;left:4;top:4;height:2658;width:20;" filled="f" stroked="t" coordsize="20,2658" o:gfxdata="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xDaaCtwAAANsAAAAP&#10;AAAAAAAAAAEAIAAAACIAAABkcnMvZG93bnJldi54bWxQSwECFAAUAAAACACHTuJAMy8FnjsAAAA5&#10;AAAAEAAAAAAAAAABACAAAAAGAQAAZHJzL3NoYXBleG1sLnhtbFBLBQYAAAAABgAGAFsBAACwAwAA&#10;AAA=&#10;" path="m0,0l0,2657e">
                  <v:path o:connectlocs="0,0;0,2657" o:connectangles="0,0"/>
                  <v:fill on="f" focussize="0,0"/>
                  <v:stroke weight="0.48pt" color="#000000" joinstyle="round"/>
                  <v:imagedata o:title=""/>
                  <o:lock v:ext="edit" aspectratio="f"/>
                </v:shape>
                <v:shape id="任意多边形 23" o:spid="_x0000_s1026" o:spt="100" style="position:absolute;left:9;top:2657;height:20;width:4475;" filled="f" stroked="t" coordsize="4475,20" o:gfxdata="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6TVV4vQAA&#10;ANsAAAAPAAAAAAAAAAEAIAAAACIAAABkcnMvZG93bnJldi54bWxQSwECFAAUAAAACACHTuJAMy8F&#10;njsAAAA5AAAAEAAAAAAAAAABACAAAAAMAQAAZHJzL3NoYXBleG1sLnhtbFBLBQYAAAAABgAGAFsB&#10;AAC2AwAAAAA=&#10;" path="m0,0l4474,0e">
                  <v:path o:connectlocs="0,0;4474,0" o:connectangles="0,0"/>
                  <v:fill on="f" focussize="0,0"/>
                  <v:stroke weight="0.48pt" color="#000000" joinstyle="round"/>
                  <v:imagedata o:title=""/>
                  <o:lock v:ext="edit" aspectratio="f"/>
                </v:shape>
                <v:shape id="任意多边形 24" o:spid="_x0000_s1026" o:spt="100" style="position:absolute;left:4488;top:4;height:2658;width:20;" filled="f" stroked="t" coordsize="20,2658" o:gfxdata="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Yud0W8AAAA&#10;2wAAAA8AAAAAAAAAAQAgAAAAIgAAAGRycy9kb3ducmV2LnhtbFBLAQIUABQAAAAIAIdO4kAzLwWe&#10;OwAAADkAAAAQAAAAAAAAAAEAIAAAAAsBAABkcnMvc2hhcGV4bWwueG1sUEsFBgAAAAAGAAYAWwEA&#10;ALUDAAAAAA==&#10;" path="m0,0l0,2657e">
                  <v:path o:connectlocs="0,0;0,2657" o:connectangles="0,0"/>
                  <v:fill on="f" focussize="0,0"/>
                  <v:stroke weight="0.47992125984252pt" color="#000000" joinstyle="round"/>
                  <v:imagedata o:title=""/>
                  <o:lock v:ext="edit" aspectratio="f"/>
                </v:shape>
                <v:shape id="任意多边形 25" o:spid="_x0000_s1026" o:spt="100" style="position:absolute;left:4493;top:2657;height:20;width:4477;" filled="f" stroked="t" coordsize="4477,20" o:gfxdata="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aWJTK5AAAA2wAA&#10;AA8AAAAAAAAAAQAgAAAAIgAAAGRycy9kb3ducmV2LnhtbFBLAQIUABQAAAAIAIdO4kAzLwWeOwAA&#10;ADkAAAAQAAAAAAAAAAEAIAAAAAgBAABkcnMvc2hhcGV4bWwueG1sUEsFBgAAAAAGAAYAWwEAALID&#10;AAAAAA==&#10;" path="m0,0l4476,0e">
                  <v:path o:connectlocs="0,0;4476,0" o:connectangles="0,0"/>
                  <v:fill on="f" focussize="0,0"/>
                  <v:stroke weight="0.48pt" color="#000000" joinstyle="round"/>
                  <v:imagedata o:title=""/>
                  <o:lock v:ext="edit" aspectratio="f"/>
                </v:shape>
                <v:shape id="任意多边形 26" o:spid="_x0000_s1026" o:spt="100" style="position:absolute;left:8975;top:4;height:2658;width:20;" filled="f" stroked="t" coordsize="20,2658" o:gfxdata="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F/EUdC2AAAA2wAAAA8A&#10;AAAAAAAAAQAgAAAAIgAAAGRycy9kb3ducmV2LnhtbFBLAQIUABQAAAAIAIdO4kAzLwWeOwAAADkA&#10;AAAQAAAAAAAAAAEAIAAAAAUBAABkcnMvc2hhcGV4bWwueG1sUEsFBgAAAAAGAAYAWwEAAK8DAAAA&#10;AA==&#10;" path="m0,0l0,2657e">
                  <v:path o:connectlocs="0,0;0,2657" o:connectangles="0,0"/>
                  <v:fill on="f" focussize="0,0"/>
                  <v:stroke weight="0.48pt" color="#000000" joinstyle="round"/>
                  <v:imagedata o:title=""/>
                  <o:lock v:ext="edit" aspectratio="f"/>
                </v:shape>
                <v:shape id="文本框 27" o:spid="_x0000_s1026" o:spt="202" type="#_x0000_t202" style="position:absolute;left:5;top:10;height:2648;width:4485;" filled="f" stroked="f" coordsize="21600,21600" o:gfxdata="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yqenr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（正</w:t>
                        </w:r>
                        <w:r>
                          <w:rPr>
                            <w:rFonts w:hint="eastAsia"/>
                            <w:spacing w:val="-3"/>
                            <w:sz w:val="21"/>
                            <w:szCs w:val="21"/>
                          </w:rPr>
                          <w:t>面）</w:t>
                        </w:r>
                        <w:r>
                          <w:rPr>
                            <w:sz w:val="21"/>
                            <w:szCs w:val="21"/>
                          </w:rPr>
                          <w:t xml:space="preserve"> </w:t>
                        </w:r>
                      </w:p>
                    </w:txbxContent>
                  </v:textbox>
                </v:shape>
                <v:shape id="文本框 28" o:spid="_x0000_s1026" o:spt="202" type="#_x0000_t202" style="position:absolute;left:4489;top:10;height:2648;width:4487;" filled="f" stroked="f" coordsize="21600,21600" o:gfxdata="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ADpvQAA&#10;ANs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5"/>
                          <w:ind w:left="424"/>
                          <w:rPr>
                            <w:sz w:val="21"/>
                            <w:szCs w:val="21"/>
                          </w:rPr>
                        </w:pPr>
                        <w:r>
                          <w:rPr>
                            <w:rFonts w:hint="eastAsia"/>
                            <w:sz w:val="21"/>
                            <w:szCs w:val="21"/>
                          </w:rPr>
                          <w:t>法定</w:t>
                        </w:r>
                        <w:r>
                          <w:rPr>
                            <w:rFonts w:hint="eastAsia"/>
                            <w:spacing w:val="-3"/>
                            <w:sz w:val="21"/>
                            <w:szCs w:val="21"/>
                          </w:rPr>
                          <w:t>代</w:t>
                        </w:r>
                        <w:r>
                          <w:rPr>
                            <w:rFonts w:hint="eastAsia"/>
                            <w:sz w:val="21"/>
                            <w:szCs w:val="21"/>
                          </w:rPr>
                          <w:t>表</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复</w:t>
                        </w:r>
                        <w:r>
                          <w:rPr>
                            <w:rFonts w:hint="eastAsia"/>
                            <w:sz w:val="21"/>
                            <w:szCs w:val="21"/>
                          </w:rPr>
                          <w:t>印</w:t>
                        </w:r>
                        <w:r>
                          <w:rPr>
                            <w:rFonts w:hint="eastAsia"/>
                            <w:spacing w:val="-3"/>
                            <w:sz w:val="21"/>
                            <w:szCs w:val="21"/>
                          </w:rPr>
                          <w:t>件</w:t>
                        </w:r>
                        <w:r>
                          <w:rPr>
                            <w:rFonts w:hint="eastAsia"/>
                            <w:sz w:val="21"/>
                            <w:szCs w:val="21"/>
                          </w:rPr>
                          <w:t>（反</w:t>
                        </w:r>
                        <w:r>
                          <w:rPr>
                            <w:rFonts w:hint="eastAsia"/>
                            <w:spacing w:val="-3"/>
                            <w:sz w:val="21"/>
                            <w:szCs w:val="21"/>
                          </w:rPr>
                          <w:t>面）</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70" w:lineRule="exact"/>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pPr>
      <w:r>
        <w:rPr>
          <w:rFonts w:ascii="Times New Roman" w:hAnsi="Times New Roman" w:eastAsia="宋体" w:cs="Times New Roman"/>
          <w:color w:val="000000" w:themeColor="text1"/>
          <w:kern w:val="0"/>
          <w:position w:val="-56"/>
          <w:szCs w:val="21"/>
          <w14:textFill>
            <w14:solidFill>
              <w14:schemeClr w14:val="tx1"/>
            </w14:solidFill>
          </w14:textFill>
        </w:rPr>
        <mc:AlternateContent>
          <mc:Choice Requires="wpg">
            <w:drawing>
              <wp:inline distT="0" distB="0" distL="0" distR="0">
                <wp:extent cx="5711825" cy="1784985"/>
                <wp:effectExtent l="1905" t="0" r="1270" b="6985"/>
                <wp:docPr id="23" name="组合 29"/>
                <wp:cNvGraphicFramePr/>
                <a:graphic xmlns:a="http://schemas.openxmlformats.org/drawingml/2006/main">
                  <a:graphicData uri="http://schemas.microsoft.com/office/word/2010/wordprocessingGroup">
                    <wpg:wgp>
                      <wpg:cNvGrpSpPr/>
                      <wpg:grpSpPr>
                        <a:xfrm>
                          <a:off x="0" y="0"/>
                          <a:ext cx="5711825" cy="1784985"/>
                          <a:chOff x="0" y="0"/>
                          <a:chExt cx="8995" cy="2811"/>
                        </a:xfrm>
                      </wpg:grpSpPr>
                      <wps:wsp>
                        <wps:cNvPr id="1" name="任意多边形 30"/>
                        <wps:cNvSpPr/>
                        <wps:spPr bwMode="auto">
                          <a:xfrm>
                            <a:off x="9" y="9"/>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25" name="任意多边形 31"/>
                        <wps:cNvSpPr/>
                        <wps:spPr bwMode="auto">
                          <a:xfrm>
                            <a:off x="4500" y="9"/>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26" name="任意多边形 32"/>
                        <wps:cNvSpPr/>
                        <wps:spPr bwMode="auto">
                          <a:xfrm>
                            <a:off x="4"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6" name="任意多边形 33"/>
                        <wps:cNvSpPr/>
                        <wps:spPr bwMode="auto">
                          <a:xfrm>
                            <a:off x="9" y="2801"/>
                            <a:ext cx="4482" cy="20"/>
                          </a:xfrm>
                          <a:custGeom>
                            <a:avLst/>
                            <a:gdLst>
                              <a:gd name="T0" fmla="*/ 0 w 4482"/>
                              <a:gd name="T1" fmla="*/ 0 h 20"/>
                              <a:gd name="T2" fmla="*/ 4481 w 4482"/>
                              <a:gd name="T3" fmla="*/ 0 h 20"/>
                            </a:gdLst>
                            <a:ahLst/>
                            <a:cxnLst>
                              <a:cxn ang="0">
                                <a:pos x="T0" y="T1"/>
                              </a:cxn>
                              <a:cxn ang="0">
                                <a:pos x="T2" y="T3"/>
                              </a:cxn>
                            </a:cxnLst>
                            <a:rect l="0" t="0" r="r" b="b"/>
                            <a:pathLst>
                              <a:path w="4482" h="20">
                                <a:moveTo>
                                  <a:pt x="0" y="0"/>
                                </a:moveTo>
                                <a:lnTo>
                                  <a:pt x="4481" y="0"/>
                                </a:lnTo>
                              </a:path>
                            </a:pathLst>
                          </a:custGeom>
                          <a:noFill/>
                          <a:ln w="6095">
                            <a:solidFill>
                              <a:srgbClr val="000000"/>
                            </a:solidFill>
                            <a:round/>
                          </a:ln>
                        </wps:spPr>
                        <wps:bodyPr rot="0" vert="horz" wrap="square" lIns="91440" tIns="45720" rIns="91440" bIns="45720" anchor="t" anchorCtr="0" upright="1">
                          <a:noAutofit/>
                        </wps:bodyPr>
                      </wps:wsp>
                      <wps:wsp>
                        <wps:cNvPr id="7" name="任意多边形 34"/>
                        <wps:cNvSpPr/>
                        <wps:spPr bwMode="auto">
                          <a:xfrm>
                            <a:off x="4496"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6">
                            <a:solidFill>
                              <a:srgbClr val="000000"/>
                            </a:solidFill>
                            <a:round/>
                          </a:ln>
                        </wps:spPr>
                        <wps:bodyPr rot="0" vert="horz" wrap="square" lIns="91440" tIns="45720" rIns="91440" bIns="45720" anchor="t" anchorCtr="0" upright="1">
                          <a:noAutofit/>
                        </wps:bodyPr>
                      </wps:wsp>
                      <wps:wsp>
                        <wps:cNvPr id="8" name="任意多边形 35"/>
                        <wps:cNvSpPr/>
                        <wps:spPr bwMode="auto">
                          <a:xfrm>
                            <a:off x="4500" y="2801"/>
                            <a:ext cx="4485" cy="20"/>
                          </a:xfrm>
                          <a:custGeom>
                            <a:avLst/>
                            <a:gdLst>
                              <a:gd name="T0" fmla="*/ 0 w 4485"/>
                              <a:gd name="T1" fmla="*/ 0 h 20"/>
                              <a:gd name="T2" fmla="*/ 4484 w 4485"/>
                              <a:gd name="T3" fmla="*/ 0 h 20"/>
                            </a:gdLst>
                            <a:ahLst/>
                            <a:cxnLst>
                              <a:cxn ang="0">
                                <a:pos x="T0" y="T1"/>
                              </a:cxn>
                              <a:cxn ang="0">
                                <a:pos x="T2" y="T3"/>
                              </a:cxn>
                            </a:cxnLst>
                            <a:rect l="0" t="0" r="r" b="b"/>
                            <a:pathLst>
                              <a:path w="4485" h="20">
                                <a:moveTo>
                                  <a:pt x="0" y="0"/>
                                </a:moveTo>
                                <a:lnTo>
                                  <a:pt x="4484" y="0"/>
                                </a:lnTo>
                              </a:path>
                            </a:pathLst>
                          </a:custGeom>
                          <a:noFill/>
                          <a:ln w="6095">
                            <a:solidFill>
                              <a:srgbClr val="000000"/>
                            </a:solidFill>
                            <a:round/>
                          </a:ln>
                        </wps:spPr>
                        <wps:bodyPr rot="0" vert="horz" wrap="square" lIns="91440" tIns="45720" rIns="91440" bIns="45720" anchor="t" anchorCtr="0" upright="1">
                          <a:noAutofit/>
                        </wps:bodyPr>
                      </wps:wsp>
                      <wps:wsp>
                        <wps:cNvPr id="9" name="任意多边形 36"/>
                        <wps:cNvSpPr/>
                        <wps:spPr bwMode="auto">
                          <a:xfrm>
                            <a:off x="8989" y="4"/>
                            <a:ext cx="20" cy="2802"/>
                          </a:xfrm>
                          <a:custGeom>
                            <a:avLst/>
                            <a:gdLst>
                              <a:gd name="T0" fmla="*/ 0 w 20"/>
                              <a:gd name="T1" fmla="*/ 0 h 2802"/>
                              <a:gd name="T2" fmla="*/ 0 w 20"/>
                              <a:gd name="T3" fmla="*/ 2801 h 2802"/>
                            </a:gdLst>
                            <a:ahLst/>
                            <a:cxnLst>
                              <a:cxn ang="0">
                                <a:pos x="T0" y="T1"/>
                              </a:cxn>
                              <a:cxn ang="0">
                                <a:pos x="T2" y="T3"/>
                              </a:cxn>
                            </a:cxnLst>
                            <a:rect l="0" t="0" r="r" b="b"/>
                            <a:pathLst>
                              <a:path w="20" h="2802">
                                <a:moveTo>
                                  <a:pt x="0" y="0"/>
                                </a:moveTo>
                                <a:lnTo>
                                  <a:pt x="0" y="2801"/>
                                </a:lnTo>
                              </a:path>
                            </a:pathLst>
                          </a:custGeom>
                          <a:noFill/>
                          <a:ln w="6095">
                            <a:solidFill>
                              <a:srgbClr val="000000"/>
                            </a:solidFill>
                            <a:round/>
                          </a:ln>
                        </wps:spPr>
                        <wps:bodyPr rot="0" vert="horz" wrap="square" lIns="91440" tIns="45720" rIns="91440" bIns="45720" anchor="t" anchorCtr="0" upright="1">
                          <a:noAutofit/>
                        </wps:bodyPr>
                      </wps:wsp>
                      <wps:wsp>
                        <wps:cNvPr id="10" name="文本框 37"/>
                        <wps:cNvSpPr txBox="1">
                          <a:spLocks noChangeArrowheads="1"/>
                        </wps:cNvSpPr>
                        <wps:spPr bwMode="auto">
                          <a:xfrm>
                            <a:off x="5" y="10"/>
                            <a:ext cx="4492"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s:wsp>
                        <wps:cNvPr id="11" name="文本框 38"/>
                        <wps:cNvSpPr txBox="1">
                          <a:spLocks noChangeArrowheads="1"/>
                        </wps:cNvSpPr>
                        <wps:spPr bwMode="auto">
                          <a:xfrm>
                            <a:off x="4496" y="10"/>
                            <a:ext cx="4494" cy="2792"/>
                          </a:xfrm>
                          <a:prstGeom prst="rect">
                            <a:avLst/>
                          </a:prstGeom>
                          <a:noFill/>
                          <a:ln>
                            <a:noFill/>
                          </a:ln>
                        </wps:spPr>
                        <wps:txbx>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wps:txbx>
                        <wps:bodyPr rot="0" vert="horz" wrap="square" lIns="0" tIns="0" rIns="0" bIns="0" anchor="t" anchorCtr="0" upright="1">
                          <a:noAutofit/>
                        </wps:bodyPr>
                      </wps:wsp>
                    </wpg:wgp>
                  </a:graphicData>
                </a:graphic>
              </wp:inline>
            </w:drawing>
          </mc:Choice>
          <mc:Fallback>
            <w:pict>
              <v:group id="组合 29" o:spid="_x0000_s1026" o:spt="203" style="height:140.55pt;width:449.75pt;" coordsize="8995,2811" o:gfxdata="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MFCVi1gAAAAUBAAAPAAAA&#10;AAAAAAEAIAAAACIAAABkcnMvZG93bnJldi54bWxQSwECFAAUAAAACACHTuJApGmiX/wEAACvIgAA&#10;DgAAAAAAAAABACAAAAAlAQAAZHJzL2Uyb0RvYy54bWxQSwUGAAAAAAYABgBZAQAAkwgAAAAA&#10;">
                <o:lock v:ext="edit" aspectratio="f"/>
                <v:shape id="任意多边形 30" o:spid="_x0000_s1026" o:spt="100" style="position:absolute;left:9;top:9;height:20;width:4482;" filled="f" stroked="t" coordsize="4482,20" o:gfxdata="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r7DQugAAANoA&#10;AAAPAAAAAAAAAAEAIAAAACIAAABkcnMvZG93bnJldi54bWxQSwECFAAUAAAACACHTuJAMy8FnjsA&#10;AAA5AAAAEAAAAAAAAAABACAAAAAJAQAAZHJzL3NoYXBleG1sLnhtbFBLBQYAAAAABgAGAFsBAACz&#10;AwAAAAA=&#10;" path="m0,0l4481,0e">
                  <v:path o:connectlocs="0,0;4481,0" o:connectangles="0,0"/>
                  <v:fill on="f" focussize="0,0"/>
                  <v:stroke weight="0.47992125984252pt" color="#000000" joinstyle="round"/>
                  <v:imagedata o:title=""/>
                  <o:lock v:ext="edit" aspectratio="f"/>
                </v:shape>
                <v:shape id="任意多边形 31" o:spid="_x0000_s1026" o:spt="100" style="position:absolute;left:4500;top:9;height:20;width:4485;" filled="f" stroked="t" coordsize="4485,20" o:gfxdata="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XiWc74A&#10;AADbAAAADwAAAAAAAAABACAAAAAiAAAAZHJzL2Rvd25yZXYueG1sUEsBAhQAFAAAAAgAh07iQDMv&#10;BZ47AAAAOQAAABAAAAAAAAAAAQAgAAAADQEAAGRycy9zaGFwZXhtbC54bWxQSwUGAAAAAAYABgBb&#10;AQAAtwMAAAAA&#10;" path="m0,0l4484,0e">
                  <v:path o:connectlocs="0,0;4484,0" o:connectangles="0,0"/>
                  <v:fill on="f" focussize="0,0"/>
                  <v:stroke weight="0.47992125984252pt" color="#000000" joinstyle="round"/>
                  <v:imagedata o:title=""/>
                  <o:lock v:ext="edit" aspectratio="f"/>
                </v:shape>
                <v:shape id="任意多边形 32" o:spid="_x0000_s1026" o:spt="100" style="position:absolute;left:4;top:4;height:2802;width:20;" filled="f" stroked="t" coordsize="20,2802" o:gfxdata="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4Y0K74A&#10;AADbAAAADwAAAAAAAAABACAAAAAiAAAAZHJzL2Rvd25yZXYueG1sUEsBAhQAFAAAAAgAh07iQDMv&#10;BZ47AAAAOQAAABAAAAAAAAAAAQAgAAAADQEAAGRycy9zaGFwZXhtbC54bWxQSwUGAAAAAAYABgBb&#10;AQAAtwMAAAAA&#10;" path="m0,0l0,2801e">
                  <v:path o:connectlocs="0,0;0,2801" o:connectangles="0,0"/>
                  <v:fill on="f" focussize="0,0"/>
                  <v:stroke weight="0.48pt" color="#000000" joinstyle="round"/>
                  <v:imagedata o:title=""/>
                  <o:lock v:ext="edit" aspectratio="f"/>
                </v:shape>
                <v:shape id="任意多边形 33" o:spid="_x0000_s1026" o:spt="100" style="position:absolute;left:9;top:2801;height:20;width:4482;" filled="f" stroked="t" coordsize="4482,20" o:gfxdata="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xGKKS8AAAA&#10;2gAAAA8AAAAAAAAAAQAgAAAAIgAAAGRycy9kb3ducmV2LnhtbFBLAQIUABQAAAAIAIdO4kAzLwWe&#10;OwAAADkAAAAQAAAAAAAAAAEAIAAAAAsBAABkcnMvc2hhcGV4bWwueG1sUEsFBgAAAAAGAAYAWwEA&#10;ALUDAAAAAA==&#10;" path="m0,0l4481,0e">
                  <v:path o:connectlocs="0,0;4481,0" o:connectangles="0,0"/>
                  <v:fill on="f" focussize="0,0"/>
                  <v:stroke weight="0.47992125984252pt" color="#000000" joinstyle="round"/>
                  <v:imagedata o:title=""/>
                  <o:lock v:ext="edit" aspectratio="f"/>
                </v:shape>
                <v:shape id="任意多边形 34" o:spid="_x0000_s1026" o:spt="100" style="position:absolute;left:4496;top:4;height:2802;width:20;" filled="f" stroked="t" coordsize="20,2802" o:gfxdata="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qbDvQAA&#10;ANoAAAAPAAAAAAAAAAEAIAAAACIAAABkcnMvZG93bnJldi54bWxQSwECFAAUAAAACACHTuJAMy8F&#10;njsAAAA5AAAAEAAAAAAAAAABACAAAAAMAQAAZHJzL3NoYXBleG1sLnhtbFBLBQYAAAAABgAGAFsB&#10;AAC2AwAAAAA=&#10;" path="m0,0l0,2801e">
                  <v:path o:connectlocs="0,0;0,2801" o:connectangles="0,0"/>
                  <v:fill on="f" focussize="0,0"/>
                  <v:stroke weight="0.48pt" color="#000000" joinstyle="round"/>
                  <v:imagedata o:title=""/>
                  <o:lock v:ext="edit" aspectratio="f"/>
                </v:shape>
                <v:shape id="任意多边形 35" o:spid="_x0000_s1026" o:spt="100" style="position:absolute;left:4500;top:2801;height:20;width:4485;" filled="f" stroked="t" coordsize="4485,20" o:gfxdata="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yXGLiugAAANoA&#10;AAAPAAAAAAAAAAEAIAAAACIAAABkcnMvZG93bnJldi54bWxQSwECFAAUAAAACACHTuJAMy8FnjsA&#10;AAA5AAAAEAAAAAAAAAABACAAAAAJAQAAZHJzL3NoYXBleG1sLnhtbFBLBQYAAAAABgAGAFsBAACz&#10;AwAAAAA=&#10;" path="m0,0l4484,0e">
                  <v:path o:connectlocs="0,0;4484,0" o:connectangles="0,0"/>
                  <v:fill on="f" focussize="0,0"/>
                  <v:stroke weight="0.47992125984252pt" color="#000000" joinstyle="round"/>
                  <v:imagedata o:title=""/>
                  <o:lock v:ext="edit" aspectratio="f"/>
                </v:shape>
                <v:shape id="任意多边形 36" o:spid="_x0000_s1026" o:spt="100" style="position:absolute;left:8989;top:4;height:2802;width:20;" filled="f" stroked="t" coordsize="20,2802" o:gfxdata="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m49vQAA&#10;ANoAAAAPAAAAAAAAAAEAIAAAACIAAABkcnMvZG93bnJldi54bWxQSwECFAAUAAAACACHTuJAMy8F&#10;njsAAAA5AAAAEAAAAAAAAAABACAAAAAMAQAAZHJzL3NoYXBleG1sLnhtbFBLBQYAAAAABgAGAFsB&#10;AAC2AwAAAAA=&#10;" path="m0,0l0,2801e">
                  <v:path o:connectlocs="0,0;0,2801" o:connectangles="0,0"/>
                  <v:fill on="f" focussize="0,0"/>
                  <v:stroke weight="0.47992125984252pt" color="#000000" joinstyle="round"/>
                  <v:imagedata o:title=""/>
                  <o:lock v:ext="edit" aspectratio="f"/>
                </v:shape>
                <v:shape id="文本框 37" o:spid="_x0000_s1026" o:spt="202" type="#_x0000_t202" style="position:absolute;left:5;top:10;height:2792;width:4492;" filled="f" stroked="f" coordsize="21600,21600" o:gfxdata="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grxuL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正</w:t>
                        </w:r>
                        <w:r>
                          <w:rPr>
                            <w:rFonts w:hint="eastAsia"/>
                            <w:spacing w:val="-3"/>
                            <w:sz w:val="21"/>
                            <w:szCs w:val="21"/>
                          </w:rPr>
                          <w:t>面</w:t>
                        </w:r>
                        <w:r>
                          <w:rPr>
                            <w:rFonts w:hint="eastAsia"/>
                            <w:sz w:val="21"/>
                            <w:szCs w:val="21"/>
                          </w:rPr>
                          <w:t>）</w:t>
                        </w:r>
                        <w:r>
                          <w:rPr>
                            <w:sz w:val="21"/>
                            <w:szCs w:val="21"/>
                          </w:rPr>
                          <w:t xml:space="preserve"> </w:t>
                        </w:r>
                      </w:p>
                    </w:txbxContent>
                  </v:textbox>
                </v:shape>
                <v:shape id="文本框 38" o:spid="_x0000_s1026" o:spt="202" type="#_x0000_t202" style="position:absolute;left:4496;top:10;height:2792;width:4494;" filled="f" stroked="f" coordsize="21600,21600" o:gfxdata="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UZUI7sAAADb&#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pStyle w:val="7"/>
                          <w:kinsoku w:val="0"/>
                          <w:overflowPunct w:val="0"/>
                          <w:spacing w:before="0" w:line="235" w:lineRule="exact"/>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9"/>
                          <w:ind w:left="405"/>
                          <w:rPr>
                            <w:sz w:val="20"/>
                            <w:szCs w:val="20"/>
                          </w:rPr>
                        </w:pPr>
                        <w:r>
                          <w:rPr>
                            <w:w w:val="99"/>
                            <w:sz w:val="20"/>
                            <w:szCs w:val="20"/>
                          </w:rPr>
                          <w:t xml:space="preserve"> </w:t>
                        </w:r>
                      </w:p>
                      <w:p>
                        <w:pPr>
                          <w:pStyle w:val="7"/>
                          <w:kinsoku w:val="0"/>
                          <w:overflowPunct w:val="0"/>
                          <w:spacing w:before="127"/>
                          <w:ind w:left="405"/>
                          <w:rPr>
                            <w:sz w:val="20"/>
                            <w:szCs w:val="20"/>
                          </w:rPr>
                        </w:pPr>
                        <w:r>
                          <w:rPr>
                            <w:w w:val="99"/>
                            <w:sz w:val="20"/>
                            <w:szCs w:val="20"/>
                          </w:rPr>
                          <w:t xml:space="preserve"> </w:t>
                        </w:r>
                      </w:p>
                      <w:p>
                        <w:pPr>
                          <w:pStyle w:val="7"/>
                          <w:kinsoku w:val="0"/>
                          <w:overflowPunct w:val="0"/>
                          <w:spacing w:before="126"/>
                          <w:ind w:left="364"/>
                          <w:rPr>
                            <w:sz w:val="18"/>
                            <w:szCs w:val="18"/>
                          </w:rPr>
                        </w:pPr>
                        <w:r>
                          <w:rPr>
                            <w:sz w:val="18"/>
                            <w:szCs w:val="18"/>
                          </w:rPr>
                          <w:t xml:space="preserve"> </w:t>
                        </w:r>
                      </w:p>
                      <w:p>
                        <w:pPr>
                          <w:pStyle w:val="7"/>
                          <w:kinsoku w:val="0"/>
                          <w:overflowPunct w:val="0"/>
                          <w:spacing w:before="113"/>
                          <w:ind w:left="424"/>
                          <w:rPr>
                            <w:sz w:val="21"/>
                            <w:szCs w:val="21"/>
                          </w:rPr>
                        </w:pPr>
                        <w:r>
                          <w:rPr>
                            <w:rFonts w:hint="eastAsia"/>
                            <w:sz w:val="21"/>
                            <w:szCs w:val="21"/>
                          </w:rPr>
                          <w:t>授权</w:t>
                        </w:r>
                        <w:r>
                          <w:rPr>
                            <w:rFonts w:hint="eastAsia"/>
                            <w:spacing w:val="-3"/>
                            <w:sz w:val="21"/>
                            <w:szCs w:val="21"/>
                          </w:rPr>
                          <w:t>委</w:t>
                        </w:r>
                        <w:r>
                          <w:rPr>
                            <w:rFonts w:hint="eastAsia"/>
                            <w:sz w:val="21"/>
                            <w:szCs w:val="21"/>
                          </w:rPr>
                          <w:t>托</w:t>
                        </w:r>
                        <w:r>
                          <w:rPr>
                            <w:rFonts w:hint="eastAsia"/>
                            <w:spacing w:val="-3"/>
                            <w:sz w:val="21"/>
                            <w:szCs w:val="21"/>
                          </w:rPr>
                          <w:t>人</w:t>
                        </w:r>
                        <w:r>
                          <w:rPr>
                            <w:rFonts w:hint="eastAsia"/>
                            <w:sz w:val="21"/>
                            <w:szCs w:val="21"/>
                          </w:rPr>
                          <w:t>身</w:t>
                        </w:r>
                        <w:r>
                          <w:rPr>
                            <w:rFonts w:hint="eastAsia"/>
                            <w:spacing w:val="-3"/>
                            <w:sz w:val="21"/>
                            <w:szCs w:val="21"/>
                          </w:rPr>
                          <w:t>份</w:t>
                        </w:r>
                        <w:r>
                          <w:rPr>
                            <w:rFonts w:hint="eastAsia"/>
                            <w:sz w:val="21"/>
                            <w:szCs w:val="21"/>
                          </w:rPr>
                          <w:t>证</w:t>
                        </w:r>
                        <w:r>
                          <w:rPr>
                            <w:rFonts w:hint="eastAsia"/>
                            <w:spacing w:val="-3"/>
                            <w:sz w:val="21"/>
                            <w:szCs w:val="21"/>
                          </w:rPr>
                          <w:t>（</w:t>
                        </w:r>
                        <w:r>
                          <w:rPr>
                            <w:rFonts w:hint="eastAsia"/>
                            <w:sz w:val="21"/>
                            <w:szCs w:val="21"/>
                          </w:rPr>
                          <w:t>反</w:t>
                        </w:r>
                        <w:r>
                          <w:rPr>
                            <w:rFonts w:hint="eastAsia"/>
                            <w:spacing w:val="-3"/>
                            <w:sz w:val="21"/>
                            <w:szCs w:val="21"/>
                          </w:rPr>
                          <w:t>面</w:t>
                        </w:r>
                        <w:r>
                          <w:rPr>
                            <w:rFonts w:hint="eastAsia"/>
                            <w:sz w:val="21"/>
                            <w:szCs w:val="21"/>
                          </w:rPr>
                          <w:t>）</w:t>
                        </w:r>
                        <w:r>
                          <w:rPr>
                            <w:sz w:val="21"/>
                            <w:szCs w:val="21"/>
                          </w:rPr>
                          <w:t xml:space="preserve"> </w:t>
                        </w:r>
                      </w:p>
                    </w:txbxContent>
                  </v:textbox>
                </v:shape>
                <w10:wrap type="none"/>
                <w10:anchorlock/>
              </v:group>
            </w:pict>
          </mc:Fallback>
        </mc:AlternateContent>
      </w:r>
    </w:p>
    <w:p>
      <w:pPr>
        <w:kinsoku w:val="0"/>
        <w:overflowPunct w:val="0"/>
        <w:autoSpaceDE w:val="0"/>
        <w:autoSpaceDN w:val="0"/>
        <w:adjustRightInd w:val="0"/>
        <w:spacing w:line="2811" w:lineRule="exact"/>
        <w:ind w:left="707"/>
        <w:jc w:val="left"/>
        <w:rPr>
          <w:rFonts w:ascii="Times New Roman" w:hAnsi="Times New Roman" w:eastAsia="宋体" w:cs="Times New Roman"/>
          <w:color w:val="000000" w:themeColor="text1"/>
          <w:kern w:val="0"/>
          <w:position w:val="-56"/>
          <w:szCs w:val="21"/>
          <w14:textFill>
            <w14:solidFill>
              <w14:schemeClr w14:val="tx1"/>
            </w14:solidFill>
          </w14:textFill>
        </w:rPr>
        <w:sectPr>
          <w:pgSz w:w="11920" w:h="16850"/>
          <w:pgMar w:top="1380" w:right="1000" w:bottom="1240" w:left="1100" w:header="0" w:footer="1054" w:gutter="0"/>
          <w:pgNumType w:fmt="numberInDash"/>
          <w:cols w:space="720" w:num="1"/>
        </w:sectPr>
      </w:pPr>
    </w:p>
    <w:p>
      <w:pPr>
        <w:kinsoku w:val="0"/>
        <w:overflowPunct w:val="0"/>
        <w:autoSpaceDE w:val="0"/>
        <w:autoSpaceDN w:val="0"/>
        <w:adjustRightInd w:val="0"/>
        <w:spacing w:before="14"/>
        <w:ind w:right="542"/>
        <w:jc w:val="center"/>
        <w:outlineLvl w:val="0"/>
        <w:rPr>
          <w:rFonts w:ascii="宋体" w:hAnsi="Times New Roman" w:eastAsia="宋体" w:cs="宋体"/>
          <w:color w:val="000000" w:themeColor="text1"/>
          <w:spacing w:val="-4"/>
          <w:kern w:val="0"/>
          <w:sz w:val="28"/>
          <w:szCs w:val="28"/>
          <w14:textFill>
            <w14:solidFill>
              <w14:schemeClr w14:val="tx1"/>
            </w14:solidFill>
          </w14:textFill>
        </w:rPr>
      </w:pPr>
      <w:bookmarkStart w:id="204" w:name="_Toc23216"/>
      <w:bookmarkStart w:id="205" w:name="_Toc27935"/>
      <w:bookmarkStart w:id="206" w:name="_Toc8215"/>
      <w:bookmarkStart w:id="207" w:name="_Toc88447542"/>
      <w:bookmarkStart w:id="208" w:name="_Toc16859"/>
      <w:r>
        <w:rPr>
          <w:rFonts w:hint="eastAsia" w:ascii="宋体" w:hAnsi="Times New Roman" w:eastAsia="宋体" w:cs="宋体"/>
          <w:color w:val="000000" w:themeColor="text1"/>
          <w:kern w:val="0"/>
          <w:sz w:val="28"/>
          <w:szCs w:val="28"/>
          <w14:textFill>
            <w14:solidFill>
              <w14:schemeClr w14:val="tx1"/>
            </w14:solidFill>
          </w14:textFill>
        </w:rPr>
        <w:t>三、投标函及投标函附录</w:t>
      </w:r>
      <w:bookmarkEnd w:id="204"/>
      <w:bookmarkEnd w:id="205"/>
      <w:bookmarkEnd w:id="206"/>
      <w:bookmarkEnd w:id="207"/>
      <w:bookmarkEnd w:id="208"/>
      <w:r>
        <w:rPr>
          <w:rFonts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spacing w:before="120" w:beforeLines="50" w:after="120" w:afterLines="50" w:line="378" w:lineRule="exact"/>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09" w:name="_Toc1959"/>
      <w:bookmarkStart w:id="210" w:name="_Toc12545"/>
      <w:bookmarkStart w:id="211" w:name="_Toc367"/>
      <w:r>
        <w:rPr>
          <w:rFonts w:ascii="Times New Roman" w:hAnsi="Times New Roman" w:eastAsia="宋体" w:cs="Times New Roman"/>
          <w:color w:val="000000" w:themeColor="text1"/>
          <w:kern w:val="0"/>
          <w:sz w:val="24"/>
          <w:szCs w:val="24"/>
          <w14:textFill>
            <w14:solidFill>
              <w14:schemeClr w14:val="tx1"/>
            </w14:solidFill>
          </w14:textFill>
        </w:rPr>
        <w:t>3.1</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标</w:t>
      </w:r>
      <w:r>
        <w:rPr>
          <w:rFonts w:ascii="Times New Roman" w:hAnsi="Times New Roman" w:eastAsia="宋体" w:cs="Times New Roman"/>
          <w:color w:val="000000" w:themeColor="text1"/>
          <w:kern w:val="0"/>
          <w:sz w:val="24"/>
          <w:szCs w:val="24"/>
          <w14:textFill>
            <w14:solidFill>
              <w14:schemeClr w14:val="tx1"/>
            </w14:solidFill>
          </w14:textFill>
        </w:rPr>
        <w:t xml:space="preserve"> </w:t>
      </w:r>
      <w:r>
        <w:rPr>
          <w:rFonts w:hint="eastAsia" w:ascii="Times New Roman" w:hAnsi="Times New Roman" w:eastAsia="宋体" w:cs="Times New Roman"/>
          <w:color w:val="000000" w:themeColor="text1"/>
          <w:kern w:val="0"/>
          <w:sz w:val="24"/>
          <w:szCs w:val="24"/>
          <w14:textFill>
            <w14:solidFill>
              <w14:schemeClr w14:val="tx1"/>
            </w14:solidFill>
          </w14:textFill>
        </w:rPr>
        <w:t>函</w:t>
      </w:r>
      <w:bookmarkEnd w:id="209"/>
      <w:bookmarkEnd w:id="210"/>
      <w:bookmarkEnd w:id="211"/>
    </w:p>
    <w:p>
      <w:pPr>
        <w:tabs>
          <w:tab w:val="left" w:pos="1871"/>
        </w:tabs>
        <w:kinsoku w:val="0"/>
        <w:overflowPunct w:val="0"/>
        <w:autoSpaceDE w:val="0"/>
        <w:autoSpaceDN w:val="0"/>
        <w:adjustRightInd w:val="0"/>
        <w:spacing w:before="120" w:beforeLines="50" w:after="120" w:afterLines="50" w:line="360" w:lineRule="auto"/>
        <w:ind w:firstLine="416" w:firstLineChars="200"/>
        <w:jc w:val="left"/>
        <w:rPr>
          <w:rFonts w:ascii="Times New Roman" w:hAnsi="Times New Roman" w:eastAsia="宋体" w:cs="Times New Roman"/>
          <w:color w:val="000000" w:themeColor="text1"/>
          <w:spacing w:val="-1"/>
          <w:kern w:val="0"/>
          <w:szCs w:val="21"/>
          <w:u w:val="single"/>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致：</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（采购人）</w:t>
      </w:r>
    </w:p>
    <w:p>
      <w:pPr>
        <w:tabs>
          <w:tab w:val="left" w:pos="1871"/>
        </w:tabs>
        <w:kinsoku w:val="0"/>
        <w:overflowPunct w:val="0"/>
        <w:autoSpaceDE w:val="0"/>
        <w:autoSpaceDN w:val="0"/>
        <w:adjustRightInd w:val="0"/>
        <w:spacing w:line="360" w:lineRule="auto"/>
        <w:ind w:firstLine="40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3"/>
          <w:kern w:val="0"/>
          <w:szCs w:val="21"/>
          <w14:textFill>
            <w14:solidFill>
              <w14:schemeClr w14:val="tx1"/>
            </w14:solidFill>
          </w14:textFill>
        </w:rPr>
        <w:t>1.</w:t>
      </w:r>
      <w:r>
        <w:rPr>
          <w:rFonts w:hint="eastAsia" w:ascii="Times New Roman" w:hAnsi="Times New Roman" w:eastAsia="宋体" w:cs="Times New Roman"/>
          <w:color w:val="000000" w:themeColor="text1"/>
          <w:spacing w:val="-3"/>
          <w:kern w:val="0"/>
          <w:szCs w:val="21"/>
          <w14:textFill>
            <w14:solidFill>
              <w14:schemeClr w14:val="tx1"/>
            </w14:solidFill>
          </w14:textFill>
        </w:rPr>
        <w:t>按照《中华人民共和国政府采购法》等有关法规的规定，经我方详细研究贵方的</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spacing w:val="7"/>
          <w:kern w:val="0"/>
          <w:szCs w:val="21"/>
          <w14:textFill>
            <w14:solidFill>
              <w14:schemeClr w14:val="tx1"/>
            </w14:solidFill>
          </w14:textFill>
        </w:rPr>
        <w:t>采购文件（采购编号：</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w:t>
      </w:r>
      <w:r>
        <w:rPr>
          <w:rFonts w:hint="eastAsia" w:ascii="Times New Roman" w:hAnsi="Times New Roman" w:eastAsia="宋体" w:cs="Times New Roman"/>
          <w:color w:val="000000" w:themeColor="text1"/>
          <w:spacing w:val="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7"/>
          <w:kern w:val="0"/>
          <w:szCs w:val="21"/>
          <w14:textFill>
            <w14:solidFill>
              <w14:schemeClr w14:val="tx1"/>
            </w14:solidFill>
          </w14:textFill>
        </w:rPr>
        <w:t>包，我方愿以人民币：（大写）（￥</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kern w:val="0"/>
          <w:szCs w:val="21"/>
          <w:u w:val="single"/>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元）的投标总报价并按采购文件的要求承揽</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的供货合同。</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2.</w:t>
      </w:r>
      <w:r>
        <w:rPr>
          <w:rFonts w:hint="eastAsia" w:ascii="Times New Roman" w:hAnsi="Times New Roman" w:eastAsia="宋体" w:cs="Times New Roman"/>
          <w:color w:val="000000" w:themeColor="text1"/>
          <w:spacing w:val="-4"/>
          <w:kern w:val="0"/>
          <w:szCs w:val="21"/>
          <w14:textFill>
            <w14:solidFill>
              <w14:schemeClr w14:val="tx1"/>
            </w14:solidFill>
          </w14:textFill>
        </w:rPr>
        <w:t>我方已详细阅读全部采购文件，包括其澄清、补充、修改文件（如有）及有关附件，</w:t>
      </w:r>
      <w:r>
        <w:rPr>
          <w:rFonts w:ascii="Times New Roman" w:hAnsi="Times New Roman" w:eastAsia="宋体" w:cs="Times New Roman"/>
          <w:color w:val="000000" w:themeColor="text1"/>
          <w:spacing w:val="-9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完全理解并同意放弃对这方面有不明及误解的权力。我方完全接受采购文件的所有规</w:t>
      </w:r>
      <w:r>
        <w:rPr>
          <w:rFonts w:ascii="Times New Roman" w:hAnsi="Times New Roman" w:eastAsia="宋体" w:cs="Times New Roman"/>
          <w:color w:val="000000" w:themeColor="text1"/>
          <w:spacing w:val="-94"/>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3"/>
          <w:kern w:val="0"/>
          <w:szCs w:val="21"/>
          <w14:textFill>
            <w14:solidFill>
              <w14:schemeClr w14:val="tx1"/>
            </w14:solidFill>
          </w14:textFill>
        </w:rPr>
        <w:t>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871"/>
        </w:tabs>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3"/>
          <w:kern w:val="0"/>
          <w:szCs w:val="21"/>
          <w14:textFill>
            <w14:solidFill>
              <w14:schemeClr w14:val="tx1"/>
            </w14:solidFill>
          </w14:textFill>
        </w:rPr>
      </w:pPr>
      <w:r>
        <w:rPr>
          <w:rFonts w:ascii="Times New Roman" w:hAnsi="Times New Roman" w:eastAsia="宋体" w:cs="Times New Roman"/>
          <w:color w:val="000000" w:themeColor="text1"/>
          <w:spacing w:val="-4"/>
          <w:kern w:val="0"/>
          <w:szCs w:val="21"/>
          <w14:textFill>
            <w14:solidFill>
              <w14:schemeClr w14:val="tx1"/>
            </w14:solidFill>
          </w14:textFill>
        </w:rPr>
        <w:t>3.</w:t>
      </w:r>
      <w:r>
        <w:rPr>
          <w:rFonts w:hint="eastAsia" w:ascii="Times New Roman" w:hAnsi="Times New Roman" w:eastAsia="宋体" w:cs="Times New Roman"/>
          <w:color w:val="000000" w:themeColor="text1"/>
          <w:spacing w:val="-4"/>
          <w:kern w:val="0"/>
          <w:szCs w:val="21"/>
          <w14:textFill>
            <w14:solidFill>
              <w14:schemeClr w14:val="tx1"/>
            </w14:solidFill>
          </w14:textFill>
        </w:rPr>
        <w:t>《投标函附录》是本《投标函》的附件。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4.如果我方中标：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（1）我方承诺在收到中标通知书后，在采购文件规定的期限内与贵方签订合同；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bookmarkStart w:id="212" w:name="_Toc24964"/>
      <w:bookmarkStart w:id="213" w:name="_Toc5956061"/>
      <w:bookmarkStart w:id="214" w:name="_Toc17887169"/>
      <w:bookmarkStart w:id="215" w:name="_Toc5960174"/>
      <w:r>
        <w:rPr>
          <w:rFonts w:hint="eastAsia" w:ascii="Times New Roman" w:hAnsi="Times New Roman" w:eastAsia="宋体" w:cs="Times New Roman"/>
          <w:color w:val="000000" w:themeColor="text1"/>
          <w:spacing w:val="-4"/>
          <w:kern w:val="0"/>
          <w:szCs w:val="21"/>
          <w14:textFill>
            <w14:solidFill>
              <w14:schemeClr w14:val="tx1"/>
            </w14:solidFill>
          </w14:textFill>
        </w:rPr>
        <w:t>（2）本投标文件属于合同文件的组成部分；</w:t>
      </w:r>
      <w:bookmarkEnd w:id="212"/>
      <w:bookmarkEnd w:id="213"/>
      <w:bookmarkEnd w:id="214"/>
      <w:bookmarkEnd w:id="215"/>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（3）我方承诺按采购文件的规定履行合同责任和义务。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（4）我方承诺按照相关规定向代理机构支付招标代理服务费。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（5）我方承诺本次投标不提供虚假资料。</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（6）我方承诺，如</w:t>
      </w:r>
      <w:r>
        <w:rPr>
          <w:rFonts w:hint="eastAsia" w:ascii="Times New Roman" w:hAnsi="Times New Roman" w:eastAsia="宋体" w:cs="Times New Roman"/>
          <w:color w:val="000000" w:themeColor="text1"/>
          <w:spacing w:val="-4"/>
          <w:kern w:val="0"/>
          <w:szCs w:val="21"/>
          <w:lang w:eastAsia="zh-CN"/>
          <w14:textFill>
            <w14:solidFill>
              <w14:schemeClr w14:val="tx1"/>
            </w14:solidFill>
          </w14:textFill>
        </w:rPr>
        <w:t>违反</w:t>
      </w:r>
      <w:r>
        <w:rPr>
          <w:rFonts w:hint="eastAsia" w:ascii="Times New Roman" w:hAnsi="Times New Roman" w:eastAsia="宋体" w:cs="Times New Roman"/>
          <w:color w:val="000000" w:themeColor="text1"/>
          <w:spacing w:val="-4"/>
          <w:kern w:val="0"/>
          <w:szCs w:val="21"/>
          <w14:textFill>
            <w14:solidFill>
              <w14:schemeClr w14:val="tx1"/>
            </w14:solidFill>
          </w14:textFill>
        </w:rPr>
        <w:t>上述（1）、（2）、（3）、（4）、（5）中任一情况时，我单位将向采购人或代理机构无条件支付预算金额2%的赔偿金。</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5.我方承诺在采购文件规定的投标有效期内不修改、撤回投标文件。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6.我们完全理解贵方不一定接受最低报价的投标或收到的任何投标。 </w:t>
      </w:r>
    </w:p>
    <w:p>
      <w:pPr>
        <w:kinsoku w:val="0"/>
        <w:overflowPunct w:val="0"/>
        <w:autoSpaceDE w:val="0"/>
        <w:autoSpaceDN w:val="0"/>
        <w:adjustRightInd w:val="0"/>
        <w:spacing w:line="360" w:lineRule="auto"/>
        <w:ind w:firstLine="404" w:firstLineChars="200"/>
        <w:jc w:val="left"/>
        <w:rPr>
          <w:rFonts w:ascii="Times New Roman" w:hAnsi="Times New Roman" w:eastAsia="宋体" w:cs="Times New Roman"/>
          <w:color w:val="000000" w:themeColor="text1"/>
          <w:spacing w:val="-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 xml:space="preserve">7.我方在此声明，所递交的投标文件及有关资料内容完整、真实和准确。 </w:t>
      </w:r>
    </w:p>
    <w:p>
      <w:pPr>
        <w:kinsoku w:val="0"/>
        <w:overflowPunct w:val="0"/>
        <w:autoSpaceDE w:val="0"/>
        <w:autoSpaceDN w:val="0"/>
        <w:adjustRightInd w:val="0"/>
        <w:spacing w:line="360" w:lineRule="auto"/>
        <w:ind w:left="599"/>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line="355" w:lineRule="auto"/>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与本投标有关的正式通讯地址：</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38"/>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地</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址：</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邮</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编：</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1708"/>
          <w:tab w:val="left" w:pos="5172"/>
        </w:tabs>
        <w:kinsoku w:val="0"/>
        <w:overflowPunct w:val="0"/>
        <w:autoSpaceDE w:val="0"/>
        <w:autoSpaceDN w:val="0"/>
        <w:adjustRightInd w:val="0"/>
        <w:spacing w:before="151"/>
        <w:ind w:left="599" w:right="2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电</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spacing w:val="-2"/>
          <w:kern w:val="0"/>
          <w:szCs w:val="21"/>
          <w14:textFill>
            <w14:solidFill>
              <w14:schemeClr w14:val="tx1"/>
            </w14:solidFill>
          </w14:textFill>
        </w:rPr>
        <w:t>话：</w:t>
      </w:r>
      <w:r>
        <w:rPr>
          <w:rFonts w:ascii="Times New Roman" w:hAnsi="Times New Roman" w:eastAsia="宋体" w:cs="Times New Roman"/>
          <w:color w:val="000000" w:themeColor="text1"/>
          <w:spacing w:val="-2"/>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传</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真：</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54"/>
        <w:ind w:right="20" w:firstLine="525" w:firstLineChars="2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w:t>
      </w:r>
      <w:r>
        <w:rPr>
          <w:rFonts w:hint="eastAsia" w:ascii="Times New Roman" w:hAnsi="Times New Roman" w:eastAsia="宋体" w:cs="Times New Roman"/>
          <w:color w:val="000000" w:themeColor="text1"/>
          <w:spacing w:val="-1"/>
          <w:kern w:val="0"/>
          <w:szCs w:val="21"/>
          <w14:textFill>
            <w14:solidFill>
              <w14:schemeClr w14:val="tx1"/>
            </w14:solidFill>
          </w14:textFill>
        </w:rPr>
        <w:t>定</w:t>
      </w:r>
      <w:r>
        <w:rPr>
          <w:rFonts w:hint="eastAsia" w:ascii="Times New Roman" w:hAnsi="Times New Roman" w:eastAsia="宋体" w:cs="Times New Roman"/>
          <w:color w:val="000000" w:themeColor="text1"/>
          <w:spacing w:val="-3"/>
          <w:kern w:val="0"/>
          <w:szCs w:val="21"/>
          <w14:textFill>
            <w14:solidFill>
              <w14:schemeClr w14:val="tx1"/>
            </w14:solidFill>
          </w14:textFill>
        </w:rPr>
        <w:t>代</w:t>
      </w:r>
      <w:r>
        <w:rPr>
          <w:rFonts w:hint="eastAsia" w:ascii="Times New Roman" w:hAnsi="Times New Roman" w:eastAsia="宋体" w:cs="Times New Roman"/>
          <w:color w:val="000000" w:themeColor="text1"/>
          <w:kern w:val="0"/>
          <w:szCs w:val="21"/>
          <w14:textFill>
            <w14:solidFill>
              <w14:schemeClr w14:val="tx1"/>
            </w14:solidFill>
          </w14:textFill>
        </w:rPr>
        <w:t>表</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kern w:val="0"/>
          <w:szCs w:val="21"/>
          <w14:textFill>
            <w14:solidFill>
              <w14:schemeClr w14:val="tx1"/>
            </w14:solidFill>
          </w14:textFill>
        </w:rPr>
        <w:t>或</w:t>
      </w:r>
      <w:r>
        <w:rPr>
          <w:rFonts w:hint="eastAsia" w:ascii="Times New Roman" w:hAnsi="Times New Roman" w:eastAsia="宋体" w:cs="Times New Roman"/>
          <w:color w:val="000000" w:themeColor="text1"/>
          <w:spacing w:val="-3"/>
          <w:kern w:val="0"/>
          <w:szCs w:val="21"/>
          <w14:textFill>
            <w14:solidFill>
              <w14:schemeClr w14:val="tx1"/>
            </w14:solidFill>
          </w14:textFill>
        </w:rPr>
        <w:t>授</w:t>
      </w:r>
      <w:r>
        <w:rPr>
          <w:rFonts w:hint="eastAsia" w:ascii="Times New Roman" w:hAnsi="Times New Roman" w:eastAsia="宋体" w:cs="Times New Roman"/>
          <w:color w:val="000000" w:themeColor="text1"/>
          <w:kern w:val="0"/>
          <w:szCs w:val="21"/>
          <w14:textFill>
            <w14:solidFill>
              <w14:schemeClr w14:val="tx1"/>
            </w14:solidFill>
          </w14:textFill>
        </w:rPr>
        <w:t>权</w:t>
      </w:r>
      <w:r>
        <w:rPr>
          <w:rFonts w:hint="eastAsia" w:ascii="Times New Roman" w:hAnsi="Times New Roman" w:eastAsia="宋体" w:cs="Times New Roman"/>
          <w:color w:val="000000" w:themeColor="text1"/>
          <w:spacing w:val="-3"/>
          <w:kern w:val="0"/>
          <w:szCs w:val="21"/>
          <w14:textFill>
            <w14:solidFill>
              <w14:schemeClr w14:val="tx1"/>
            </w14:solidFill>
          </w14:textFill>
        </w:rPr>
        <w:t>委托人</w:t>
      </w:r>
      <w:r>
        <w:rPr>
          <w:rFonts w:hint="eastAsia" w:ascii="Times New Roman" w:hAnsi="Times New Roman" w:eastAsia="宋体" w:cs="Times New Roman"/>
          <w:color w:val="000000" w:themeColor="text1"/>
          <w:kern w:val="0"/>
          <w:szCs w:val="21"/>
          <w14:textFill>
            <w14:solidFill>
              <w14:schemeClr w14:val="tx1"/>
            </w14:solidFill>
          </w14:textFill>
        </w:rPr>
        <w:t>（个</w:t>
      </w:r>
      <w:r>
        <w:rPr>
          <w:rFonts w:hint="eastAsia" w:ascii="Times New Roman" w:hAnsi="Times New Roman" w:eastAsia="宋体" w:cs="Times New Roman"/>
          <w:color w:val="000000" w:themeColor="text1"/>
          <w:spacing w:val="-3"/>
          <w:kern w:val="0"/>
          <w:szCs w:val="21"/>
          <w14:textFill>
            <w14:solidFill>
              <w14:schemeClr w14:val="tx1"/>
            </w14:solidFill>
          </w14:textFill>
        </w:rPr>
        <w:t>人</w:t>
      </w:r>
      <w:r>
        <w:rPr>
          <w:rFonts w:hint="eastAsia" w:ascii="Times New Roman" w:hAnsi="Times New Roman" w:eastAsia="宋体" w:cs="Times New Roman"/>
          <w:color w:val="000000" w:themeColor="text1"/>
          <w:spacing w:val="-5"/>
          <w:kern w:val="0"/>
          <w:szCs w:val="21"/>
          <w14:textFill>
            <w14:solidFill>
              <w14:schemeClr w14:val="tx1"/>
            </w14:solidFill>
          </w14:textFill>
        </w:rPr>
        <w:t>签</w:t>
      </w:r>
      <w:r>
        <w:rPr>
          <w:rFonts w:hint="eastAsia" w:ascii="Times New Roman" w:hAnsi="Times New Roman" w:eastAsia="宋体" w:cs="Times New Roman"/>
          <w:color w:val="000000" w:themeColor="text1"/>
          <w:kern w:val="0"/>
          <w:szCs w:val="21"/>
          <w14:textFill>
            <w14:solidFill>
              <w14:schemeClr w14:val="tx1"/>
            </w14:solidFill>
          </w14:textFill>
        </w:rPr>
        <w:t>字或盖章</w:t>
      </w:r>
      <w:r>
        <w:rPr>
          <w:rFonts w:hint="eastAsia" w:ascii="Times New Roman" w:hAnsi="Times New Roman" w:eastAsia="宋体" w:cs="Times New Roman"/>
          <w:color w:val="000000" w:themeColor="text1"/>
          <w:spacing w:val="-8"/>
          <w:kern w:val="0"/>
          <w:szCs w:val="21"/>
          <w14:textFill>
            <w14:solidFill>
              <w14:schemeClr w14:val="tx1"/>
            </w14:solidFill>
          </w14:textFill>
        </w:rPr>
        <w:t>）：</w:t>
      </w:r>
      <w:r>
        <w:rPr>
          <w:rFonts w:ascii="Times New Roman" w:hAnsi="Times New Roman" w:eastAsia="宋体" w:cs="Times New Roman"/>
          <w:color w:val="000000" w:themeColor="text1"/>
          <w:spacing w:val="-10"/>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25" w:leftChars="250" w:right="33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日    </w:t>
      </w:r>
      <w:r>
        <w:rPr>
          <w:rFonts w:hint="eastAsia" w:ascii="Times New Roman" w:hAnsi="Times New Roman" w:eastAsia="宋体" w:cs="Times New Roman"/>
          <w:color w:val="000000" w:themeColor="text1"/>
          <w:spacing w:val="-3"/>
          <w:kern w:val="0"/>
          <w:szCs w:val="21"/>
          <w14:textFill>
            <w14:solidFill>
              <w14:schemeClr w14:val="tx1"/>
            </w14:solidFill>
          </w14:textFill>
        </w:rPr>
        <w:t>期</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0"/>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 xml:space="preserve"> </w:t>
      </w:r>
      <w:r>
        <w:rPr>
          <w:rFonts w:ascii="Times New Roman" w:hAnsi="Times New Roman" w:eastAsia="宋体" w:cs="Times New Roman"/>
          <w:color w:val="000000" w:themeColor="text1"/>
          <w:spacing w:val="-63"/>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2397"/>
        </w:tabs>
        <w:kinsoku w:val="0"/>
        <w:overflowPunct w:val="0"/>
        <w:autoSpaceDE w:val="0"/>
        <w:autoSpaceDN w:val="0"/>
        <w:adjustRightInd w:val="0"/>
        <w:spacing w:before="151" w:line="357" w:lineRule="auto"/>
        <w:ind w:left="599" w:right="3380"/>
        <w:jc w:val="left"/>
        <w:rPr>
          <w:rFonts w:ascii="Times New Roman" w:hAnsi="Times New Roman" w:eastAsia="宋体" w:cs="Times New Roman"/>
          <w:color w:val="000000" w:themeColor="text1"/>
          <w:kern w:val="0"/>
          <w:szCs w:val="21"/>
          <w14:textFill>
            <w14:solidFill>
              <w14:schemeClr w14:val="tx1"/>
            </w14:solidFill>
          </w14:textFill>
        </w:rPr>
        <w:sectPr>
          <w:pgSz w:w="11920" w:h="16850"/>
          <w:pgMar w:top="1380" w:right="1120" w:bottom="1240" w:left="1100" w:header="0" w:footer="1054" w:gutter="0"/>
          <w:pgNumType w:fmt="numberInDash"/>
          <w:cols w:space="720" w:num="1"/>
        </w:sectPr>
      </w:pPr>
    </w:p>
    <w:p>
      <w:pPr>
        <w:kinsoku w:val="0"/>
        <w:overflowPunct w:val="0"/>
        <w:autoSpaceDE w:val="0"/>
        <w:autoSpaceDN w:val="0"/>
        <w:adjustRightInd w:val="0"/>
        <w:spacing w:line="378" w:lineRule="exact"/>
        <w:ind w:left="558"/>
        <w:jc w:val="center"/>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16" w:name="_Toc7547"/>
      <w:bookmarkStart w:id="217" w:name="_Toc12605"/>
      <w:bookmarkStart w:id="218" w:name="_Toc6385"/>
      <w:r>
        <w:rPr>
          <w:rFonts w:ascii="Times New Roman" w:hAnsi="Times New Roman" w:eastAsia="宋体" w:cs="Times New Roman"/>
          <w:color w:val="000000" w:themeColor="text1"/>
          <w:kern w:val="0"/>
          <w:sz w:val="24"/>
          <w:szCs w:val="24"/>
          <w14:textFill>
            <w14:solidFill>
              <w14:schemeClr w14:val="tx1"/>
            </w14:solidFill>
          </w14:textFill>
        </w:rPr>
        <w:t>3.2</w:t>
      </w:r>
      <w:r>
        <w:rPr>
          <w:rFonts w:hint="eastAsia" w:ascii="Times New Roman" w:hAnsi="Times New Roman" w:eastAsia="宋体" w:cs="Times New Roman"/>
          <w:color w:val="000000" w:themeColor="text1"/>
          <w:kern w:val="0"/>
          <w:sz w:val="24"/>
          <w:szCs w:val="24"/>
          <w14:textFill>
            <w14:solidFill>
              <w14:schemeClr w14:val="tx1"/>
            </w14:solidFill>
          </w14:textFill>
        </w:rPr>
        <w:t xml:space="preserve"> 投标函附录</w:t>
      </w:r>
      <w:bookmarkEnd w:id="216"/>
      <w:bookmarkEnd w:id="217"/>
      <w:bookmarkEnd w:id="218"/>
    </w:p>
    <w:p>
      <w:pPr>
        <w:kinsoku w:val="0"/>
        <w:overflowPunct w:val="0"/>
        <w:autoSpaceDE w:val="0"/>
        <w:autoSpaceDN w:val="0"/>
        <w:adjustRightInd w:val="0"/>
        <w:spacing w:before="10"/>
        <w:jc w:val="left"/>
        <w:rPr>
          <w:rFonts w:ascii="Times New Roman" w:hAnsi="Times New Roman" w:eastAsia="宋体" w:cs="Times New Roman"/>
          <w:color w:val="000000" w:themeColor="text1"/>
          <w:kern w:val="0"/>
          <w:sz w:val="11"/>
          <w:szCs w:val="11"/>
          <w14:textFill>
            <w14:solidFill>
              <w14:schemeClr w14:val="tx1"/>
            </w14:solidFill>
          </w14:textFill>
        </w:rPr>
      </w:pP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p>
      <w:pPr>
        <w:kinsoku w:val="0"/>
        <w:overflowPunct w:val="0"/>
        <w:autoSpaceDE w:val="0"/>
        <w:autoSpaceDN w:val="0"/>
        <w:adjustRightInd w:val="0"/>
        <w:ind w:left="299"/>
        <w:jc w:val="left"/>
        <w:rPr>
          <w:rFonts w:ascii="Times New Roman" w:hAnsi="Times New Roman" w:eastAsia="宋体" w:cs="Times New Roman"/>
          <w:color w:val="000000" w:themeColor="text1"/>
          <w:kern w:val="0"/>
          <w:sz w:val="9"/>
          <w:szCs w:val="9"/>
          <w14:textFill>
            <w14:solidFill>
              <w14:schemeClr w14:val="tx1"/>
            </w14:solidFill>
          </w14:textFill>
        </w:rPr>
      </w:pPr>
      <w:r>
        <w:rPr>
          <w:rFonts w:ascii="Times New Roman" w:hAnsi="Times New Roman" w:eastAsia="宋体" w:cs="Times New Roman"/>
          <w:color w:val="000000" w:themeColor="text1"/>
          <w:w w:val="101"/>
          <w:kern w:val="0"/>
          <w:sz w:val="9"/>
          <w:szCs w:val="9"/>
          <w14:textFill>
            <w14:solidFill>
              <w14:schemeClr w14:val="tx1"/>
            </w14:solidFill>
          </w14:textFill>
        </w:rPr>
        <w:t xml:space="preserve"> </w:t>
      </w:r>
    </w:p>
    <w:p>
      <w:pPr>
        <w:kinsoku w:val="0"/>
        <w:overflowPunct w:val="0"/>
        <w:autoSpaceDE w:val="0"/>
        <w:autoSpaceDN w:val="0"/>
        <w:adjustRightInd w:val="0"/>
        <w:spacing w:before="8"/>
        <w:jc w:val="left"/>
        <w:rPr>
          <w:rFonts w:ascii="Times New Roman" w:hAnsi="Times New Roman" w:eastAsia="宋体" w:cs="Times New Roman"/>
          <w:color w:val="000000" w:themeColor="text1"/>
          <w:kern w:val="0"/>
          <w:sz w:val="5"/>
          <w:szCs w:val="5"/>
          <w14:textFill>
            <w14:solidFill>
              <w14:schemeClr w14:val="tx1"/>
            </w14:solidFill>
          </w14:textFill>
        </w:rPr>
      </w:pPr>
    </w:p>
    <w:tbl>
      <w:tblPr>
        <w:tblStyle w:val="18"/>
        <w:tblW w:w="4903" w:type="pct"/>
        <w:tblInd w:w="-171" w:type="dxa"/>
        <w:tblLayout w:type="autofit"/>
        <w:tblCellMar>
          <w:top w:w="0" w:type="dxa"/>
          <w:left w:w="0" w:type="dxa"/>
          <w:bottom w:w="0" w:type="dxa"/>
          <w:right w:w="0" w:type="dxa"/>
        </w:tblCellMar>
      </w:tblPr>
      <w:tblGrid>
        <w:gridCol w:w="3424"/>
        <w:gridCol w:w="6313"/>
      </w:tblGrid>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项目名称</w:t>
            </w:r>
          </w:p>
        </w:tc>
        <w:tc>
          <w:tcPr>
            <w:tcW w:w="3241"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113"/>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b/>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供应商</w:t>
            </w:r>
          </w:p>
        </w:tc>
        <w:tc>
          <w:tcPr>
            <w:tcW w:w="3241"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000000" w:sz="4" w:space="0"/>
              <w:left w:val="single" w:color="000000" w:sz="4" w:space="0"/>
              <w:bottom w:val="single" w:color="auto" w:sz="4" w:space="0"/>
              <w:right w:val="single" w:color="000000" w:sz="4" w:space="0"/>
            </w:tcBorders>
            <w:vAlign w:val="center"/>
          </w:tcPr>
          <w:p>
            <w:pPr>
              <w:kinsoku w:val="0"/>
              <w:overflowPunct w:val="0"/>
              <w:autoSpaceDE w:val="0"/>
              <w:autoSpaceDN w:val="0"/>
              <w:adjustRightInd w:val="0"/>
              <w:jc w:val="center"/>
            </w:pPr>
            <w:r>
              <w:rPr>
                <w:rFonts w:hint="eastAsia" w:ascii="宋体" w:hAnsi="宋体" w:eastAsia="宋体" w:cs="宋体"/>
                <w:color w:val="000000" w:themeColor="text1"/>
                <w:kern w:val="0"/>
                <w:szCs w:val="21"/>
                <w14:textFill>
                  <w14:solidFill>
                    <w14:schemeClr w14:val="tx1"/>
                  </w14:solidFill>
                </w14:textFill>
              </w:rPr>
              <w:t>投标总价（元）</w:t>
            </w:r>
          </w:p>
        </w:tc>
        <w:tc>
          <w:tcPr>
            <w:tcW w:w="3241" w:type="pct"/>
            <w:tcBorders>
              <w:top w:val="single" w:color="000000"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leftChars="0"/>
              <w:jc w:val="left"/>
            </w:pPr>
            <w:r>
              <w:rPr>
                <w:rFonts w:hint="eastAsia" w:ascii="宋体" w:hAnsi="宋体" w:eastAsia="宋体" w:cs="宋体"/>
                <w:color w:val="000000" w:themeColor="text1"/>
                <w:spacing w:val="-3"/>
                <w:kern w:val="0"/>
                <w:szCs w:val="21"/>
                <w14:textFill>
                  <w14:solidFill>
                    <w14:schemeClr w14:val="tx1"/>
                  </w14:solidFill>
                </w14:textFill>
              </w:rPr>
              <w:t>大写：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kern w:val="0"/>
                <w:szCs w:val="21"/>
                <w14:textFill>
                  <w14:solidFill>
                    <w14:schemeClr w14:val="tx1"/>
                  </w14:solidFill>
                </w14:textFill>
              </w:rPr>
              <w:t xml:space="preserve">元            </w:t>
            </w:r>
            <w:r>
              <w:rPr>
                <w:rFonts w:hint="eastAsia" w:ascii="宋体" w:hAnsi="宋体" w:eastAsia="宋体" w:cs="宋体"/>
                <w:color w:val="000000" w:themeColor="text1"/>
                <w:spacing w:val="-3"/>
                <w:kern w:val="0"/>
                <w:szCs w:val="21"/>
                <w14:textFill>
                  <w14:solidFill>
                    <w14:schemeClr w14:val="tx1"/>
                  </w14:solidFill>
                </w14:textFill>
              </w:rPr>
              <w:t>小写：</w:t>
            </w:r>
            <w:r>
              <w:rPr>
                <w:rFonts w:ascii="宋体" w:hAnsi="宋体" w:eastAsia="宋体" w:cs="宋体"/>
                <w:color w:val="000000" w:themeColor="text1"/>
                <w:spacing w:val="-3"/>
                <w:kern w:val="0"/>
                <w:szCs w:val="21"/>
                <w:u w:val="single"/>
                <w14:textFill>
                  <w14:solidFill>
                    <w14:schemeClr w14:val="tx1"/>
                  </w14:solidFill>
                </w14:textFill>
              </w:rPr>
              <w:tab/>
            </w:r>
            <w:r>
              <w:rPr>
                <w:rFonts w:hint="eastAsia" w:ascii="宋体" w:hAnsi="宋体" w:eastAsia="宋体" w:cs="宋体"/>
                <w:color w:val="000000" w:themeColor="text1"/>
                <w:spacing w:val="-3"/>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元</w:t>
            </w: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投标内容</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11"/>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Times New Roman"/>
                <w:color w:val="000000" w:themeColor="text1"/>
                <w:kern w:val="0"/>
                <w:szCs w:val="21"/>
                <w14:textFill>
                  <w14:solidFill>
                    <w14:schemeClr w14:val="tx1"/>
                  </w14:solidFill>
                </w14:textFill>
              </w:rPr>
              <w:t>品牌</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single" w:color="auto"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hint="eastAsia" w:ascii="宋体" w:hAnsi="宋体" w:eastAsia="宋体" w:cs="Times New Roman"/>
                <w:color w:val="000000" w:themeColor="text1"/>
                <w:kern w:val="0"/>
                <w:szCs w:val="21"/>
                <w:lang w:val="en-US" w:eastAsia="zh-CN"/>
                <w14:textFill>
                  <w14:solidFill>
                    <w14:schemeClr w14:val="tx1"/>
                  </w14:solidFill>
                </w14:textFill>
              </w:rPr>
            </w:pPr>
            <w:r>
              <w:rPr>
                <w:rFonts w:hint="eastAsia" w:ascii="宋体" w:hAnsi="宋体" w:eastAsia="宋体" w:cs="Times New Roman"/>
                <w:color w:val="000000" w:themeColor="text1"/>
                <w:kern w:val="0"/>
                <w:szCs w:val="21"/>
                <w:lang w:val="en-US" w:eastAsia="zh-CN"/>
                <w14:textFill>
                  <w14:solidFill>
                    <w14:schemeClr w14:val="tx1"/>
                  </w14:solidFill>
                </w14:textFill>
              </w:rPr>
              <w:t>型号</w:t>
            </w:r>
          </w:p>
        </w:tc>
        <w:tc>
          <w:tcPr>
            <w:tcW w:w="3241" w:type="pct"/>
            <w:tcBorders>
              <w:top w:val="single" w:color="auto" w:sz="4" w:space="0"/>
              <w:left w:val="single" w:color="000000" w:sz="4" w:space="0"/>
              <w:bottom w:val="single" w:color="000000" w:sz="4" w:space="0"/>
              <w:right w:val="single" w:color="000000" w:sz="4" w:space="0"/>
            </w:tcBorders>
            <w:vAlign w:val="center"/>
          </w:tcPr>
          <w:p>
            <w:pPr>
              <w:tabs>
                <w:tab w:val="left" w:pos="1941"/>
              </w:tabs>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质保期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交货地点</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质量</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Times New Roman"/>
                <w:color w:val="000000" w:themeColor="text1"/>
                <w:kern w:val="0"/>
                <w:szCs w:val="21"/>
                <w14:textFill>
                  <w14:solidFill>
                    <w14:schemeClr w14:val="tx1"/>
                  </w14:solidFill>
                </w14:textFill>
              </w:rPr>
              <w:t>合格</w:t>
            </w: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投标有效期</w:t>
            </w:r>
          </w:p>
        </w:tc>
        <w:tc>
          <w:tcPr>
            <w:tcW w:w="3241"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before="44"/>
              <w:ind w:left="419"/>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000000" w:sz="4" w:space="0"/>
              <w:right w:val="single" w:color="000000"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付款方式</w:t>
            </w:r>
          </w:p>
        </w:tc>
        <w:tc>
          <w:tcPr>
            <w:tcW w:w="3241" w:type="pct"/>
            <w:tcBorders>
              <w:top w:val="nil"/>
              <w:left w:val="single" w:color="000000" w:sz="4" w:space="0"/>
              <w:bottom w:val="single" w:color="auto" w:sz="4" w:space="0"/>
              <w:right w:val="single" w:color="000000"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1758" w:type="pct"/>
            <w:tcBorders>
              <w:top w:val="nil"/>
              <w:left w:val="single" w:color="000000" w:sz="4" w:space="0"/>
              <w:bottom w:val="single" w:color="auto" w:sz="4" w:space="0"/>
              <w:right w:val="single" w:color="auto" w:sz="4" w:space="0"/>
            </w:tcBorders>
            <w:vAlign w:val="center"/>
          </w:tcPr>
          <w:p>
            <w:pPr>
              <w:kinsoku w:val="0"/>
              <w:overflowPunct w:val="0"/>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其它</w:t>
            </w:r>
          </w:p>
        </w:tc>
        <w:tc>
          <w:tcPr>
            <w:tcW w:w="3241" w:type="pct"/>
            <w:tcBorders>
              <w:top w:val="single" w:color="auto" w:sz="4" w:space="0"/>
              <w:left w:val="single" w:color="auto" w:sz="4" w:space="0"/>
              <w:bottom w:val="single" w:color="auto" w:sz="4" w:space="0"/>
              <w:right w:val="single" w:color="auto" w:sz="4" w:space="0"/>
            </w:tcBorders>
            <w:vAlign w:val="center"/>
          </w:tcPr>
          <w:p>
            <w:pPr>
              <w:kinsoku w:val="0"/>
              <w:overflowPunct w:val="0"/>
              <w:autoSpaceDE w:val="0"/>
              <w:autoSpaceDN w:val="0"/>
              <w:adjustRightInd w:val="0"/>
              <w:spacing w:before="25"/>
              <w:jc w:val="left"/>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完全响应采购文件要求</w:t>
            </w:r>
          </w:p>
        </w:tc>
      </w:tr>
      <w:tr>
        <w:tblPrEx>
          <w:tblCellMar>
            <w:top w:w="0" w:type="dxa"/>
            <w:left w:w="0" w:type="dxa"/>
            <w:bottom w:w="0" w:type="dxa"/>
            <w:right w:w="0" w:type="dxa"/>
          </w:tblCellMar>
        </w:tblPrEx>
        <w:trPr>
          <w:trHeight w:val="680" w:hRule="exact"/>
        </w:trPr>
        <w:tc>
          <w:tcPr>
            <w:tcW w:w="5000" w:type="pct"/>
            <w:gridSpan w:val="2"/>
            <w:tcBorders>
              <w:top w:val="single" w:color="auto" w:sz="4" w:space="0"/>
              <w:left w:val="single" w:color="000000" w:sz="4" w:space="0"/>
              <w:bottom w:val="single" w:color="000000" w:sz="4" w:space="0"/>
              <w:right w:val="single" w:color="auto" w:sz="4" w:space="0"/>
            </w:tcBorders>
            <w:vAlign w:val="center"/>
          </w:tcPr>
          <w:p>
            <w:pPr>
              <w:kinsoku w:val="0"/>
              <w:overflowPunct w:val="0"/>
              <w:autoSpaceDE w:val="0"/>
              <w:autoSpaceDN w:val="0"/>
              <w:adjustRightInd w:val="0"/>
              <w:spacing w:before="111"/>
              <w:ind w:left="42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其他</w:t>
            </w:r>
            <w:r>
              <w:rPr>
                <w:rFonts w:hint="eastAsia" w:ascii="宋体" w:hAnsi="宋体" w:eastAsia="宋体" w:cs="宋体"/>
                <w:color w:val="000000" w:themeColor="text1"/>
                <w:spacing w:val="-3"/>
                <w:kern w:val="0"/>
                <w:szCs w:val="21"/>
                <w14:textFill>
                  <w14:solidFill>
                    <w14:schemeClr w14:val="tx1"/>
                  </w14:solidFill>
                </w14:textFill>
              </w:rPr>
              <w:t>补</w:t>
            </w:r>
            <w:r>
              <w:rPr>
                <w:rFonts w:hint="eastAsia" w:ascii="宋体" w:hAnsi="宋体" w:eastAsia="宋体" w:cs="宋体"/>
                <w:color w:val="000000" w:themeColor="text1"/>
                <w:kern w:val="0"/>
                <w:szCs w:val="21"/>
                <w14:textFill>
                  <w14:solidFill>
                    <w14:schemeClr w14:val="tx1"/>
                  </w14:solidFill>
                </w14:textFill>
              </w:rPr>
              <w:t>充</w:t>
            </w:r>
            <w:r>
              <w:rPr>
                <w:rFonts w:hint="eastAsia" w:ascii="宋体" w:hAnsi="宋体" w:eastAsia="宋体" w:cs="宋体"/>
                <w:color w:val="000000" w:themeColor="text1"/>
                <w:spacing w:val="-3"/>
                <w:kern w:val="0"/>
                <w:szCs w:val="21"/>
                <w14:textFill>
                  <w14:solidFill>
                    <w14:schemeClr w14:val="tx1"/>
                  </w14:solidFill>
                </w14:textFill>
              </w:rPr>
              <w:t>说</w:t>
            </w:r>
            <w:r>
              <w:rPr>
                <w:rFonts w:hint="eastAsia" w:ascii="宋体" w:hAnsi="宋体" w:eastAsia="宋体" w:cs="宋体"/>
                <w:color w:val="000000" w:themeColor="text1"/>
                <w:kern w:val="0"/>
                <w:szCs w:val="21"/>
                <w14:textFill>
                  <w14:solidFill>
                    <w14:schemeClr w14:val="tx1"/>
                  </w14:solidFill>
                </w14:textFill>
              </w:rPr>
              <w:t>明</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如有</w:t>
            </w:r>
            <w:r>
              <w:rPr>
                <w:rFonts w:ascii="宋体" w:hAnsi="宋体" w:eastAsia="宋体" w:cs="宋体"/>
                <w:color w:val="000000" w:themeColor="text1"/>
                <w:spacing w:val="-3"/>
                <w:kern w:val="0"/>
                <w:szCs w:val="21"/>
                <w14:textFill>
                  <w14:solidFill>
                    <w14:schemeClr w14:val="tx1"/>
                  </w14:solidFill>
                </w14:textFill>
              </w:rPr>
              <w:t>)</w:t>
            </w:r>
            <w:r>
              <w:rPr>
                <w:rFonts w:hint="eastAsia" w:ascii="宋体" w:hAnsi="宋体" w:eastAsia="宋体" w:cs="宋体"/>
                <w:color w:val="000000" w:themeColor="text1"/>
                <w:spacing w:val="-3"/>
                <w:kern w:val="0"/>
                <w:szCs w:val="21"/>
                <w14:textFill>
                  <w14:solidFill>
                    <w14:schemeClr w14:val="tx1"/>
                  </w14:solidFill>
                </w14:textFill>
              </w:rPr>
              <w:t>：</w:t>
            </w:r>
            <w:r>
              <w:rPr>
                <w:rFonts w:ascii="宋体" w:hAnsi="宋体" w:eastAsia="宋体" w:cs="宋体"/>
                <w:color w:val="000000" w:themeColor="text1"/>
                <w:kern w:val="0"/>
                <w:szCs w:val="21"/>
                <w14:textFill>
                  <w14:solidFill>
                    <w14:schemeClr w14:val="tx1"/>
                  </w14:solidFill>
                </w14:textFill>
              </w:rPr>
              <w:t xml:space="preserve"> </w:t>
            </w:r>
          </w:p>
        </w:tc>
      </w:tr>
    </w:tbl>
    <w:p>
      <w:pPr>
        <w:kinsoku w:val="0"/>
        <w:overflowPunct w:val="0"/>
        <w:autoSpaceDE w:val="0"/>
        <w:autoSpaceDN w:val="0"/>
        <w:adjustRightInd w:val="0"/>
        <w:spacing w:before="120" w:beforeLines="50"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bookmarkStart w:id="219" w:name="_Hlk88271934"/>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spacing w:val="34"/>
          <w:kern w:val="0"/>
          <w:szCs w:val="21"/>
          <w14:textFill>
            <w14:solidFill>
              <w14:schemeClr w14:val="tx1"/>
            </w14:solidFill>
          </w14:textFill>
        </w:rPr>
      </w:pPr>
      <w:r>
        <w:rPr>
          <w:rFonts w:hint="eastAsia" w:ascii="Times New Roman" w:hAnsi="Times New Roman" w:eastAsia="宋体" w:cs="Times New Roman"/>
          <w:color w:val="000000" w:themeColor="text1"/>
          <w:spacing w:val="-4"/>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34"/>
          <w:kern w:val="0"/>
          <w:szCs w:val="21"/>
          <w14:textFill>
            <w14:solidFill>
              <w14:schemeClr w14:val="tx1"/>
            </w14:solidFill>
          </w14:textFill>
        </w:rPr>
        <w:t xml:space="preserve"> </w:t>
      </w:r>
    </w:p>
    <w:p>
      <w:pPr>
        <w:tabs>
          <w:tab w:val="left" w:pos="6600"/>
          <w:tab w:val="left" w:pos="7321"/>
          <w:tab w:val="left" w:pos="8041"/>
        </w:tabs>
        <w:kinsoku w:val="0"/>
        <w:overflowPunct w:val="0"/>
        <w:autoSpaceDE w:val="0"/>
        <w:autoSpaceDN w:val="0"/>
        <w:adjustRightInd w:val="0"/>
        <w:spacing w:before="36" w:line="360" w:lineRule="auto"/>
        <w:ind w:left="539"/>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 xml:space="preserve">日期： </w:t>
      </w:r>
      <w:r>
        <w:rPr>
          <w:rFonts w:hint="eastAsia" w:ascii="Times New Roman" w:hAnsi="Times New Roman" w:eastAsia="宋体" w:cs="Times New Roman"/>
          <w:color w:val="000000" w:themeColor="text1"/>
          <w:kern w:val="0"/>
          <w:szCs w:val="21"/>
          <w14:textFill>
            <w14:solidFill>
              <w14:schemeClr w14:val="tx1"/>
            </w14:solidFill>
          </w14:textFill>
        </w:rPr>
        <w:t>年 月  日</w:t>
      </w:r>
      <w:bookmarkEnd w:id="219"/>
    </w:p>
    <w:p>
      <w:pPr>
        <w:kinsoku w:val="0"/>
        <w:overflowPunct w:val="0"/>
        <w:autoSpaceDE w:val="0"/>
        <w:autoSpaceDN w:val="0"/>
        <w:adjustRightInd w:val="0"/>
        <w:spacing w:line="378" w:lineRule="exact"/>
        <w:ind w:left="558"/>
        <w:jc w:val="center"/>
        <w:outlineLvl w:val="0"/>
        <w:rPr>
          <w:rFonts w:hint="eastAsia" w:ascii="Times New Roman" w:hAnsi="Times New Roman" w:eastAsia="宋体" w:cs="Times New Roman"/>
          <w:color w:val="000000" w:themeColor="text1"/>
          <w:kern w:val="0"/>
          <w:sz w:val="24"/>
          <w:szCs w:val="24"/>
          <w:lang w:eastAsia="zh-CN"/>
          <w14:textFill>
            <w14:solidFill>
              <w14:schemeClr w14:val="tx1"/>
            </w14:solidFill>
          </w14:textFill>
        </w:rPr>
      </w:pPr>
      <w:bookmarkStart w:id="220" w:name="_Toc5956062"/>
      <w:r>
        <w:rPr>
          <w:color w:val="000000" w:themeColor="text1"/>
          <w14:textFill>
            <w14:solidFill>
              <w14:schemeClr w14:val="tx1"/>
            </w14:solidFill>
          </w14:textFill>
        </w:rPr>
        <w:br w:type="page"/>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3.3</w:t>
      </w:r>
      <w:r>
        <w:rPr>
          <w:rFonts w:hint="eastAsia" w:ascii="Times New Roman" w:hAnsi="Times New Roman" w:eastAsia="宋体" w:cs="Times New Roman"/>
          <w:color w:val="000000" w:themeColor="text1"/>
          <w:kern w:val="0"/>
          <w:sz w:val="24"/>
          <w:szCs w:val="24"/>
          <w14:textFill>
            <w14:solidFill>
              <w14:schemeClr w14:val="tx1"/>
            </w14:solidFill>
          </w14:textFill>
        </w:rPr>
        <w:t>制造商授权书</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r>
        <w:rPr>
          <w:rFonts w:hint="eastAsia" w:ascii="Times New Roman" w:hAnsi="Times New Roman" w:eastAsia="宋体" w:cs="Times New Roman"/>
          <w:color w:val="000000" w:themeColor="text1"/>
          <w:kern w:val="0"/>
          <w:sz w:val="24"/>
          <w:szCs w:val="24"/>
          <w:lang w:val="en-US" w:eastAsia="zh-CN"/>
          <w14:textFill>
            <w14:solidFill>
              <w14:schemeClr w14:val="tx1"/>
            </w14:solidFill>
          </w14:textFill>
        </w:rPr>
        <w:t>进口产品适用</w:t>
      </w:r>
      <w:r>
        <w:rPr>
          <w:rFonts w:hint="eastAsia" w:ascii="Times New Roman" w:hAnsi="Times New Roman" w:eastAsia="宋体" w:cs="Times New Roman"/>
          <w:color w:val="000000" w:themeColor="text1"/>
          <w:kern w:val="0"/>
          <w:sz w:val="24"/>
          <w:szCs w:val="24"/>
          <w:lang w:eastAsia="zh-CN"/>
          <w14:textFill>
            <w14:solidFill>
              <w14:schemeClr w14:val="tx1"/>
            </w14:solidFill>
          </w14:textFill>
        </w:rPr>
        <w:t>）</w:t>
      </w:r>
    </w:p>
    <w:p>
      <w:pPr>
        <w:pStyle w:val="6"/>
        <w:ind w:firstLine="0"/>
        <w:jc w:val="center"/>
        <w:rPr>
          <w:rFonts w:asciiTheme="minorEastAsia" w:hAnsiTheme="minorEastAsia" w:eastAsiaTheme="minorEastAsia"/>
          <w:color w:val="auto"/>
          <w:szCs w:val="21"/>
          <w:highlight w:val="none"/>
        </w:rPr>
      </w:pPr>
    </w:p>
    <w:p>
      <w:pPr>
        <w:pStyle w:val="6"/>
        <w:spacing w:line="420" w:lineRule="auto"/>
        <w:ind w:firstLine="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敬启者：</w:t>
      </w:r>
    </w:p>
    <w:p>
      <w:pPr>
        <w:pStyle w:val="6"/>
        <w:spacing w:line="420" w:lineRule="auto"/>
        <w:ind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w:t>
      </w:r>
      <w:r>
        <w:rPr>
          <w:rFonts w:hint="eastAsia" w:asciiTheme="minorEastAsia" w:hAnsiTheme="minorEastAsia" w:eastAsiaTheme="minorEastAsia"/>
          <w:i/>
          <w:iCs/>
          <w:color w:val="auto"/>
          <w:szCs w:val="21"/>
          <w:highlight w:val="none"/>
          <w:u w:val="single"/>
        </w:rPr>
        <w:t>生产厂家</w:t>
      </w:r>
      <w:r>
        <w:rPr>
          <w:rFonts w:asciiTheme="minorEastAsia" w:hAnsiTheme="minorEastAsia" w:eastAsiaTheme="minorEastAsia"/>
          <w:i/>
          <w:iCs/>
          <w:color w:val="auto"/>
          <w:szCs w:val="21"/>
          <w:highlight w:val="none"/>
          <w:u w:val="single"/>
        </w:rPr>
        <w:t>/</w:t>
      </w:r>
      <w:r>
        <w:rPr>
          <w:rFonts w:hint="eastAsia" w:asciiTheme="minorEastAsia" w:hAnsiTheme="minorEastAsia" w:eastAsiaTheme="minorEastAsia"/>
          <w:i/>
          <w:iCs/>
          <w:color w:val="auto"/>
          <w:szCs w:val="21"/>
          <w:highlight w:val="none"/>
          <w:u w:val="single"/>
        </w:rPr>
        <w:t>公司或指定代理名称</w:t>
      </w:r>
      <w:r>
        <w:rPr>
          <w:rFonts w:hint="eastAsia" w:asciiTheme="minorEastAsia" w:hAnsiTheme="minorEastAsia" w:eastAsiaTheme="minorEastAsia"/>
          <w:color w:val="auto"/>
          <w:szCs w:val="21"/>
          <w:highlight w:val="none"/>
        </w:rPr>
        <w:t>）是</w:t>
      </w:r>
      <w:r>
        <w:rPr>
          <w:rFonts w:hint="eastAsia" w:asciiTheme="minorEastAsia" w:hAnsiTheme="minorEastAsia" w:eastAsiaTheme="minorEastAsia"/>
          <w:i/>
          <w:iCs/>
          <w:color w:val="auto"/>
          <w:szCs w:val="21"/>
          <w:highlight w:val="none"/>
          <w:u w:val="single"/>
        </w:rPr>
        <w:t>（国家名称）</w:t>
      </w:r>
      <w:r>
        <w:rPr>
          <w:rFonts w:hint="eastAsia" w:asciiTheme="minorEastAsia" w:hAnsiTheme="minorEastAsia" w:eastAsiaTheme="minorEastAsia"/>
          <w:color w:val="auto"/>
          <w:szCs w:val="21"/>
          <w:highlight w:val="none"/>
        </w:rPr>
        <w:t>的法定制造</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总代理商，商业总部设在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，委托依国法律设立的商业总部设在</w:t>
      </w:r>
      <w:r>
        <w:rPr>
          <w:rFonts w:hint="eastAsia" w:asciiTheme="minorEastAsia" w:hAnsiTheme="minorEastAsia" w:eastAsiaTheme="minorEastAsia"/>
          <w:i/>
          <w:iCs/>
          <w:color w:val="auto"/>
          <w:szCs w:val="21"/>
          <w:highlight w:val="none"/>
          <w:u w:val="single"/>
        </w:rPr>
        <w:t>（地址）</w:t>
      </w:r>
      <w:r>
        <w:rPr>
          <w:rFonts w:hint="eastAsia" w:asciiTheme="minorEastAsia" w:hAnsiTheme="minorEastAsia" w:eastAsiaTheme="minorEastAsia"/>
          <w:color w:val="auto"/>
          <w:szCs w:val="21"/>
          <w:highlight w:val="none"/>
        </w:rPr>
        <w:t>的</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，作为我方真实的合法代理人进行下列有效活动：</w:t>
      </w:r>
    </w:p>
    <w:p>
      <w:pPr>
        <w:pStyle w:val="6"/>
        <w:numPr>
          <w:ilvl w:val="0"/>
          <w:numId w:val="5"/>
        </w:numPr>
        <w:tabs>
          <w:tab w:val="left" w:pos="0"/>
          <w:tab w:val="left" w:pos="90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代表我方应招标编号号招标文件要求，用我方提供的</w:t>
      </w:r>
      <w:r>
        <w:rPr>
          <w:rFonts w:hint="eastAsia" w:asciiTheme="minorEastAsia" w:hAnsiTheme="minorEastAsia" w:eastAsiaTheme="minorEastAsia"/>
          <w:i/>
          <w:iCs/>
          <w:color w:val="auto"/>
          <w:szCs w:val="21"/>
          <w:highlight w:val="none"/>
          <w:u w:val="single"/>
        </w:rPr>
        <w:t>（货物名称）</w:t>
      </w:r>
      <w:r>
        <w:rPr>
          <w:rFonts w:hint="eastAsia" w:asciiTheme="minorEastAsia" w:hAnsiTheme="minorEastAsia" w:eastAsiaTheme="minorEastAsia"/>
          <w:color w:val="auto"/>
          <w:szCs w:val="21"/>
          <w:highlight w:val="none"/>
        </w:rPr>
        <w:t>参加投标，并对我方具有约束力。</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作为制造商</w:t>
      </w:r>
      <w:r>
        <w:rPr>
          <w:rFonts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rPr>
        <w:t>指定总代理，我方保证以投标合作者来约束自己，并对该次投标共同和分别承担招标文件中所规定的义务。</w:t>
      </w:r>
    </w:p>
    <w:p>
      <w:pPr>
        <w:pStyle w:val="6"/>
        <w:numPr>
          <w:ilvl w:val="0"/>
          <w:numId w:val="5"/>
        </w:numPr>
        <w:tabs>
          <w:tab w:val="left" w:pos="0"/>
          <w:tab w:val="clear" w:pos="1140"/>
        </w:tabs>
        <w:spacing w:line="420" w:lineRule="auto"/>
        <w:ind w:left="0" w:firstLine="54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我们兹授予</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全权办理和履行上述我方为完成上述各所必须的事宜，具有撤消或替换的全权。兹确认</w:t>
      </w:r>
      <w:r>
        <w:rPr>
          <w:rFonts w:hint="eastAsia" w:asciiTheme="minorEastAsia" w:hAnsiTheme="minorEastAsia" w:eastAsiaTheme="minorEastAsia"/>
          <w:i/>
          <w:iCs/>
          <w:color w:val="auto"/>
          <w:szCs w:val="21"/>
          <w:highlight w:val="none"/>
          <w:u w:val="single"/>
        </w:rPr>
        <w:t>（经销商名称）</w:t>
      </w:r>
      <w:r>
        <w:rPr>
          <w:rFonts w:hint="eastAsia" w:asciiTheme="minorEastAsia" w:hAnsiTheme="minorEastAsia" w:eastAsiaTheme="minorEastAsia"/>
          <w:color w:val="auto"/>
          <w:szCs w:val="21"/>
          <w:highlight w:val="none"/>
        </w:rPr>
        <w:t>或其正式授权代表依此合法地办理一切事宜。</w:t>
      </w:r>
    </w:p>
    <w:p>
      <w:pPr>
        <w:pStyle w:val="6"/>
        <w:spacing w:line="420" w:lineRule="auto"/>
        <w:rPr>
          <w:rFonts w:asciiTheme="minorEastAsia" w:hAnsiTheme="minorEastAsia" w:eastAsiaTheme="minorEastAsia"/>
          <w:color w:val="auto"/>
          <w:szCs w:val="21"/>
          <w:highlight w:val="none"/>
        </w:rPr>
      </w:pPr>
    </w:p>
    <w:p>
      <w:pPr>
        <w:pStyle w:val="6"/>
        <w:spacing w:line="42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我们于年月日签署本文以资证明。</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授权方名称（盖章）</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被授权方名称（盖章）</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法人或授权代表人姓名（签字）</w:t>
      </w:r>
      <w:r>
        <w:rPr>
          <w:rFonts w:hint="eastAsia" w:asciiTheme="minorEastAsia" w:hAnsiTheme="minorEastAsia" w:eastAsiaTheme="minorEastAsia"/>
          <w:color w:val="auto"/>
          <w:szCs w:val="21"/>
          <w:highlight w:val="none"/>
          <w:u w:val="single"/>
        </w:rPr>
        <w:t>　　　　　　　</w:t>
      </w:r>
      <w:r>
        <w:rPr>
          <w:rFonts w:hint="eastAsia" w:asciiTheme="minorEastAsia" w:hAnsiTheme="minorEastAsia" w:eastAsiaTheme="minorEastAsia"/>
          <w:color w:val="auto"/>
          <w:szCs w:val="21"/>
          <w:highlight w:val="none"/>
        </w:rPr>
        <w:t xml:space="preserve">    法人或授权代表人姓名（签字）</w:t>
      </w:r>
      <w:r>
        <w:rPr>
          <w:rFonts w:hint="eastAsia" w:asciiTheme="minorEastAsia" w:hAnsiTheme="minorEastAsia" w:eastAsiaTheme="minorEastAsia"/>
          <w:color w:val="auto"/>
          <w:szCs w:val="21"/>
          <w:highlight w:val="none"/>
          <w:u w:val="single"/>
        </w:rPr>
        <w:t>　  　　　　　　　　</w:t>
      </w:r>
    </w:p>
    <w:p>
      <w:pPr>
        <w:pStyle w:val="6"/>
        <w:spacing w:line="360" w:lineRule="auto"/>
        <w:ind w:firstLine="0"/>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w:t>
      </w: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Cs w:val="21"/>
          <w:highlight w:val="none"/>
        </w:rPr>
      </w:pPr>
    </w:p>
    <w:p>
      <w:pPr>
        <w:pStyle w:val="6"/>
        <w:spacing w:line="36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注：本授权书可采用投标单位自有的既定格式，不受规定格式限制。</w:t>
      </w:r>
    </w:p>
    <w:p>
      <w:pPr>
        <w:widowControl/>
        <w:jc w:val="left"/>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rPr>
          <w:rFonts w:ascii="宋体" w:hAnsi="宋体" w:eastAsia="宋体" w:cs="Times New Roman"/>
          <w:color w:val="000000" w:themeColor="text1"/>
          <w:sz w:val="24"/>
          <w:szCs w:val="24"/>
          <w14:textFill>
            <w14:solidFill>
              <w14:schemeClr w14:val="tx1"/>
            </w14:solidFill>
          </w14:textFill>
        </w:rPr>
      </w:pPr>
    </w:p>
    <w:p>
      <w:pPr>
        <w:rPr>
          <w:rFonts w:ascii="宋体" w:hAnsi="宋体" w:eastAsia="宋体" w:cs="Times New Roman"/>
          <w:color w:val="000000" w:themeColor="text1"/>
          <w:sz w:val="24"/>
          <w:szCs w:val="24"/>
          <w14:textFill>
            <w14:solidFill>
              <w14:schemeClr w14:val="tx1"/>
            </w14:solidFill>
          </w14:textFill>
        </w:rPr>
      </w:pPr>
    </w:p>
    <w:p>
      <w:pPr>
        <w:pStyle w:val="2"/>
      </w:pPr>
    </w:p>
    <w:p>
      <w:pPr>
        <w:kinsoku w:val="0"/>
        <w:overflowPunct w:val="0"/>
        <w:autoSpaceDE w:val="0"/>
        <w:autoSpaceDN w:val="0"/>
        <w:adjustRightInd w:val="0"/>
        <w:spacing w:line="353" w:lineRule="exact"/>
        <w:ind w:left="3317"/>
        <w:jc w:val="left"/>
        <w:outlineLvl w:val="0"/>
        <w:rPr>
          <w:rFonts w:hint="eastAsia" w:ascii="宋体" w:hAnsi="Times New Roman" w:eastAsia="宋体" w:cs="宋体"/>
          <w:color w:val="000000" w:themeColor="text1"/>
          <w:kern w:val="0"/>
          <w:sz w:val="28"/>
          <w:szCs w:val="28"/>
          <w14:textFill>
            <w14:solidFill>
              <w14:schemeClr w14:val="tx1"/>
            </w14:solidFill>
          </w14:textFill>
        </w:rPr>
      </w:pPr>
      <w:bookmarkStart w:id="221" w:name="_Toc88447544"/>
      <w:bookmarkStart w:id="222" w:name="_Toc32423"/>
      <w:bookmarkStart w:id="223" w:name="_Toc19494"/>
      <w:bookmarkStart w:id="224" w:name="_Toc19950"/>
      <w:bookmarkStart w:id="225" w:name="_Toc10743"/>
      <w:r>
        <w:rPr>
          <w:rFonts w:hint="eastAsia" w:ascii="宋体" w:hAnsi="Times New Roman" w:eastAsia="宋体" w:cs="宋体"/>
          <w:color w:val="000000" w:themeColor="text1"/>
          <w:kern w:val="0"/>
          <w:sz w:val="28"/>
          <w:szCs w:val="28"/>
          <w14:textFill>
            <w14:solidFill>
              <w14:schemeClr w14:val="tx1"/>
            </w14:solidFill>
          </w14:textFill>
        </w:rPr>
        <w:t>四、投标报价明细表</w:t>
      </w:r>
      <w:bookmarkEnd w:id="220"/>
      <w:bookmarkEnd w:id="221"/>
      <w:bookmarkEnd w:id="222"/>
      <w:bookmarkEnd w:id="223"/>
      <w:bookmarkEnd w:id="224"/>
      <w:bookmarkEnd w:id="225"/>
    </w:p>
    <w:p>
      <w:pPr>
        <w:tabs>
          <w:tab w:val="left" w:pos="5755"/>
          <w:tab w:val="left" w:pos="7435"/>
        </w:tabs>
        <w:kinsoku w:val="0"/>
        <w:overflowPunct w:val="0"/>
        <w:autoSpaceDE w:val="0"/>
        <w:autoSpaceDN w:val="0"/>
        <w:adjustRightInd w:val="0"/>
        <w:spacing w:before="186" w:after="120" w:afterLines="50"/>
        <w:ind w:left="476" w:right="6016"/>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1"/>
          <w:kern w:val="0"/>
          <w:szCs w:val="21"/>
          <w14:textFill>
            <w14:solidFill>
              <w14:schemeClr w14:val="tx1"/>
            </w14:solidFill>
          </w14:textFill>
        </w:rPr>
        <w:t>采购编号：      包段：</w:t>
      </w:r>
      <w:r>
        <w:rPr>
          <w:rFonts w:ascii="Times New Roman" w:hAnsi="Times New Roman" w:eastAsia="宋体" w:cs="Times New Roman"/>
          <w:color w:val="000000" w:themeColor="text1"/>
          <w:spacing w:val="-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金额单位：</w:t>
      </w:r>
      <w:r>
        <w:rPr>
          <w:rFonts w:ascii="Times New Roman" w:hAnsi="Times New Roman" w:eastAsia="宋体" w:cs="Times New Roman"/>
          <w:color w:val="000000" w:themeColor="text1"/>
          <w:kern w:val="0"/>
          <w:szCs w:val="21"/>
          <w14:textFill>
            <w14:solidFill>
              <w14:schemeClr w14:val="tx1"/>
            </w14:solidFill>
          </w14:textFill>
        </w:rPr>
        <w:tab/>
      </w:r>
      <w:r>
        <w:rPr>
          <w:rFonts w:hint="eastAsia" w:ascii="Times New Roman" w:hAnsi="Times New Roman" w:eastAsia="宋体" w:cs="Times New Roman"/>
          <w:color w:val="000000" w:themeColor="text1"/>
          <w:kern w:val="0"/>
          <w:szCs w:val="21"/>
          <w14:textFill>
            <w14:solidFill>
              <w14:schemeClr w14:val="tx1"/>
            </w14:solidFill>
          </w14:textFill>
        </w:rPr>
        <w:t>元（人民币）</w:t>
      </w:r>
      <w:r>
        <w:rPr>
          <w:rFonts w:ascii="Times New Roman" w:hAnsi="Times New Roman" w:eastAsia="宋体" w:cs="Times New Roman"/>
          <w:color w:val="000000" w:themeColor="text1"/>
          <w:kern w:val="0"/>
          <w:szCs w:val="21"/>
          <w14:textFill>
            <w14:solidFill>
              <w14:schemeClr w14:val="tx1"/>
            </w14:solidFill>
          </w14:textFill>
        </w:rPr>
        <w:t xml:space="preserve"> </w:t>
      </w:r>
    </w:p>
    <w:tbl>
      <w:tblPr>
        <w:tblStyle w:val="18"/>
        <w:tblW w:w="0" w:type="auto"/>
        <w:tblInd w:w="-11" w:type="dxa"/>
        <w:tblLayout w:type="fixed"/>
        <w:tblCellMar>
          <w:top w:w="0" w:type="dxa"/>
          <w:left w:w="0" w:type="dxa"/>
          <w:bottom w:w="0" w:type="dxa"/>
          <w:right w:w="0" w:type="dxa"/>
        </w:tblCellMar>
      </w:tblPr>
      <w:tblGrid>
        <w:gridCol w:w="559"/>
        <w:gridCol w:w="1017"/>
        <w:gridCol w:w="992"/>
        <w:gridCol w:w="597"/>
        <w:gridCol w:w="679"/>
        <w:gridCol w:w="992"/>
        <w:gridCol w:w="1417"/>
        <w:gridCol w:w="1418"/>
        <w:gridCol w:w="1843"/>
      </w:tblGrid>
      <w:tr>
        <w:tblPrEx>
          <w:tblCellMar>
            <w:top w:w="0" w:type="dxa"/>
            <w:left w:w="0" w:type="dxa"/>
            <w:bottom w:w="0" w:type="dxa"/>
            <w:right w:w="0" w:type="dxa"/>
          </w:tblCellMar>
        </w:tblPrEx>
        <w:trPr>
          <w:trHeight w:val="11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序号</w:t>
            </w:r>
          </w:p>
        </w:tc>
        <w:tc>
          <w:tcPr>
            <w:tcW w:w="10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产品名称</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规格型号</w:t>
            </w:r>
          </w:p>
        </w:tc>
        <w:tc>
          <w:tcPr>
            <w:tcW w:w="59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69"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品牌产地</w:t>
            </w:r>
          </w:p>
        </w:tc>
        <w:tc>
          <w:tcPr>
            <w:tcW w:w="679"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71" w:right="-34"/>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单位</w:t>
            </w:r>
          </w:p>
        </w:tc>
        <w:tc>
          <w:tcPr>
            <w:tcW w:w="992"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475" w:right="103" w:hanging="368"/>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数量</w:t>
            </w:r>
          </w:p>
        </w:tc>
        <w:tc>
          <w:tcPr>
            <w:tcW w:w="1417"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ind w:left="194" w:right="34" w:hanging="159"/>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单价（元）</w:t>
            </w:r>
          </w:p>
        </w:tc>
        <w:tc>
          <w:tcPr>
            <w:tcW w:w="1418"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金额（元）</w:t>
            </w:r>
          </w:p>
        </w:tc>
        <w:tc>
          <w:tcPr>
            <w:tcW w:w="1843" w:type="dxa"/>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r>
              <w:rPr>
                <w:rFonts w:hint="eastAsia"/>
                <w:color w:val="000000" w:themeColor="text1"/>
                <w:sz w:val="20"/>
                <w:szCs w:val="20"/>
                <w14:textFill>
                  <w14:solidFill>
                    <w14:schemeClr w14:val="tx1"/>
                  </w14:solidFill>
                </w14:textFill>
              </w:rPr>
              <w:t>备注</w:t>
            </w:r>
          </w:p>
        </w:tc>
      </w:tr>
      <w:tr>
        <w:tblPrEx>
          <w:tblCellMar>
            <w:top w:w="0" w:type="dxa"/>
            <w:left w:w="0" w:type="dxa"/>
            <w:bottom w:w="0" w:type="dxa"/>
            <w:right w:w="0" w:type="dxa"/>
          </w:tblCellMar>
        </w:tblPrEx>
        <w:trPr>
          <w:trHeight w:val="674"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1</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2</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3</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55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kern w:val="0"/>
                <w:sz w:val="20"/>
                <w:szCs w:val="20"/>
                <w14:textFill>
                  <w14:solidFill>
                    <w14:schemeClr w14:val="tx1"/>
                  </w14:solidFill>
                </w14:textFill>
              </w:rPr>
              <w:t>……</w:t>
            </w:r>
          </w:p>
        </w:tc>
        <w:tc>
          <w:tcPr>
            <w:tcW w:w="10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679"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992"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84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r>
        <w:tblPrEx>
          <w:tblCellMar>
            <w:top w:w="0" w:type="dxa"/>
            <w:left w:w="0" w:type="dxa"/>
            <w:bottom w:w="0" w:type="dxa"/>
            <w:right w:w="0" w:type="dxa"/>
          </w:tblCellMar>
        </w:tblPrEx>
        <w:trPr>
          <w:trHeight w:val="672" w:hRule="exact"/>
        </w:trPr>
        <w:tc>
          <w:tcPr>
            <w:tcW w:w="2568" w:type="dxa"/>
            <w:gridSpan w:val="3"/>
            <w:tcBorders>
              <w:top w:val="single" w:color="000000" w:sz="4" w:space="0"/>
              <w:left w:val="single" w:color="000000" w:sz="4" w:space="0"/>
              <w:bottom w:val="single" w:color="000000" w:sz="4" w:space="0"/>
              <w:right w:val="single" w:color="000000" w:sz="4" w:space="0"/>
            </w:tcBorders>
          </w:tcPr>
          <w:p>
            <w:pPr>
              <w:kinsoku w:val="0"/>
              <w:overflowPunct w:val="0"/>
              <w:autoSpaceDE w:val="0"/>
              <w:autoSpaceDN w:val="0"/>
              <w:adjustRightInd w:val="0"/>
              <w:spacing w:line="240" w:lineRule="exact"/>
              <w:jc w:val="center"/>
              <w:rPr>
                <w:rFonts w:ascii="宋体" w:hAnsi="Times New Roman" w:eastAsia="宋体" w:cs="宋体"/>
                <w:color w:val="000000" w:themeColor="text1"/>
                <w:kern w:val="0"/>
                <w:sz w:val="20"/>
                <w:szCs w:val="20"/>
                <w14:textFill>
                  <w14:solidFill>
                    <w14:schemeClr w14:val="tx1"/>
                  </w14:solidFill>
                </w14:textFill>
              </w:rPr>
            </w:pPr>
          </w:p>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合</w:t>
            </w:r>
            <w:r>
              <w:rPr>
                <w:rFonts w:ascii="宋体" w:hAnsi="Times New Roman" w:eastAsia="宋体" w:cs="宋体"/>
                <w:color w:val="000000" w:themeColor="text1"/>
                <w:kern w:val="0"/>
                <w:sz w:val="20"/>
                <w:szCs w:val="20"/>
                <w14:textFill>
                  <w14:solidFill>
                    <w14:schemeClr w14:val="tx1"/>
                  </w14:solidFill>
                </w14:textFill>
              </w:rPr>
              <w:t xml:space="preserve"> </w:t>
            </w:r>
            <w:r>
              <w:rPr>
                <w:rFonts w:hint="eastAsia" w:ascii="宋体" w:hAnsi="Times New Roman" w:eastAsia="宋体" w:cs="宋体"/>
                <w:color w:val="000000" w:themeColor="text1"/>
                <w:kern w:val="0"/>
                <w:sz w:val="20"/>
                <w:szCs w:val="20"/>
                <w14:textFill>
                  <w14:solidFill>
                    <w14:schemeClr w14:val="tx1"/>
                  </w14:solidFill>
                </w14:textFill>
              </w:rPr>
              <w:t>计（人民币）</w:t>
            </w:r>
            <w:r>
              <w:rPr>
                <w:rFonts w:ascii="宋体" w:hAnsi="Times New Roman" w:eastAsia="宋体" w:cs="宋体"/>
                <w:color w:val="000000" w:themeColor="text1"/>
                <w:kern w:val="0"/>
                <w:sz w:val="20"/>
                <w:szCs w:val="20"/>
                <w14:textFill>
                  <w14:solidFill>
                    <w14:schemeClr w14:val="tx1"/>
                  </w14:solidFill>
                </w14:textFill>
              </w:rPr>
              <w:t xml:space="preserve"> </w:t>
            </w:r>
          </w:p>
        </w:tc>
        <w:tc>
          <w:tcPr>
            <w:tcW w:w="59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宋体" w:hAnsi="Times New Roman" w:eastAsia="宋体" w:cs="宋体"/>
                <w:color w:val="000000" w:themeColor="text1"/>
                <w:kern w:val="0"/>
                <w:sz w:val="20"/>
                <w:szCs w:val="20"/>
                <w14:textFill>
                  <w14:solidFill>
                    <w14:schemeClr w14:val="tx1"/>
                  </w14:solidFill>
                </w14:textFill>
              </w:rPr>
              <w:t>小写：</w:t>
            </w:r>
          </w:p>
        </w:tc>
        <w:tc>
          <w:tcPr>
            <w:tcW w:w="167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r>
              <w:rPr>
                <w:rFonts w:hint="eastAsia" w:ascii="Times New Roman" w:hAnsi="Times New Roman" w:eastAsia="宋体" w:cs="Times New Roman"/>
                <w:color w:val="000000" w:themeColor="text1"/>
                <w:kern w:val="0"/>
                <w:sz w:val="20"/>
                <w:szCs w:val="20"/>
                <w14:textFill>
                  <w14:solidFill>
                    <w14:schemeClr w14:val="tx1"/>
                  </w14:solidFill>
                </w14:textFill>
              </w:rPr>
              <w:t>大写：</w:t>
            </w:r>
          </w:p>
        </w:tc>
        <w:tc>
          <w:tcPr>
            <w:tcW w:w="3261" w:type="dxa"/>
            <w:gridSpan w:val="2"/>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tc>
      </w:tr>
    </w:tbl>
    <w:p>
      <w:pPr>
        <w:kinsoku w:val="0"/>
        <w:overflowPunct w:val="0"/>
        <w:autoSpaceDE w:val="0"/>
        <w:autoSpaceDN w:val="0"/>
        <w:adjustRightInd w:val="0"/>
        <w:spacing w:before="120" w:beforeLines="50" w:line="241" w:lineRule="exact"/>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注：若总价与单价不符，以单价为准，并修正总价。</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 w:val="24"/>
          <w:szCs w:val="24"/>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before="127" w:line="357" w:lineRule="auto"/>
        <w:ind w:right="6018"/>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29"/>
        <w:ind w:left="498"/>
        <w:jc w:val="left"/>
        <w:rPr>
          <w:rFonts w:ascii="宋体" w:hAnsi="Times New Roman" w:eastAsia="宋体" w:cs="宋体"/>
          <w:color w:val="000000" w:themeColor="text1"/>
          <w:kern w:val="0"/>
          <w:sz w:val="25"/>
          <w:szCs w:val="25"/>
          <w14:textFill>
            <w14:solidFill>
              <w14:schemeClr w14:val="tx1"/>
            </w14:solidFill>
          </w14:textFill>
        </w:rPr>
      </w:pPr>
      <w:r>
        <w:rPr>
          <w:rFonts w:ascii="宋体" w:hAnsi="Times New Roman" w:eastAsia="宋体" w:cs="宋体"/>
          <w:color w:val="000000" w:themeColor="text1"/>
          <w:w w:val="99"/>
          <w:kern w:val="0"/>
          <w:sz w:val="25"/>
          <w:szCs w:val="25"/>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26" w:name="_Toc5956063"/>
      <w:r>
        <w:rPr>
          <w:rFonts w:hint="eastAsia" w:ascii="宋体" w:hAnsi="Times New Roman" w:eastAsia="宋体" w:cs="宋体"/>
          <w:color w:val="000000" w:themeColor="text1"/>
          <w:kern w:val="0"/>
          <w:sz w:val="28"/>
          <w:szCs w:val="28"/>
          <w14:textFill>
            <w14:solidFill>
              <w14:schemeClr w14:val="tx1"/>
            </w14:solidFill>
          </w14:textFill>
        </w:rPr>
        <w:br w:type="page"/>
      </w:r>
      <w:bookmarkEnd w:id="226"/>
      <w:bookmarkStart w:id="227" w:name="_Toc88447545"/>
      <w:bookmarkStart w:id="228" w:name="_Toc19551"/>
      <w:bookmarkStart w:id="229" w:name="_Toc3407"/>
      <w:bookmarkStart w:id="230" w:name="_Toc20061"/>
      <w:bookmarkStart w:id="231" w:name="_Toc31185"/>
      <w:bookmarkStart w:id="232" w:name="_Toc5956068"/>
      <w:r>
        <w:rPr>
          <w:rFonts w:hint="eastAsia" w:ascii="宋体" w:hAnsi="Times New Roman" w:eastAsia="宋体" w:cs="宋体"/>
          <w:color w:val="000000" w:themeColor="text1"/>
          <w:kern w:val="0"/>
          <w:sz w:val="28"/>
          <w:szCs w:val="28"/>
          <w14:textFill>
            <w14:solidFill>
              <w14:schemeClr w14:val="tx1"/>
            </w14:solidFill>
          </w14:textFill>
        </w:rPr>
        <w:t>五、商务条款偏差表</w:t>
      </w:r>
      <w:bookmarkEnd w:id="227"/>
      <w:bookmarkEnd w:id="228"/>
      <w:bookmarkEnd w:id="229"/>
      <w:bookmarkEnd w:id="230"/>
      <w:bookmarkEnd w:id="231"/>
      <w:bookmarkEnd w:id="23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、供应商将任何不同于采购文件的商务条款列于“偏离表”中，同时在“偏离表”中注明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1"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3" w:lineRule="exact"/>
        <w:ind w:left="331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33" w:name="_Toc3435"/>
      <w:bookmarkStart w:id="234" w:name="_Toc607"/>
      <w:bookmarkStart w:id="235" w:name="_Toc20097"/>
      <w:bookmarkStart w:id="236" w:name="_Toc16641"/>
      <w:bookmarkStart w:id="237" w:name="_Toc88447546"/>
      <w:bookmarkStart w:id="238" w:name="_Toc5956069"/>
      <w:r>
        <w:rPr>
          <w:rFonts w:hint="eastAsia" w:ascii="宋体" w:hAnsi="Times New Roman" w:eastAsia="宋体" w:cs="宋体"/>
          <w:color w:val="000000" w:themeColor="text1"/>
          <w:kern w:val="0"/>
          <w:sz w:val="28"/>
          <w:szCs w:val="28"/>
          <w14:textFill>
            <w14:solidFill>
              <w14:schemeClr w14:val="tx1"/>
            </w14:solidFill>
          </w14:textFill>
        </w:rPr>
        <w:t>六、技术条款偏差表</w:t>
      </w:r>
      <w:bookmarkEnd w:id="233"/>
      <w:bookmarkEnd w:id="234"/>
      <w:bookmarkEnd w:id="235"/>
      <w:bookmarkEnd w:id="23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5"/>
        <w:ind w:left="539" w:right="41"/>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 xml:space="preserve">项目名称：                                                                                     </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包段：</w:t>
      </w:r>
    </w:p>
    <w:p>
      <w:pPr>
        <w:kinsoku w:val="0"/>
        <w:overflowPunct w:val="0"/>
        <w:autoSpaceDE w:val="0"/>
        <w:autoSpaceDN w:val="0"/>
        <w:adjustRightInd w:val="0"/>
        <w:spacing w:before="13"/>
        <w:jc w:val="left"/>
        <w:rPr>
          <w:rFonts w:ascii="Times New Roman" w:hAnsi="Times New Roman" w:eastAsia="宋体" w:cs="Times New Roman"/>
          <w:color w:val="000000" w:themeColor="text1"/>
          <w:kern w:val="0"/>
          <w:sz w:val="12"/>
          <w:szCs w:val="12"/>
          <w14:textFill>
            <w14:solidFill>
              <w14:schemeClr w14:val="tx1"/>
            </w14:solidFill>
          </w14:textFill>
        </w:rPr>
      </w:pPr>
    </w:p>
    <w:tbl>
      <w:tblPr>
        <w:tblStyle w:val="18"/>
        <w:tblW w:w="4998" w:type="pct"/>
        <w:tblInd w:w="-6" w:type="dxa"/>
        <w:tblLayout w:type="autofit"/>
        <w:tblCellMar>
          <w:top w:w="0" w:type="dxa"/>
          <w:left w:w="0" w:type="dxa"/>
          <w:bottom w:w="0" w:type="dxa"/>
          <w:right w:w="0" w:type="dxa"/>
        </w:tblCellMar>
      </w:tblPr>
      <w:tblGrid>
        <w:gridCol w:w="1654"/>
        <w:gridCol w:w="2036"/>
        <w:gridCol w:w="1466"/>
        <w:gridCol w:w="1458"/>
        <w:gridCol w:w="1657"/>
        <w:gridCol w:w="1655"/>
      </w:tblGrid>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序号</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内容</w:t>
            </w:r>
          </w:p>
        </w:tc>
        <w:tc>
          <w:tcPr>
            <w:tcW w:w="738"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标书要求</w:t>
            </w:r>
          </w:p>
        </w:tc>
        <w:tc>
          <w:tcPr>
            <w:tcW w:w="7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投标响应</w:t>
            </w:r>
          </w:p>
        </w:tc>
        <w:tc>
          <w:tcPr>
            <w:tcW w:w="834"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是否偏差</w:t>
            </w:r>
          </w:p>
        </w:tc>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hint="eastAsia" w:ascii="宋体" w:hAnsi="宋体" w:eastAsia="宋体" w:cs="宋体"/>
                <w:bCs/>
                <w:color w:val="000000" w:themeColor="text1"/>
                <w:kern w:val="0"/>
                <w:szCs w:val="21"/>
                <w14:textFill>
                  <w14:solidFill>
                    <w14:schemeClr w14:val="tx1"/>
                  </w14:solidFill>
                </w14:textFill>
              </w:rPr>
              <w:t>备注</w:t>
            </w: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1</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2</w:t>
            </w:r>
          </w:p>
        </w:tc>
        <w:tc>
          <w:tcPr>
            <w:tcW w:w="1025"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宋体"/>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3</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4</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6"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5</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r>
        <w:tblPrEx>
          <w:tblCellMar>
            <w:top w:w="0" w:type="dxa"/>
            <w:left w:w="0" w:type="dxa"/>
            <w:bottom w:w="0" w:type="dxa"/>
            <w:right w:w="0" w:type="dxa"/>
          </w:tblCellMar>
        </w:tblPrEx>
        <w:trPr>
          <w:trHeight w:val="680" w:hRule="exact"/>
        </w:trPr>
        <w:tc>
          <w:tcPr>
            <w:tcW w:w="833" w:type="pct"/>
            <w:tcBorders>
              <w:top w:val="single" w:color="000000" w:sz="4" w:space="0"/>
              <w:left w:val="single" w:color="000000" w:sz="4" w:space="0"/>
              <w:bottom w:val="single" w:color="000000" w:sz="4" w:space="0"/>
              <w:right w:val="single" w:color="000000" w:sz="4" w:space="0"/>
            </w:tcBorders>
            <w:vAlign w:val="center"/>
          </w:tcPr>
          <w:p>
            <w:pPr>
              <w:kinsoku w:val="0"/>
              <w:overflowPunct w:val="0"/>
              <w:autoSpaceDE w:val="0"/>
              <w:autoSpaceDN w:val="0"/>
              <w:adjustRightInd w:val="0"/>
              <w:spacing w:line="274" w:lineRule="exact"/>
              <w:jc w:val="center"/>
              <w:rPr>
                <w:rFonts w:ascii="宋体" w:hAnsi="宋体" w:eastAsia="宋体" w:cs="Times New Roman"/>
                <w:color w:val="000000" w:themeColor="text1"/>
                <w:kern w:val="0"/>
                <w:szCs w:val="21"/>
                <w14:textFill>
                  <w14:solidFill>
                    <w14:schemeClr w14:val="tx1"/>
                  </w14:solidFill>
                </w14:textFill>
              </w:rPr>
            </w:pPr>
            <w:r>
              <w:rPr>
                <w:rFonts w:ascii="宋体" w:hAnsi="宋体" w:eastAsia="宋体" w:cs="宋体"/>
                <w:color w:val="000000" w:themeColor="text1"/>
                <w:kern w:val="0"/>
                <w:szCs w:val="21"/>
                <w14:textFill>
                  <w14:solidFill>
                    <w14:schemeClr w14:val="tx1"/>
                  </w14:solidFill>
                </w14:textFill>
              </w:rPr>
              <w:t>…</w:t>
            </w:r>
            <w:r>
              <w:rPr>
                <w:rFonts w:hint="eastAsia" w:ascii="宋体" w:hAnsi="宋体" w:eastAsia="宋体" w:cs="宋体"/>
                <w:color w:val="000000" w:themeColor="text1"/>
                <w:kern w:val="0"/>
                <w:szCs w:val="21"/>
                <w14:textFill>
                  <w14:solidFill>
                    <w14:schemeClr w14:val="tx1"/>
                  </w14:solidFill>
                </w14:textFill>
              </w:rPr>
              <w:t>..</w:t>
            </w:r>
          </w:p>
        </w:tc>
        <w:tc>
          <w:tcPr>
            <w:tcW w:w="1025"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8"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7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4"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c>
          <w:tcPr>
            <w:tcW w:w="833" w:type="pc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jc w:val="center"/>
              <w:rPr>
                <w:rFonts w:ascii="宋体" w:hAnsi="宋体" w:eastAsia="宋体" w:cs="Times New Roman"/>
                <w:color w:val="000000" w:themeColor="text1"/>
                <w:kern w:val="0"/>
                <w:szCs w:val="21"/>
                <w14:textFill>
                  <w14:solidFill>
                    <w14:schemeClr w14:val="tx1"/>
                  </w14:solidFill>
                </w14:textFill>
              </w:rPr>
            </w:pPr>
          </w:p>
        </w:tc>
      </w:tr>
    </w:tbl>
    <w:p>
      <w:pPr>
        <w:kinsoku w:val="0"/>
        <w:overflowPunct w:val="0"/>
        <w:autoSpaceDE w:val="0"/>
        <w:autoSpaceDN w:val="0"/>
        <w:adjustRightInd w:val="0"/>
        <w:spacing w:line="230" w:lineRule="exact"/>
        <w:ind w:left="520"/>
        <w:jc w:val="left"/>
        <w:rPr>
          <w:rFonts w:ascii="Times New Roman" w:hAnsi="Times New Roman" w:eastAsia="宋体" w:cs="Times New Roman"/>
          <w:color w:val="000000" w:themeColor="text1"/>
          <w:kern w:val="0"/>
          <w:sz w:val="20"/>
          <w:szCs w:val="20"/>
          <w14:textFill>
            <w14:solidFill>
              <w14:schemeClr w14:val="tx1"/>
            </w14:solidFill>
          </w14:textFill>
        </w:rPr>
      </w:pPr>
      <w:r>
        <w:rPr>
          <w:rFonts w:ascii="Times New Roman" w:hAnsi="Times New Roman" w:eastAsia="宋体" w:cs="Times New Roman"/>
          <w:color w:val="000000" w:themeColor="text1"/>
          <w:w w:val="99"/>
          <w:kern w:val="0"/>
          <w:sz w:val="20"/>
          <w:szCs w:val="20"/>
          <w14:textFill>
            <w14:solidFill>
              <w14:schemeClr w14:val="tx1"/>
            </w14:solidFill>
          </w14:textFill>
        </w:rPr>
        <w:t xml:space="preserve"> </w:t>
      </w:r>
    </w:p>
    <w:p>
      <w:pPr>
        <w:kinsoku w:val="0"/>
        <w:overflowPunct w:val="0"/>
        <w:autoSpaceDE w:val="0"/>
        <w:autoSpaceDN w:val="0"/>
        <w:adjustRightInd w:val="0"/>
        <w:spacing w:before="123"/>
        <w:ind w:left="558"/>
        <w:jc w:val="left"/>
        <w:rPr>
          <w:rFonts w:ascii="Times New Roman" w:hAnsi="Times New Roman" w:eastAsia="宋体" w:cs="Times New Roman"/>
          <w:color w:val="000000" w:themeColor="text1"/>
          <w:kern w:val="0"/>
          <w:sz w:val="22"/>
          <w14:textFill>
            <w14:solidFill>
              <w14:schemeClr w14:val="tx1"/>
            </w14:solidFill>
          </w14:textFill>
        </w:rPr>
      </w:pPr>
      <w:r>
        <w:rPr>
          <w:rFonts w:ascii="Times New Roman" w:hAnsi="Times New Roman" w:eastAsia="宋体" w:cs="Times New Roman"/>
          <w:color w:val="000000" w:themeColor="text1"/>
          <w:kern w:val="0"/>
          <w:sz w:val="22"/>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368"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spacing w:val="-13"/>
          <w:kern w:val="0"/>
          <w:szCs w:val="21"/>
          <w14:textFill>
            <w14:solidFill>
              <w14:schemeClr w14:val="tx1"/>
            </w14:solidFill>
          </w14:textFill>
        </w:rPr>
        <w:t>1</w:t>
      </w:r>
      <w:r>
        <w:rPr>
          <w:rFonts w:hint="eastAsia" w:ascii="Times New Roman" w:hAnsi="Times New Roman" w:eastAsia="宋体" w:cs="Times New Roman"/>
          <w:color w:val="000000" w:themeColor="text1"/>
          <w:spacing w:val="-13"/>
          <w:kern w:val="0"/>
          <w:szCs w:val="21"/>
          <w14:textFill>
            <w14:solidFill>
              <w14:schemeClr w14:val="tx1"/>
            </w14:solidFill>
          </w14:textFill>
        </w:rPr>
        <w:t>、供应商将任何不同于采购文件的技术条款列于“偏离表”中，同时在“偏离表”中注明</w:t>
      </w:r>
      <w:r>
        <w:rPr>
          <w:rFonts w:hint="eastAsia" w:ascii="Times New Roman" w:hAnsi="Times New Roman" w:eastAsia="宋体" w:cs="Times New Roman"/>
          <w:color w:val="000000" w:themeColor="text1"/>
          <w:kern w:val="0"/>
          <w:szCs w:val="21"/>
          <w14:textFill>
            <w14:solidFill>
              <w14:schemeClr w14:val="tx1"/>
            </w14:solidFill>
          </w14:textFill>
        </w:rPr>
        <w:t>其他条款无偏离；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35" w:line="358" w:lineRule="auto"/>
        <w:ind w:right="41" w:firstLine="420" w:firstLineChars="200"/>
        <w:jc w:val="left"/>
        <w:rPr>
          <w:rFonts w:ascii="Times New Roman" w:hAnsi="Times New Roman" w:eastAsia="宋体" w:cs="Times New Roman"/>
          <w:color w:val="000000" w:themeColor="text1"/>
          <w:spacing w:val="-13"/>
          <w:kern w:val="0"/>
          <w:sz w:val="24"/>
          <w:szCs w:val="24"/>
          <w14:textFill>
            <w14:solidFill>
              <w14:schemeClr w14:val="tx1"/>
            </w14:solidFill>
          </w14:textFill>
        </w:rPr>
      </w:pPr>
      <w:r>
        <w:rPr>
          <w:rFonts w:ascii="Times New Roman" w:hAnsi="Times New Roman" w:eastAsia="宋体" w:cs="Times New Roman"/>
          <w:color w:val="000000" w:themeColor="text1"/>
          <w:kern w:val="0"/>
          <w:szCs w:val="21"/>
          <w14:textFill>
            <w14:solidFill>
              <w14:schemeClr w14:val="tx1"/>
            </w14:solidFill>
          </w14:textFill>
        </w:rPr>
        <w:t>2</w:t>
      </w:r>
      <w:r>
        <w:rPr>
          <w:rFonts w:hint="eastAsia" w:ascii="Times New Roman" w:hAnsi="Times New Roman" w:eastAsia="宋体" w:cs="Times New Roman"/>
          <w:color w:val="000000" w:themeColor="text1"/>
          <w:kern w:val="0"/>
          <w:szCs w:val="21"/>
          <w14:textFill>
            <w14:solidFill>
              <w14:schemeClr w14:val="tx1"/>
            </w14:solidFill>
          </w14:textFill>
        </w:rPr>
        <w:t>、若所有条款均无偏离也应在“偏离表”中注明所有条款均无偏离</w:t>
      </w:r>
      <w:r>
        <w:rPr>
          <w:rFonts w:hint="eastAsia" w:ascii="Times New Roman" w:hAnsi="Times New Roman" w:eastAsia="宋体" w:cs="Times New Roman"/>
          <w:color w:val="000000" w:themeColor="text1"/>
          <w:kern w:val="0"/>
          <w:sz w:val="24"/>
          <w:szCs w:val="24"/>
          <w14:textFill>
            <w14:solidFill>
              <w14:schemeClr w14:val="tx1"/>
            </w14:solidFill>
          </w14:textFill>
        </w:rPr>
        <w:t>。</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36"/>
        <w:ind w:firstLine="360" w:firstLineChars="150"/>
        <w:jc w:val="left"/>
        <w:rPr>
          <w:rFonts w:ascii="Times New Roman" w:hAnsi="Times New Roman" w:eastAsia="宋体" w:cs="Times New Roman"/>
          <w:color w:val="000000" w:themeColor="text1"/>
          <w:kern w:val="0"/>
          <w:sz w:val="24"/>
          <w:szCs w:val="24"/>
          <w14:textFill>
            <w14:solidFill>
              <w14:schemeClr w14:val="tx1"/>
            </w14:solidFill>
          </w14:textFill>
        </w:rPr>
      </w:pPr>
      <w:r>
        <w:rPr>
          <w:rFonts w:hint="eastAsia" w:ascii="Times New Roman" w:hAnsi="Times New Roman" w:eastAsia="宋体" w:cs="Times New Roman"/>
          <w:color w:val="000000" w:themeColor="text1"/>
          <w:kern w:val="0"/>
          <w:sz w:val="24"/>
          <w:szCs w:val="24"/>
          <w14:textFill>
            <w14:solidFill>
              <w14:schemeClr w14:val="tx1"/>
            </w14:solidFill>
          </w14:textFill>
        </w:rPr>
        <w:t>3、</w:t>
      </w:r>
      <w:r>
        <w:rPr>
          <w:rFonts w:hint="eastAsia" w:ascii="Times New Roman" w:hAnsi="Times New Roman" w:eastAsia="宋体" w:cs="Times New Roman"/>
          <w:color w:val="000000" w:themeColor="text1"/>
          <w:kern w:val="0"/>
          <w:szCs w:val="21"/>
          <w14:textFill>
            <w14:solidFill>
              <w14:schemeClr w14:val="tx1"/>
            </w14:solidFill>
          </w14:textFill>
        </w:rPr>
        <w:t>供应商可根据需要自行增减表格行数。</w:t>
      </w: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51"/>
        <w:ind w:left="599"/>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before="127" w:line="480"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340"/>
        </w:tabs>
        <w:kinsoku w:val="0"/>
        <w:overflowPunct w:val="0"/>
        <w:autoSpaceDE w:val="0"/>
        <w:autoSpaceDN w:val="0"/>
        <w:adjustRightInd w:val="0"/>
        <w:spacing w:before="164" w:line="480" w:lineRule="auto"/>
        <w:ind w:left="599" w:right="41" w:firstLine="840" w:firstLineChars="35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2" w:type="default"/>
          <w:pgSz w:w="11920" w:h="16850"/>
          <w:pgMar w:top="1380" w:right="900" w:bottom="1540" w:left="1100" w:header="0" w:footer="1356" w:gutter="0"/>
          <w:pgNumType w:fmt="numberInDash"/>
          <w:cols w:space="720" w:num="1"/>
        </w:sectPr>
      </w:pPr>
    </w:p>
    <w:p>
      <w:pPr>
        <w:kinsoku w:val="0"/>
        <w:overflowPunct w:val="0"/>
        <w:autoSpaceDE w:val="0"/>
        <w:autoSpaceDN w:val="0"/>
        <w:adjustRightInd w:val="0"/>
        <w:spacing w:line="358" w:lineRule="auto"/>
        <w:jc w:val="center"/>
        <w:outlineLvl w:val="9"/>
        <w:rPr>
          <w:rFonts w:ascii="宋体" w:hAnsi="Times New Roman" w:eastAsia="宋体" w:cs="宋体"/>
          <w:color w:val="000000" w:themeColor="text1"/>
          <w:kern w:val="0"/>
          <w:sz w:val="28"/>
          <w:szCs w:val="28"/>
          <w14:textFill>
            <w14:solidFill>
              <w14:schemeClr w14:val="tx1"/>
            </w14:solidFill>
          </w14:textFill>
        </w:rPr>
      </w:pP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39" w:name="_Toc19967"/>
      <w:bookmarkStart w:id="240" w:name="_Toc20845"/>
      <w:bookmarkStart w:id="241" w:name="_Toc10076"/>
      <w:bookmarkStart w:id="242" w:name="_Toc7593"/>
      <w:r>
        <w:rPr>
          <w:rFonts w:hint="eastAsia" w:ascii="宋体" w:hAnsi="Times New Roman" w:eastAsia="宋体" w:cs="宋体"/>
          <w:color w:val="000000" w:themeColor="text1"/>
          <w:kern w:val="0"/>
          <w:sz w:val="28"/>
          <w:szCs w:val="28"/>
          <w14:textFill>
            <w14:solidFill>
              <w14:schemeClr w14:val="tx1"/>
            </w14:solidFill>
          </w14:textFill>
        </w:rPr>
        <w:t>七、资格证明文件</w:t>
      </w:r>
      <w:bookmarkEnd w:id="237"/>
      <w:bookmarkEnd w:id="238"/>
      <w:bookmarkEnd w:id="239"/>
      <w:bookmarkEnd w:id="240"/>
      <w:bookmarkEnd w:id="241"/>
      <w:bookmarkEnd w:id="242"/>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line="358" w:lineRule="auto"/>
        <w:jc w:val="center"/>
        <w:outlineLvl w:val="0"/>
        <w:rPr>
          <w:rFonts w:ascii="宋体" w:hAnsi="Times New Roman" w:eastAsia="宋体" w:cs="宋体"/>
          <w:color w:val="000000" w:themeColor="text1"/>
          <w:kern w:val="0"/>
          <w:sz w:val="24"/>
          <w:szCs w:val="24"/>
          <w14:textFill>
            <w14:solidFill>
              <w14:schemeClr w14:val="tx1"/>
            </w14:solidFill>
          </w14:textFill>
        </w:rPr>
      </w:pPr>
      <w:bookmarkStart w:id="243" w:name="_Toc10891"/>
      <w:bookmarkStart w:id="244" w:name="_Toc8624"/>
      <w:bookmarkStart w:id="245" w:name="_Toc19390"/>
      <w:r>
        <w:rPr>
          <w:rFonts w:hint="eastAsia" w:ascii="宋体" w:hAnsi="Times New Roman" w:eastAsia="宋体" w:cs="宋体"/>
          <w:color w:val="000000" w:themeColor="text1"/>
          <w:spacing w:val="-5"/>
          <w:kern w:val="0"/>
          <w:sz w:val="24"/>
          <w:szCs w:val="24"/>
          <w14:textFill>
            <w14:solidFill>
              <w14:schemeClr w14:val="tx1"/>
            </w14:solidFill>
          </w14:textFill>
        </w:rPr>
        <w:t>7</w:t>
      </w:r>
      <w:r>
        <w:rPr>
          <w:rFonts w:ascii="宋体" w:hAnsi="Times New Roman" w:eastAsia="宋体" w:cs="宋体"/>
          <w:color w:val="000000" w:themeColor="text1"/>
          <w:spacing w:val="-5"/>
          <w:kern w:val="0"/>
          <w:sz w:val="24"/>
          <w:szCs w:val="24"/>
          <w14:textFill>
            <w14:solidFill>
              <w14:schemeClr w14:val="tx1"/>
            </w14:solidFill>
          </w14:textFill>
        </w:rPr>
        <w:t>.1</w:t>
      </w:r>
      <w:r>
        <w:rPr>
          <w:rFonts w:hint="eastAsia" w:ascii="宋体" w:hAnsi="Times New Roman" w:eastAsia="宋体" w:cs="宋体"/>
          <w:color w:val="000000" w:themeColor="text1"/>
          <w:spacing w:val="-5"/>
          <w:kern w:val="0"/>
          <w:sz w:val="24"/>
          <w:szCs w:val="24"/>
          <w14:textFill>
            <w14:solidFill>
              <w14:schemeClr w14:val="tx1"/>
            </w14:solidFill>
          </w14:textFill>
        </w:rPr>
        <w:t>申明资格信</w:t>
      </w:r>
      <w:bookmarkEnd w:id="243"/>
      <w:bookmarkEnd w:id="244"/>
      <w:bookmarkEnd w:id="245"/>
    </w:p>
    <w:p>
      <w:pPr>
        <w:kinsoku w:val="0"/>
        <w:overflowPunct w:val="0"/>
        <w:autoSpaceDE w:val="0"/>
        <w:autoSpaceDN w:val="0"/>
        <w:adjustRightInd w:val="0"/>
        <w:spacing w:line="360" w:lineRule="auto"/>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致：</w:t>
      </w:r>
      <w:r>
        <w:rPr>
          <w:rFonts w:hint="eastAsia" w:ascii="Times New Roman" w:hAnsi="Times New Roman" w:eastAsia="宋体" w:cs="Times New Roman"/>
          <w:color w:val="000000" w:themeColor="text1"/>
          <w:kern w:val="0"/>
          <w:szCs w:val="21"/>
          <w:u w:val="single"/>
          <w14:textFill>
            <w14:solidFill>
              <w14:schemeClr w14:val="tx1"/>
            </w14:solidFill>
          </w14:textFill>
        </w:rPr>
        <w:t>（采购人名称）</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关于</w:t>
      </w:r>
      <w:r>
        <w:rPr>
          <w:rFonts w:hint="eastAsia" w:ascii="Times New Roman" w:hAnsi="Times New Roman" w:eastAsia="宋体" w:cs="Times New Roman"/>
          <w:color w:val="000000" w:themeColor="text1"/>
          <w:kern w:val="0"/>
          <w:szCs w:val="21"/>
          <w:u w:val="single"/>
          <w14:textFill>
            <w14:solidFill>
              <w14:schemeClr w14:val="tx1"/>
            </w14:solidFill>
          </w14:textFill>
        </w:rPr>
        <w:t>（项目名称）</w:t>
      </w:r>
      <w:r>
        <w:rPr>
          <w:rFonts w:hint="eastAsia" w:ascii="Times New Roman" w:hAnsi="Times New Roman" w:eastAsia="宋体" w:cs="Times New Roman"/>
          <w:color w:val="000000" w:themeColor="text1"/>
          <w:kern w:val="0"/>
          <w:szCs w:val="21"/>
          <w14:textFill>
            <w14:solidFill>
              <w14:schemeClr w14:val="tx1"/>
            </w14:solidFill>
          </w14:textFill>
        </w:rPr>
        <w:t>（采购编号</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ascii="Times New Roman" w:hAnsi="Times New Roman" w:eastAsia="宋体" w:cs="Times New Roman"/>
          <w:color w:val="000000" w:themeColor="text1"/>
          <w:kern w:val="0"/>
          <w:szCs w:val="21"/>
          <w:u w:val="single"/>
          <w14:textFill>
            <w14:solidFill>
              <w14:schemeClr w14:val="tx1"/>
            </w14:solidFill>
          </w14:textFill>
        </w:rPr>
        <w:t xml:space="preserve">  </w:t>
      </w:r>
      <w:r>
        <w:rPr>
          <w:rFonts w:ascii="Times New Roman" w:hAnsi="Times New Roman" w:eastAsia="宋体" w:cs="Times New Roman"/>
          <w:color w:val="000000" w:themeColor="text1"/>
          <w:spacing w:val="67"/>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u w:val="single"/>
          <w14:textFill>
            <w14:solidFill>
              <w14:schemeClr w14:val="tx1"/>
            </w14:solidFill>
          </w14:textFill>
        </w:rPr>
        <w:t>）</w:t>
      </w:r>
      <w:r>
        <w:rPr>
          <w:rFonts w:hint="eastAsia" w:ascii="Times New Roman" w:hAnsi="Times New Roman" w:eastAsia="宋体" w:cs="Times New Roman"/>
          <w:color w:val="000000" w:themeColor="text1"/>
          <w:kern w:val="0"/>
          <w:szCs w:val="21"/>
          <w14:textFill>
            <w14:solidFill>
              <w14:schemeClr w14:val="tx1"/>
            </w14:solidFill>
          </w14:textFill>
        </w:rPr>
        <w:t>的采购公告，本公司愿意参加投标，并声明：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本公司（企业）具备《中华人民共和国政府采购法》第二十二条资格条件，</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并已经清楚采购文件的要求及有关文件规定。</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本公司（企业）法定代表人或单位负责人与所参投的本采购项目</w:t>
      </w:r>
      <w:r>
        <w:rPr>
          <w:rFonts w:hint="eastAsia" w:ascii="Times New Roman" w:hAnsi="Times New Roman" w:eastAsia="宋体" w:cs="Times New Roman"/>
          <w:color w:val="000000" w:themeColor="text1"/>
          <w:spacing w:val="2"/>
          <w:kern w:val="0"/>
          <w:szCs w:val="21"/>
          <w:lang w:eastAsia="zh-CN"/>
          <w14:textFill>
            <w14:solidFill>
              <w14:schemeClr w14:val="tx1"/>
            </w14:solidFill>
          </w14:textFill>
        </w:rPr>
        <w:t>同一标段（设备）</w:t>
      </w:r>
      <w:r>
        <w:rPr>
          <w:rFonts w:hint="eastAsia" w:ascii="Times New Roman" w:hAnsi="Times New Roman" w:eastAsia="宋体" w:cs="Times New Roman"/>
          <w:color w:val="000000" w:themeColor="text1"/>
          <w:spacing w:val="2"/>
          <w:kern w:val="0"/>
          <w:szCs w:val="21"/>
          <w14:textFill>
            <w14:solidFill>
              <w14:schemeClr w14:val="tx1"/>
            </w14:solidFill>
          </w14:textFill>
        </w:rPr>
        <w:t>的其它供应商的法定</w:t>
      </w:r>
      <w:r>
        <w:rPr>
          <w:rFonts w:hint="eastAsia" w:ascii="Times New Roman" w:hAnsi="Times New Roman" w:eastAsia="宋体" w:cs="Times New Roman"/>
          <w:color w:val="000000" w:themeColor="text1"/>
          <w:kern w:val="0"/>
          <w:szCs w:val="21"/>
          <w14:textFill>
            <w14:solidFill>
              <w14:schemeClr w14:val="tx1"/>
            </w14:solidFill>
          </w14:textFill>
        </w:rPr>
        <w:t>代表人或单位负责人不为同一人且与其它供应商之间不存在直接控股、管理关系。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根据《中华人民共和国采购法实施条例》的规定，本公司（企业）如为本采购项目提</w:t>
      </w:r>
      <w:r>
        <w:rPr>
          <w:rFonts w:hint="eastAsia" w:ascii="Times New Roman" w:hAnsi="Times New Roman" w:eastAsia="宋体" w:cs="Times New Roman"/>
          <w:color w:val="000000" w:themeColor="text1"/>
          <w:spacing w:val="-4"/>
          <w:kern w:val="0"/>
          <w:szCs w:val="21"/>
          <w14:textFill>
            <w14:solidFill>
              <w14:schemeClr w14:val="tx1"/>
            </w14:solidFill>
          </w14:textFill>
        </w:rPr>
        <w:t>供整体设计规范编制或者项目管理、监测等服务的供应商，不得再参加该采购项目的其它采</w:t>
      </w:r>
      <w:r>
        <w:rPr>
          <w:rFonts w:ascii="Times New Roman" w:hAnsi="Times New Roman" w:eastAsia="宋体" w:cs="Times New Roman"/>
          <w:color w:val="000000" w:themeColor="text1"/>
          <w:spacing w:val="-102"/>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4"/>
          <w:kern w:val="0"/>
          <w:szCs w:val="21"/>
          <w14:textFill>
            <w14:solidFill>
              <w14:schemeClr w14:val="tx1"/>
            </w14:solidFill>
          </w14:textFill>
        </w:rPr>
        <w:t>购活动，否则由此所造成的损失、不良后果及法律责任，一切由我公司（企业）承担。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08"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spacing w:val="-3"/>
          <w:kern w:val="0"/>
          <w:szCs w:val="21"/>
          <w14:textFill>
            <w14:solidFill>
              <w14:schemeClr w14:val="tx1"/>
            </w14:solidFill>
          </w14:textFill>
        </w:rPr>
        <w:t>本公司（企业）具有履行合同所必需的设备和专业技术能力，且本公司（企业）参加政</w:t>
      </w:r>
      <w:r>
        <w:rPr>
          <w:rFonts w:hint="eastAsia" w:ascii="Times New Roman" w:hAnsi="Times New Roman" w:eastAsia="宋体" w:cs="Times New Roman"/>
          <w:color w:val="000000" w:themeColor="text1"/>
          <w:spacing w:val="-4"/>
          <w:kern w:val="0"/>
          <w:szCs w:val="21"/>
          <w14:textFill>
            <w14:solidFill>
              <w14:schemeClr w14:val="tx1"/>
            </w14:solidFill>
          </w14:textFill>
        </w:rPr>
        <w:t>府采购活动前</w:t>
      </w:r>
      <w:r>
        <w:rPr>
          <w:rFonts w:ascii="Times New Roman" w:hAnsi="Times New Roman" w:eastAsia="宋体" w:cs="Times New Roman"/>
          <w:color w:val="000000" w:themeColor="text1"/>
          <w:kern w:val="0"/>
          <w:szCs w:val="21"/>
          <w14:textFill>
            <w14:solidFill>
              <w14:schemeClr w14:val="tx1"/>
            </w14:solidFill>
          </w14:textFill>
        </w:rPr>
        <w:t>3</w:t>
      </w:r>
      <w:r>
        <w:rPr>
          <w:rFonts w:hint="eastAsia" w:ascii="Times New Roman" w:hAnsi="Times New Roman" w:eastAsia="宋体" w:cs="Times New Roman"/>
          <w:color w:val="000000" w:themeColor="text1"/>
          <w:spacing w:val="-7"/>
          <w:kern w:val="0"/>
          <w:szCs w:val="21"/>
          <w14:textFill>
            <w14:solidFill>
              <w14:schemeClr w14:val="tx1"/>
            </w14:solidFill>
          </w14:textFill>
        </w:rPr>
        <w:t>年内，在经营活动中没有重大违法记录，否则由此所造成的损失、不良后果</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8" w:firstLineChars="200"/>
        <w:rPr>
          <w:rFonts w:ascii="Times New Roman" w:hAnsi="Times New Roman" w:eastAsia="宋体" w:cs="Times New Roman"/>
          <w:color w:val="000000" w:themeColor="text1"/>
          <w:spacing w:val="-8"/>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与采购人、采购人就本次采购项目委托的咨询机构、采购代理机构，以及上述机构的</w:t>
      </w:r>
      <w:r>
        <w:rPr>
          <w:rFonts w:hint="eastAsia" w:ascii="Times New Roman" w:hAnsi="Times New Roman" w:eastAsia="宋体" w:cs="Times New Roman"/>
          <w:color w:val="000000" w:themeColor="text1"/>
          <w:spacing w:val="-8"/>
          <w:kern w:val="0"/>
          <w:szCs w:val="21"/>
          <w14:textFill>
            <w14:solidFill>
              <w14:schemeClr w14:val="tx1"/>
            </w14:solidFill>
          </w14:textFill>
        </w:rPr>
        <w:t>附属机构，没有行政或经济关联；我公司独立参加投标，未组成联合体投标。</w:t>
      </w:r>
      <w:r>
        <w:rPr>
          <w:rFonts w:ascii="Times New Roman" w:hAnsi="Times New Roman" w:eastAsia="宋体" w:cs="Times New Roman"/>
          <w:color w:val="000000" w:themeColor="text1"/>
          <w:spacing w:val="-8"/>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我方保证上述信息的真实和准确，本次采购活动中如有违法、违规、弄虚作假行为，</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所造成的损失、不良后果及法律责任，一切由我公司（企业）承担。</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36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特此声明！</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34" w:line="357" w:lineRule="auto"/>
        <w:ind w:right="4332"/>
        <w:jc w:val="left"/>
        <w:rPr>
          <w:rFonts w:ascii="Times New Roman" w:hAnsi="Times New Roman" w:eastAsia="宋体" w:cs="Times New Roman"/>
          <w:color w:val="000000" w:themeColor="text1"/>
          <w:kern w:val="0"/>
          <w:szCs w:val="21"/>
          <w14:textFill>
            <w14:solidFill>
              <w14:schemeClr w14:val="tx1"/>
            </w14:solidFill>
          </w14:textFill>
        </w:rPr>
      </w:pP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1979"/>
        </w:tabs>
        <w:kinsoku w:val="0"/>
        <w:overflowPunct w:val="0"/>
        <w:autoSpaceDE w:val="0"/>
        <w:autoSpaceDN w:val="0"/>
        <w:adjustRightInd w:val="0"/>
        <w:spacing w:before="34" w:line="357" w:lineRule="auto"/>
        <w:ind w:left="599" w:right="3485"/>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80" w:right="1100" w:bottom="1540" w:left="1100" w:header="0" w:footer="1356" w:gutter="0"/>
          <w:pgNumType w:fmt="numberInDash"/>
          <w:cols w:space="720" w:num="1"/>
        </w:sectPr>
      </w:pPr>
    </w:p>
    <w:p>
      <w:pPr>
        <w:autoSpaceDE w:val="0"/>
        <w:autoSpaceDN w:val="0"/>
        <w:adjustRightInd w:val="0"/>
        <w:spacing w:before="14" w:after="120" w:afterLines="50"/>
        <w:ind w:left="1213" w:right="595"/>
        <w:jc w:val="center"/>
        <w:outlineLvl w:val="0"/>
        <w:rPr>
          <w:rFonts w:hint="eastAsia" w:ascii="宋体" w:hAnsi="Times New Roman" w:eastAsia="宋体" w:cs="宋体"/>
          <w:color w:val="000000" w:themeColor="text1"/>
          <w:spacing w:val="-4"/>
          <w:kern w:val="0"/>
          <w:sz w:val="28"/>
          <w:szCs w:val="28"/>
          <w14:textFill>
            <w14:solidFill>
              <w14:schemeClr w14:val="tx1"/>
            </w14:solidFill>
          </w14:textFill>
        </w:rPr>
        <w:sectPr>
          <w:footerReference r:id="rId13" w:type="default"/>
          <w:pgSz w:w="11920" w:h="16850"/>
          <w:pgMar w:top="1600" w:right="1680" w:bottom="1540" w:left="1100" w:header="0" w:footer="1356" w:gutter="0"/>
          <w:pgNumType w:fmt="numberInDash"/>
          <w:cols w:space="720" w:num="1"/>
        </w:sectPr>
      </w:pPr>
      <w:bookmarkStart w:id="246" w:name="_Toc11175"/>
      <w:bookmarkStart w:id="247" w:name="_Toc7950"/>
      <w:bookmarkStart w:id="248" w:name="_Toc30141"/>
      <w:r>
        <w:rPr>
          <w:rFonts w:hint="eastAsia" w:ascii="宋体" w:hAnsi="Times New Roman" w:eastAsia="宋体" w:cs="宋体"/>
          <w:color w:val="000000" w:themeColor="text1"/>
          <w:spacing w:val="-4"/>
          <w:kern w:val="0"/>
          <w:sz w:val="28"/>
          <w:szCs w:val="28"/>
          <w14:textFill>
            <w14:solidFill>
              <w14:schemeClr w14:val="tx1"/>
            </w14:solidFill>
          </w14:textFill>
        </w:rPr>
        <w:t>7.2营业执照</w:t>
      </w:r>
      <w:bookmarkEnd w:id="246"/>
      <w:bookmarkEnd w:id="247"/>
      <w:bookmarkEnd w:id="248"/>
      <w:r>
        <w:rPr>
          <w:rFonts w:hint="eastAsia" w:ascii="宋体" w:hAnsi="Times New Roman" w:eastAsia="宋体" w:cs="宋体"/>
          <w:color w:val="000000" w:themeColor="text1"/>
          <w:spacing w:val="-4"/>
          <w:kern w:val="0"/>
          <w:sz w:val="28"/>
          <w:szCs w:val="28"/>
          <w14:textFill>
            <w14:solidFill>
              <w14:schemeClr w14:val="tx1"/>
            </w14:solidFill>
          </w14:textFill>
        </w:rPr>
        <w:t xml:space="preserve"> </w:t>
      </w:r>
    </w:p>
    <w:p>
      <w:pPr>
        <w:kinsoku w:val="0"/>
        <w:overflowPunct w:val="0"/>
        <w:autoSpaceDE w:val="0"/>
        <w:autoSpaceDN w:val="0"/>
        <w:adjustRightInd w:val="0"/>
        <w:jc w:val="center"/>
        <w:outlineLvl w:val="0"/>
        <w:rPr>
          <w:rFonts w:ascii="宋体" w:hAnsi="Times New Roman" w:eastAsia="宋体" w:cs="宋体"/>
          <w:color w:val="000000" w:themeColor="text1"/>
          <w:kern w:val="0"/>
          <w:sz w:val="28"/>
          <w:szCs w:val="28"/>
          <w14:textFill>
            <w14:solidFill>
              <w14:schemeClr w14:val="tx1"/>
            </w14:solidFill>
          </w14:textFill>
        </w:rPr>
      </w:pPr>
      <w:bookmarkStart w:id="249" w:name="_Toc28535"/>
      <w:bookmarkStart w:id="250" w:name="_Toc31148"/>
      <w:bookmarkStart w:id="251" w:name="_Toc15035"/>
      <w:bookmarkStart w:id="252" w:name="_Toc5956070"/>
      <w:bookmarkStart w:id="253" w:name="_Toc88447547"/>
      <w:bookmarkStart w:id="254" w:name="_Toc224"/>
      <w:r>
        <w:rPr>
          <w:rFonts w:hint="eastAsia" w:ascii="宋体" w:hAnsi="Times New Roman" w:eastAsia="宋体" w:cs="宋体"/>
          <w:color w:val="000000" w:themeColor="text1"/>
          <w:kern w:val="0"/>
          <w:sz w:val="28"/>
          <w:szCs w:val="28"/>
          <w14:textFill>
            <w14:solidFill>
              <w14:schemeClr w14:val="tx1"/>
            </w14:solidFill>
          </w14:textFill>
        </w:rPr>
        <w:t>八、供应商综合能力证明文件</w:t>
      </w:r>
      <w:bookmarkEnd w:id="249"/>
      <w:bookmarkEnd w:id="250"/>
      <w:bookmarkEnd w:id="251"/>
      <w:bookmarkEnd w:id="252"/>
      <w:bookmarkEnd w:id="253"/>
      <w:bookmarkEnd w:id="254"/>
    </w:p>
    <w:p>
      <w:pPr>
        <w:kinsoku w:val="0"/>
        <w:overflowPunct w:val="0"/>
        <w:autoSpaceDE w:val="0"/>
        <w:autoSpaceDN w:val="0"/>
        <w:adjustRightInd w:val="0"/>
        <w:spacing w:before="3"/>
        <w:jc w:val="left"/>
        <w:rPr>
          <w:rFonts w:ascii="Times New Roman" w:hAnsi="Times New Roman" w:eastAsia="宋体" w:cs="Times New Roman"/>
          <w:color w:val="000000" w:themeColor="text1"/>
          <w:kern w:val="0"/>
          <w:sz w:val="12"/>
          <w:szCs w:val="12"/>
          <w14:textFill>
            <w14:solidFill>
              <w14:schemeClr w14:val="tx1"/>
            </w14:solidFill>
          </w14:textFill>
        </w:rPr>
      </w:pPr>
    </w:p>
    <w:p>
      <w:pPr>
        <w:kinsoku w:val="0"/>
        <w:overflowPunct w:val="0"/>
        <w:autoSpaceDE w:val="0"/>
        <w:autoSpaceDN w:val="0"/>
        <w:adjustRightInd w:val="0"/>
        <w:spacing w:before="22"/>
        <w:ind w:left="618"/>
        <w:jc w:val="center"/>
        <w:outlineLvl w:val="0"/>
        <w:rPr>
          <w:rFonts w:ascii="宋体" w:hAnsi="Times New Roman" w:eastAsia="宋体" w:cs="宋体"/>
          <w:color w:val="000000" w:themeColor="text1"/>
          <w:kern w:val="0"/>
          <w:sz w:val="25"/>
          <w:szCs w:val="25"/>
          <w14:textFill>
            <w14:solidFill>
              <w14:schemeClr w14:val="tx1"/>
            </w14:solidFill>
          </w14:textFill>
        </w:rPr>
      </w:pPr>
      <w:bookmarkStart w:id="255" w:name="_Toc1522"/>
      <w:bookmarkStart w:id="256" w:name="_Toc5003"/>
      <w:bookmarkStart w:id="257" w:name="_Toc1937"/>
      <w:r>
        <w:rPr>
          <w:rFonts w:hint="eastAsia" w:ascii="宋体" w:hAnsi="Times New Roman" w:eastAsia="宋体" w:cs="宋体"/>
          <w:color w:val="000000" w:themeColor="text1"/>
          <w:w w:val="99"/>
          <w:kern w:val="0"/>
          <w:sz w:val="25"/>
          <w:szCs w:val="25"/>
          <w14:textFill>
            <w14:solidFill>
              <w14:schemeClr w14:val="tx1"/>
            </w14:solidFill>
          </w14:textFill>
        </w:rPr>
        <w:t>格式自拟</w:t>
      </w:r>
      <w:bookmarkEnd w:id="255"/>
      <w:bookmarkEnd w:id="256"/>
      <w:bookmarkEnd w:id="257"/>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
        <w:jc w:val="left"/>
        <w:rPr>
          <w:rFonts w:ascii="Times New Roman" w:hAnsi="Times New Roman" w:eastAsia="宋体" w:cs="Times New Roman"/>
          <w:color w:val="000000" w:themeColor="text1"/>
          <w:kern w:val="0"/>
          <w:sz w:val="16"/>
          <w:szCs w:val="16"/>
          <w14:textFill>
            <w14:solidFill>
              <w14:schemeClr w14:val="tx1"/>
            </w14:solidFill>
          </w14:textFill>
        </w:rPr>
      </w:pPr>
    </w:p>
    <w:p>
      <w:pPr>
        <w:tabs>
          <w:tab w:val="left" w:pos="2233"/>
        </w:tabs>
        <w:kinsoku w:val="0"/>
        <w:overflowPunct w:val="0"/>
        <w:autoSpaceDE w:val="0"/>
        <w:autoSpaceDN w:val="0"/>
        <w:adjustRightInd w:val="0"/>
        <w:spacing w:before="14"/>
        <w:ind w:left="674"/>
        <w:jc w:val="left"/>
        <w:rPr>
          <w:rFonts w:ascii="宋体" w:hAnsi="Times New Roman" w:eastAsia="宋体" w:cs="宋体"/>
          <w:color w:val="000000" w:themeColor="text1"/>
          <w:kern w:val="0"/>
          <w:sz w:val="28"/>
          <w:szCs w:val="28"/>
          <w14:textFill>
            <w14:solidFill>
              <w14:schemeClr w14:val="tx1"/>
            </w14:solidFill>
          </w14:textFill>
        </w:rPr>
        <w:sectPr>
          <w:pgSz w:w="11920" w:h="16850"/>
          <w:pgMar w:top="1600" w:right="1680" w:bottom="1540" w:left="1100" w:header="0" w:footer="1356" w:gutter="0"/>
          <w:pgNumType w:fmt="numberInDash"/>
          <w:cols w:space="720" w:num="1"/>
        </w:sectPr>
      </w:pPr>
    </w:p>
    <w:p>
      <w:pPr>
        <w:kinsoku w:val="0"/>
        <w:overflowPunct w:val="0"/>
        <w:autoSpaceDE w:val="0"/>
        <w:autoSpaceDN w:val="0"/>
        <w:adjustRightInd w:val="0"/>
        <w:spacing w:line="353" w:lineRule="exact"/>
        <w:ind w:left="3175"/>
        <w:jc w:val="left"/>
        <w:outlineLvl w:val="0"/>
        <w:rPr>
          <w:rFonts w:ascii="Times New Roman" w:hAnsi="Times New Roman" w:eastAsia="宋体" w:cs="Times New Roman"/>
          <w:color w:val="000000" w:themeColor="text1"/>
          <w:kern w:val="0"/>
          <w:sz w:val="28"/>
          <w:szCs w:val="28"/>
          <w14:textFill>
            <w14:solidFill>
              <w14:schemeClr w14:val="tx1"/>
            </w14:solidFill>
          </w14:textFill>
        </w:rPr>
      </w:pPr>
      <w:bookmarkStart w:id="258" w:name="_Toc9324"/>
      <w:bookmarkStart w:id="259" w:name="_Toc18935"/>
      <w:bookmarkStart w:id="260" w:name="_Toc5956073"/>
      <w:bookmarkStart w:id="261" w:name="_Toc29302"/>
      <w:bookmarkStart w:id="262" w:name="_Toc88447548"/>
      <w:bookmarkStart w:id="263" w:name="_Toc11603"/>
      <w:r>
        <w:rPr>
          <w:rFonts w:hint="eastAsia" w:ascii="Times New Roman" w:hAnsi="Times New Roman" w:eastAsia="宋体" w:cs="Times New Roman"/>
          <w:color w:val="000000" w:themeColor="text1"/>
          <w:kern w:val="0"/>
          <w:sz w:val="28"/>
          <w:szCs w:val="28"/>
          <w14:textFill>
            <w14:solidFill>
              <w14:schemeClr w14:val="tx1"/>
            </w14:solidFill>
          </w14:textFill>
        </w:rPr>
        <w:t>九、供应商反商业贿赂承诺书</w:t>
      </w:r>
      <w:bookmarkEnd w:id="258"/>
      <w:bookmarkEnd w:id="259"/>
      <w:bookmarkEnd w:id="260"/>
      <w:bookmarkEnd w:id="261"/>
      <w:bookmarkEnd w:id="262"/>
      <w:bookmarkEnd w:id="263"/>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spacing w:before="240" w:beforeLines="100" w:after="120" w:afterLines="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我公司承诺：</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在</w:t>
      </w:r>
      <w:r>
        <w:rPr>
          <w:rFonts w:ascii="宋体" w:hAnsi="Times New Roman" w:eastAsia="宋体" w:cs="宋体"/>
          <w:color w:val="000000" w:themeColor="text1"/>
          <w:kern w:val="0"/>
          <w:szCs w:val="21"/>
          <w14:textFill>
            <w14:solidFill>
              <w14:schemeClr w14:val="tx1"/>
            </w14:solidFill>
          </w14:textFill>
        </w:rPr>
        <w:t xml:space="preserve"> </w:t>
      </w:r>
      <w:r>
        <w:rPr>
          <w:rFonts w:hint="eastAsia" w:ascii="宋体" w:hAnsi="Times New Roman" w:eastAsia="宋体" w:cs="宋体"/>
          <w:color w:val="000000" w:themeColor="text1"/>
          <w:kern w:val="0"/>
          <w:szCs w:val="21"/>
          <w:u w:val="single"/>
          <w14:textFill>
            <w14:solidFill>
              <w14:schemeClr w14:val="tx1"/>
            </w14:solidFill>
          </w14:textFill>
        </w:rPr>
        <w:t>（投标项目名称）</w:t>
      </w:r>
      <w:r>
        <w:rPr>
          <w:rFonts w:hint="eastAsia" w:ascii="宋体" w:hAnsi="Times New Roman" w:eastAsia="宋体" w:cs="宋体"/>
          <w:color w:val="000000" w:themeColor="text1"/>
          <w:kern w:val="0"/>
          <w:szCs w:val="21"/>
          <w14:textFill>
            <w14:solidFill>
              <w14:schemeClr w14:val="tx1"/>
            </w14:solidFill>
          </w14:textFill>
        </w:rPr>
        <w:t>招标活动中，我公司保证做到：</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一、公平竞争参加本次招标活动。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r>
        <w:rPr>
          <w:rFonts w:ascii="宋体" w:hAnsi="Times New Roman" w:eastAsia="宋体" w:cs="宋体"/>
          <w:color w:val="000000" w:themeColor="text1"/>
          <w:kern w:val="0"/>
          <w:szCs w:val="21"/>
          <w14:textFill>
            <w14:solidFill>
              <w14:schemeClr w14:val="tx1"/>
            </w14:solidFill>
          </w14:textFill>
        </w:rPr>
        <w:t xml:space="preserve"> </w:t>
      </w:r>
    </w:p>
    <w:p>
      <w:pPr>
        <w:tabs>
          <w:tab w:val="left" w:pos="842"/>
        </w:tabs>
        <w:spacing w:line="440" w:lineRule="exact"/>
        <w:ind w:right="100" w:firstLine="525" w:firstLineChars="250"/>
        <w:rPr>
          <w:rFonts w:ascii="宋体" w:hAnsi="Times New Roman" w:eastAsia="宋体" w:cs="宋体"/>
          <w:color w:val="000000" w:themeColor="text1"/>
          <w:kern w:val="0"/>
          <w:szCs w:val="21"/>
          <w14:textFill>
            <w14:solidFill>
              <w14:schemeClr w14:val="tx1"/>
            </w14:solidFill>
          </w14:textFill>
        </w:rPr>
      </w:pPr>
      <w:r>
        <w:rPr>
          <w:rFonts w:hint="eastAsia" w:ascii="宋体" w:hAnsi="Times New Roman" w:eastAsia="宋体" w:cs="宋体"/>
          <w:color w:val="000000" w:themeColor="text1"/>
          <w:kern w:val="0"/>
          <w:szCs w:val="21"/>
          <w14:textFill>
            <w14:solidFill>
              <w14:schemeClr w14:val="tx1"/>
            </w14:solidFill>
          </w14:textFill>
        </w:rPr>
        <w:t>三、若出现上述行为，我公司及参与投标的工作人员愿意接受按照国家法律法规等有关规定给予的处罚。</w:t>
      </w:r>
      <w:r>
        <w:rPr>
          <w:rFonts w:ascii="宋体" w:hAnsi="Times New Roman" w:eastAsia="宋体" w:cs="宋体"/>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41"/>
        <w:ind w:left="678"/>
        <w:jc w:val="left"/>
        <w:rPr>
          <w:rFonts w:ascii="Times New Roman" w:hAnsi="Times New Roman" w:eastAsia="宋体" w:cs="Times New Roman"/>
          <w:color w:val="000000" w:themeColor="text1"/>
          <w:kern w:val="0"/>
          <w:sz w:val="24"/>
          <w:szCs w:val="24"/>
          <w14:textFill>
            <w14:solidFill>
              <w14:schemeClr w14:val="tx1"/>
            </w14:solidFill>
          </w14:textFill>
        </w:rPr>
      </w:pPr>
      <w:r>
        <w:rPr>
          <w:rFonts w:ascii="Times New Roman" w:hAnsi="Times New Roman" w:eastAsia="宋体" w:cs="Times New Roman"/>
          <w:color w:val="000000" w:themeColor="text1"/>
          <w:kern w:val="0"/>
          <w:sz w:val="24"/>
          <w:szCs w:val="24"/>
          <w14:textFill>
            <w14:solidFill>
              <w14:schemeClr w14:val="tx1"/>
            </w14:solidFill>
          </w14:textFill>
        </w:rPr>
        <w:t xml:space="preserve"> </w:t>
      </w:r>
    </w:p>
    <w:p>
      <w:pPr>
        <w:kinsoku w:val="0"/>
        <w:overflowPunct w:val="0"/>
        <w:autoSpaceDE w:val="0"/>
        <w:autoSpaceDN w:val="0"/>
        <w:adjustRightInd w:val="0"/>
        <w:spacing w:before="178"/>
        <w:ind w:left="678"/>
        <w:jc w:val="left"/>
        <w:rPr>
          <w:rFonts w:ascii="Times New Roman" w:hAnsi="Times New Roman" w:eastAsia="宋体" w:cs="Times New Roman"/>
          <w:color w:val="000000" w:themeColor="text1"/>
          <w:kern w:val="0"/>
          <w:sz w:val="28"/>
          <w:szCs w:val="28"/>
          <w14:textFill>
            <w14:solidFill>
              <w14:schemeClr w14:val="tx1"/>
            </w14:solidFill>
          </w14:textFill>
        </w:rPr>
      </w:pPr>
      <w:r>
        <w:rPr>
          <w:rFonts w:ascii="Times New Roman" w:hAnsi="Times New Roman" w:eastAsia="宋体" w:cs="Times New Roman"/>
          <w:color w:val="000000" w:themeColor="text1"/>
          <w:kern w:val="0"/>
          <w:sz w:val="28"/>
          <w:szCs w:val="28"/>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480"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2140"/>
        </w:tabs>
        <w:kinsoku w:val="0"/>
        <w:overflowPunct w:val="0"/>
        <w:autoSpaceDE w:val="0"/>
        <w:autoSpaceDN w:val="0"/>
        <w:adjustRightInd w:val="0"/>
        <w:spacing w:before="14"/>
        <w:ind w:left="678"/>
        <w:jc w:val="left"/>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rPr>
          <w:rFonts w:ascii="Times New Roman" w:hAnsi="Times New Roman" w:eastAsia="宋体" w:cs="Times New Roman"/>
          <w:color w:val="000000" w:themeColor="text1"/>
          <w:kern w:val="0"/>
          <w:sz w:val="28"/>
          <w:szCs w:val="28"/>
          <w14:textFill>
            <w14:solidFill>
              <w14:schemeClr w14:val="tx1"/>
            </w14:solidFill>
          </w14:textFill>
        </w:rPr>
      </w:pPr>
    </w:p>
    <w:p>
      <w:pPr>
        <w:pStyle w:val="2"/>
        <w:rPr>
          <w:rFonts w:ascii="Times New Roman" w:hAnsi="Times New Roman" w:eastAsia="宋体" w:cs="Times New Roman"/>
          <w:color w:val="000000" w:themeColor="text1"/>
          <w:kern w:val="0"/>
          <w:sz w:val="28"/>
          <w:szCs w:val="28"/>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4" w:name="_Toc16060"/>
      <w:r>
        <w:rPr>
          <w:rFonts w:hint="eastAsia" w:ascii="宋体" w:hAnsi="Times New Roman" w:eastAsia="宋体" w:cs="宋体"/>
          <w:color w:val="000000" w:themeColor="text1"/>
          <w:kern w:val="0"/>
          <w:sz w:val="28"/>
          <w:szCs w:val="28"/>
          <w14:textFill>
            <w14:solidFill>
              <w14:schemeClr w14:val="tx1"/>
            </w14:solidFill>
          </w14:textFill>
        </w:rPr>
        <w:t>十、中小企业声明函</w:t>
      </w:r>
      <w:bookmarkEnd w:id="264"/>
      <w:r>
        <w:rPr>
          <w:rFonts w:ascii="宋体" w:hAnsi="Times New Roman" w:eastAsia="宋体" w:cs="宋体"/>
          <w:color w:val="000000" w:themeColor="text1"/>
          <w:kern w:val="0"/>
          <w:sz w:val="28"/>
          <w:szCs w:val="28"/>
          <w14:textFill>
            <w14:solidFill>
              <w14:schemeClr w14:val="tx1"/>
            </w14:solidFill>
          </w14:textFill>
        </w:rPr>
        <w:t xml:space="preserve"> </w:t>
      </w:r>
    </w:p>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本公司（联合体）郑重声明，根据《政府采购促进中小企业发展管理办法》（财库﹝2020﹞46 号）的规定，本公司（联合体）参加</w:t>
      </w:r>
      <w:r>
        <w:rPr>
          <w:rFonts w:hint="eastAsia" w:ascii="宋体" w:hAnsi="宋体" w:eastAsia="宋体" w:cs="宋体"/>
          <w:color w:val="000000" w:themeColor="text1"/>
          <w:kern w:val="0"/>
          <w:szCs w:val="21"/>
          <w:u w:val="single"/>
          <w14:textFill>
            <w14:solidFill>
              <w14:schemeClr w14:val="tx1"/>
            </w14:solidFill>
          </w14:textFill>
        </w:rPr>
        <w:t>（单位名称）</w:t>
      </w:r>
      <w:r>
        <w:rPr>
          <w:rFonts w:hint="eastAsia" w:ascii="宋体" w:hAnsi="宋体" w:eastAsia="宋体" w:cs="宋体"/>
          <w:color w:val="000000" w:themeColor="text1"/>
          <w:kern w:val="0"/>
          <w:szCs w:val="21"/>
          <w14:textFill>
            <w14:solidFill>
              <w14:schemeClr w14:val="tx1"/>
            </w14:solidFill>
          </w14:textFill>
        </w:rPr>
        <w:t>的</w:t>
      </w:r>
      <w:r>
        <w:rPr>
          <w:rFonts w:hint="eastAsia" w:ascii="宋体" w:hAnsi="宋体" w:eastAsia="宋体" w:cs="宋体"/>
          <w:color w:val="000000" w:themeColor="text1"/>
          <w:kern w:val="0"/>
          <w:szCs w:val="21"/>
          <w:u w:val="single"/>
          <w14:textFill>
            <w14:solidFill>
              <w14:schemeClr w14:val="tx1"/>
            </w14:solidFill>
          </w14:textFill>
        </w:rPr>
        <w:t>（项目名称）</w:t>
      </w:r>
      <w:r>
        <w:rPr>
          <w:rFonts w:hint="eastAsia" w:ascii="宋体" w:hAnsi="宋体" w:eastAsia="宋体" w:cs="宋体"/>
          <w:color w:val="000000" w:themeColor="text1"/>
          <w:kern w:val="0"/>
          <w:szCs w:val="21"/>
          <w14:textFill>
            <w14:solidFill>
              <w14:schemeClr w14:val="tx1"/>
            </w14:solidFill>
          </w14:textFill>
        </w:rPr>
        <w:t>采购活动，提供的货物全部由符合政策要求的中小企业制造。相关企业（含联合体中的中小企业、签订分包意向协议的中小企业）的具体情况如下：</w:t>
      </w:r>
    </w:p>
    <w:p>
      <w:pPr>
        <w:autoSpaceDE w:val="0"/>
        <w:autoSpaceDN w:val="0"/>
        <w:adjustRightInd w:val="0"/>
        <w:spacing w:line="360" w:lineRule="auto"/>
        <w:ind w:left="365" w:leftChars="174"/>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1.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 </w:t>
      </w:r>
      <w:r>
        <w:rPr>
          <w:rFonts w:hint="eastAsia" w:ascii="宋体" w:hAnsi="宋体" w:eastAsia="宋体" w:cs="宋体"/>
          <w:color w:val="000000" w:themeColor="text1"/>
          <w:kern w:val="0"/>
          <w:szCs w:val="21"/>
          <w:u w:val="single"/>
          <w14:textFill>
            <w14:solidFill>
              <w14:schemeClr w14:val="tx1"/>
            </w14:solidFill>
          </w14:textFill>
        </w:rPr>
        <w:t>（采购文件中明确的所属行业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（企业名称）</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 xml:space="preserve">2. </w:t>
      </w:r>
      <w:r>
        <w:rPr>
          <w:rFonts w:hint="eastAsia" w:ascii="宋体" w:hAnsi="宋体" w:eastAsia="宋体" w:cs="宋体"/>
          <w:color w:val="000000" w:themeColor="text1"/>
          <w:kern w:val="0"/>
          <w:szCs w:val="21"/>
          <w:u w:val="single"/>
          <w14:textFill>
            <w14:solidFill>
              <w14:schemeClr w14:val="tx1"/>
            </w14:solidFill>
          </w14:textFill>
        </w:rPr>
        <w:t xml:space="preserve">（标的名称）  </w:t>
      </w:r>
      <w:r>
        <w:rPr>
          <w:rFonts w:hint="eastAsia" w:ascii="宋体" w:hAnsi="宋体" w:eastAsia="宋体" w:cs="宋体"/>
          <w:color w:val="000000" w:themeColor="text1"/>
          <w:kern w:val="0"/>
          <w:szCs w:val="21"/>
          <w14:textFill>
            <w14:solidFill>
              <w14:schemeClr w14:val="tx1"/>
            </w14:solidFill>
          </w14:textFill>
        </w:rPr>
        <w:t xml:space="preserve"> ，属于</w:t>
      </w:r>
      <w:r>
        <w:rPr>
          <w:rFonts w:hint="eastAsia" w:ascii="宋体" w:hAnsi="宋体" w:eastAsia="宋体" w:cs="宋体"/>
          <w:color w:val="000000" w:themeColor="text1"/>
          <w:kern w:val="0"/>
          <w:szCs w:val="21"/>
          <w:u w:val="single"/>
          <w14:textFill>
            <w14:solidFill>
              <w14:schemeClr w14:val="tx1"/>
            </w14:solidFill>
          </w14:textFill>
        </w:rPr>
        <w:t xml:space="preserve">（采购文件中明确的所属行业） </w:t>
      </w:r>
      <w:r>
        <w:rPr>
          <w:rFonts w:hint="eastAsia" w:ascii="宋体" w:hAnsi="宋体" w:eastAsia="宋体" w:cs="宋体"/>
          <w:color w:val="000000" w:themeColor="text1"/>
          <w:kern w:val="0"/>
          <w:szCs w:val="21"/>
          <w14:textFill>
            <w14:solidFill>
              <w14:schemeClr w14:val="tx1"/>
            </w14:solidFill>
          </w14:textFill>
        </w:rPr>
        <w:t>行业；制造商为</w:t>
      </w:r>
      <w:r>
        <w:rPr>
          <w:rFonts w:hint="eastAsia" w:ascii="宋体" w:hAnsi="宋体" w:eastAsia="宋体" w:cs="宋体"/>
          <w:color w:val="000000" w:themeColor="text1"/>
          <w:kern w:val="0"/>
          <w:szCs w:val="21"/>
          <w:u w:val="single"/>
          <w14:textFill>
            <w14:solidFill>
              <w14:schemeClr w14:val="tx1"/>
            </w14:solidFill>
          </w14:textFill>
        </w:rPr>
        <w:t xml:space="preserve">（企业名称） </w:t>
      </w:r>
      <w:r>
        <w:rPr>
          <w:rFonts w:hint="eastAsia" w:ascii="宋体" w:hAnsi="宋体" w:eastAsia="宋体" w:cs="宋体"/>
          <w:color w:val="000000" w:themeColor="text1"/>
          <w:kern w:val="0"/>
          <w:szCs w:val="21"/>
          <w14:textFill>
            <w14:solidFill>
              <w14:schemeClr w14:val="tx1"/>
            </w14:solidFill>
          </w14:textFill>
        </w:rPr>
        <w:t>，从业人员</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人，营业收入为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万元，资产总额为</w:t>
      </w:r>
      <w:r>
        <w:rPr>
          <w:rFonts w:hint="eastAsia" w:ascii="宋体" w:hAnsi="宋体" w:eastAsia="宋体" w:cs="宋体"/>
          <w:color w:val="000000" w:themeColor="text1"/>
          <w:kern w:val="0"/>
          <w:szCs w:val="21"/>
          <w:u w:val="single"/>
          <w14:textFill>
            <w14:solidFill>
              <w14:schemeClr w14:val="tx1"/>
            </w14:solidFill>
          </w14:textFill>
        </w:rPr>
        <w:t xml:space="preserve">   </w:t>
      </w:r>
      <w:r>
        <w:rPr>
          <w:rFonts w:hint="eastAsia" w:ascii="宋体" w:hAnsi="宋体" w:eastAsia="宋体" w:cs="宋体"/>
          <w:color w:val="000000" w:themeColor="text1"/>
          <w:kern w:val="0"/>
          <w:szCs w:val="21"/>
          <w14:textFill>
            <w14:solidFill>
              <w14:schemeClr w14:val="tx1"/>
            </w14:solidFill>
          </w14:textFill>
        </w:rPr>
        <w:t>万元，属于</w:t>
      </w:r>
      <w:r>
        <w:rPr>
          <w:rFonts w:hint="eastAsia" w:ascii="宋体" w:hAnsi="宋体" w:eastAsia="宋体" w:cs="宋体"/>
          <w:color w:val="000000" w:themeColor="text1"/>
          <w:kern w:val="0"/>
          <w:szCs w:val="21"/>
          <w:u w:val="single"/>
          <w14:textFill>
            <w14:solidFill>
              <w14:schemeClr w14:val="tx1"/>
            </w14:solidFill>
          </w14:textFill>
        </w:rPr>
        <w:t>（中型企业、小型企业、微型企业）</w:t>
      </w: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以上企业，不属于大企业的分支机构，不存在控股股东为大企业的情形，也不存在与大企业的负责人为同一人的情形。</w:t>
      </w:r>
    </w:p>
    <w:p>
      <w:pPr>
        <w:autoSpaceDE w:val="0"/>
        <w:autoSpaceDN w:val="0"/>
        <w:adjustRightInd w:val="0"/>
        <w:spacing w:line="360" w:lineRule="auto"/>
        <w:ind w:firstLine="420" w:firstLineChars="200"/>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本企业对上述声明内容的真实性负责。如有虚假，将依法承担相应责任。</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月</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从业人员、营业执照、资产总额填报上一年度数据，无上一年度数据的新成立企业可不填报。</w:t>
      </w:r>
    </w:p>
    <w:p>
      <w:pPr>
        <w:kinsoku w:val="0"/>
        <w:overflowPunct w:val="0"/>
        <w:autoSpaceDE w:val="0"/>
        <w:autoSpaceDN w:val="0"/>
        <w:adjustRightInd w:val="0"/>
        <w:spacing w:line="420" w:lineRule="auto"/>
        <w:ind w:firstLine="420" w:firstLineChars="200"/>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420" w:lineRule="auto"/>
        <w:ind w:firstLine="420" w:firstLineChars="20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line="353" w:lineRule="exact"/>
        <w:ind w:left="3036"/>
        <w:jc w:val="left"/>
        <w:outlineLvl w:val="0"/>
        <w:rPr>
          <w:rFonts w:ascii="宋体" w:hAnsi="Times New Roman" w:eastAsia="宋体" w:cs="宋体"/>
          <w:color w:val="000000" w:themeColor="text1"/>
          <w:kern w:val="0"/>
          <w:sz w:val="28"/>
          <w:szCs w:val="28"/>
          <w14:textFill>
            <w14:solidFill>
              <w14:schemeClr w14:val="tx1"/>
            </w14:solidFill>
          </w14:textFill>
        </w:rPr>
      </w:pPr>
      <w:bookmarkStart w:id="265" w:name="_Toc22457"/>
      <w:bookmarkStart w:id="266" w:name="_Toc88447551"/>
      <w:bookmarkStart w:id="267" w:name="_Toc7684"/>
      <w:bookmarkStart w:id="268" w:name="_Toc2904"/>
      <w:bookmarkStart w:id="269" w:name="_Toc5956076"/>
      <w:bookmarkStart w:id="270" w:name="_Toc10653"/>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一</w:t>
      </w:r>
      <w:r>
        <w:rPr>
          <w:rFonts w:hint="eastAsia" w:ascii="宋体" w:hAnsi="Times New Roman" w:eastAsia="宋体" w:cs="宋体"/>
          <w:color w:val="000000" w:themeColor="text1"/>
          <w:kern w:val="0"/>
          <w:sz w:val="28"/>
          <w:szCs w:val="28"/>
          <w14:textFill>
            <w14:solidFill>
              <w14:schemeClr w14:val="tx1"/>
            </w14:solidFill>
          </w14:textFill>
        </w:rPr>
        <w:t>、监狱企业证明材料（如有）</w:t>
      </w:r>
      <w:bookmarkEnd w:id="265"/>
      <w:bookmarkEnd w:id="266"/>
      <w:bookmarkEnd w:id="267"/>
      <w:bookmarkEnd w:id="268"/>
      <w:bookmarkEnd w:id="269"/>
      <w:bookmarkEnd w:id="270"/>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由供应商提供由省级以上监狱管理局、戒毒管理局（含新疆生产建设兵团）出具的属</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于监狱企业的证明文件</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26" w:line="355" w:lineRule="auto"/>
        <w:ind w:left="119" w:firstLine="480"/>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4" w:type="default"/>
          <w:pgSz w:w="11920" w:h="16850"/>
          <w:pgMar w:top="1380" w:right="1220" w:bottom="1560" w:left="1100" w:header="0" w:footer="1373" w:gutter="0"/>
          <w:pgNumType w:fmt="numberInDash"/>
          <w:cols w:space="720" w:num="1"/>
        </w:sectPr>
      </w:pPr>
    </w:p>
    <w:p>
      <w:pPr>
        <w:kinsoku w:val="0"/>
        <w:overflowPunct w:val="0"/>
        <w:autoSpaceDE w:val="0"/>
        <w:autoSpaceDN w:val="0"/>
        <w:adjustRightInd w:val="0"/>
        <w:spacing w:before="12"/>
        <w:jc w:val="left"/>
        <w:rPr>
          <w:rFonts w:ascii="Times New Roman" w:hAnsi="Times New Roman" w:eastAsia="宋体" w:cs="Times New Roman"/>
          <w:color w:val="000000" w:themeColor="text1"/>
          <w:kern w:val="0"/>
          <w:sz w:val="18"/>
          <w:szCs w:val="18"/>
          <w14:textFill>
            <w14:solidFill>
              <w14:schemeClr w14:val="tx1"/>
            </w14:solidFill>
          </w14:textFill>
        </w:rPr>
      </w:pP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1" w:name="_Toc8816"/>
      <w:bookmarkStart w:id="272" w:name="_Toc28578"/>
      <w:bookmarkStart w:id="273" w:name="_Toc1068"/>
      <w:bookmarkStart w:id="274" w:name="_Toc88447552"/>
      <w:bookmarkStart w:id="275" w:name="_Toc5956077"/>
      <w:bookmarkStart w:id="276" w:name="_Toc962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二</w:t>
      </w:r>
      <w:r>
        <w:rPr>
          <w:rFonts w:hint="eastAsia" w:ascii="宋体" w:hAnsi="Times New Roman" w:eastAsia="宋体" w:cs="宋体"/>
          <w:color w:val="000000" w:themeColor="text1"/>
          <w:kern w:val="0"/>
          <w:sz w:val="28"/>
          <w:szCs w:val="28"/>
          <w14:textFill>
            <w14:solidFill>
              <w14:schemeClr w14:val="tx1"/>
            </w14:solidFill>
          </w14:textFill>
        </w:rPr>
        <w:t>、残疾人福利性单位声明函（如有）</w:t>
      </w:r>
      <w:bookmarkEnd w:id="271"/>
      <w:bookmarkEnd w:id="272"/>
      <w:bookmarkEnd w:id="273"/>
      <w:bookmarkEnd w:id="274"/>
      <w:bookmarkEnd w:id="275"/>
      <w:bookmarkEnd w:id="276"/>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tabs>
          <w:tab w:val="left" w:pos="5246"/>
          <w:tab w:val="left" w:pos="6686"/>
        </w:tabs>
        <w:kinsoku w:val="0"/>
        <w:overflowPunct w:val="0"/>
        <w:autoSpaceDE w:val="0"/>
        <w:autoSpaceDN w:val="0"/>
        <w:adjustRightInd w:val="0"/>
        <w:spacing w:before="26" w:line="358" w:lineRule="auto"/>
        <w:ind w:left="119" w:right="102" w:firstLine="428" w:firstLineChars="200"/>
        <w:jc w:val="left"/>
        <w:rPr>
          <w:rFonts w:ascii="Times New Roman" w:hAnsi="Times New Roman" w:eastAsia="宋体" w:cs="Times New Roman"/>
          <w:color w:val="000000" w:themeColor="text1"/>
          <w:spacing w:val="5"/>
          <w:kern w:val="0"/>
          <w:szCs w:val="21"/>
          <w14:textFill>
            <w14:solidFill>
              <w14:schemeClr w14:val="tx1"/>
            </w14:solidFill>
          </w14:textFill>
        </w:rPr>
      </w:pPr>
      <w:r>
        <w:rPr>
          <w:rFonts w:hint="eastAsia" w:ascii="Times New Roman" w:hAnsi="Times New Roman" w:eastAsia="宋体" w:cs="Times New Roman"/>
          <w:color w:val="000000" w:themeColor="text1"/>
          <w:spacing w:val="2"/>
          <w:kern w:val="0"/>
          <w:szCs w:val="21"/>
          <w14:textFill>
            <w14:solidFill>
              <w14:schemeClr w14:val="tx1"/>
            </w14:solidFill>
          </w14:textFill>
        </w:rPr>
        <w:t>本单位郑重声明，根据《财政部民政部中国残疾人联合会关于促进残疾人就业政府采</w:t>
      </w:r>
      <w:r>
        <w:rPr>
          <w:rFonts w:hint="eastAsia" w:ascii="Times New Roman" w:hAnsi="Times New Roman" w:eastAsia="宋体" w:cs="Times New Roman"/>
          <w:color w:val="000000" w:themeColor="text1"/>
          <w:kern w:val="0"/>
          <w:szCs w:val="21"/>
          <w14:textFill>
            <w14:solidFill>
              <w14:schemeClr w14:val="tx1"/>
            </w14:solidFill>
          </w14:textFill>
        </w:rPr>
        <w:t>购政策的通知》（财库〔</w:t>
      </w:r>
      <w:r>
        <w:rPr>
          <w:rFonts w:ascii="Times New Roman" w:hAnsi="Times New Roman" w:eastAsia="宋体" w:cs="Times New Roman"/>
          <w:color w:val="000000" w:themeColor="text1"/>
          <w:kern w:val="0"/>
          <w:szCs w:val="21"/>
          <w14:textFill>
            <w14:solidFill>
              <w14:schemeClr w14:val="tx1"/>
            </w14:solidFill>
          </w14:textFill>
        </w:rPr>
        <w:t>2017</w:t>
      </w:r>
      <w:r>
        <w:rPr>
          <w:rFonts w:hint="eastAsia" w:ascii="Times New Roman" w:hAnsi="Times New Roman" w:eastAsia="宋体" w:cs="Times New Roman"/>
          <w:color w:val="000000" w:themeColor="text1"/>
          <w:kern w:val="0"/>
          <w:szCs w:val="21"/>
          <w14:textFill>
            <w14:solidFill>
              <w14:schemeClr w14:val="tx1"/>
            </w14:solidFill>
          </w14:textFill>
        </w:rPr>
        <w:t>〕</w:t>
      </w:r>
      <w:r>
        <w:rPr>
          <w:rFonts w:ascii="Times New Roman" w:hAnsi="Times New Roman" w:eastAsia="宋体" w:cs="Times New Roman"/>
          <w:color w:val="000000" w:themeColor="text1"/>
          <w:kern w:val="0"/>
          <w:szCs w:val="21"/>
          <w14:textFill>
            <w14:solidFill>
              <w14:schemeClr w14:val="tx1"/>
            </w14:solidFill>
          </w14:textFill>
        </w:rPr>
        <w:t>141</w:t>
      </w:r>
      <w:r>
        <w:rPr>
          <w:rFonts w:hint="eastAsia" w:ascii="Times New Roman" w:hAnsi="Times New Roman" w:eastAsia="宋体" w:cs="Times New Roman"/>
          <w:color w:val="000000" w:themeColor="text1"/>
          <w:kern w:val="0"/>
          <w:szCs w:val="21"/>
          <w14:textFill>
            <w14:solidFill>
              <w14:schemeClr w14:val="tx1"/>
            </w14:solidFill>
          </w14:textFill>
        </w:rPr>
        <w:t>号）的规定，本单位为符合条件的残疾人福利性单位，</w:t>
      </w:r>
      <w:r>
        <w:rPr>
          <w:rFonts w:ascii="Times New Roman" w:hAnsi="Times New Roman" w:eastAsia="宋体" w:cs="Times New Roman"/>
          <w:color w:val="000000" w:themeColor="text1"/>
          <w:spacing w:val="-48"/>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且本单位参加</w:t>
      </w:r>
      <w:r>
        <w:rPr>
          <w:rFonts w:hint="eastAsia" w:ascii="Times New Roman" w:hAnsi="Times New Roman" w:eastAsia="宋体" w:cs="Times New Roman"/>
          <w:color w:val="000000" w:themeColor="text1"/>
          <w:spacing w:val="-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单位的</w:t>
      </w:r>
      <w:r>
        <w:rPr>
          <w:rFonts w:hint="eastAsia" w:ascii="Times New Roman" w:hAnsi="Times New Roman" w:eastAsia="宋体" w:cs="Times New Roman"/>
          <w:color w:val="000000" w:themeColor="text1"/>
          <w:kern w:val="0"/>
          <w:szCs w:val="21"/>
          <w:u w:val="single"/>
          <w14:textFill>
            <w14:solidFill>
              <w14:schemeClr w14:val="tx1"/>
            </w14:solidFill>
          </w14:textFill>
        </w:rPr>
        <w:t xml:space="preserve">    </w:t>
      </w:r>
      <w:r>
        <w:rPr>
          <w:rFonts w:hint="eastAsia" w:ascii="Times New Roman" w:hAnsi="Times New Roman" w:eastAsia="宋体" w:cs="Times New Roman"/>
          <w:color w:val="000000" w:themeColor="text1"/>
          <w:spacing w:val="1"/>
          <w:kern w:val="0"/>
          <w:szCs w:val="21"/>
          <w14:textFill>
            <w14:solidFill>
              <w14:schemeClr w14:val="tx1"/>
            </w14:solidFill>
          </w14:textFill>
        </w:rPr>
        <w:t>项目采购活动提供本单位制</w:t>
      </w:r>
      <w:r>
        <w:rPr>
          <w:rFonts w:ascii="Times New Roman" w:hAnsi="Times New Roman" w:eastAsia="宋体" w:cs="Times New Roman"/>
          <w:color w:val="000000" w:themeColor="text1"/>
          <w:spacing w:val="-110"/>
          <w:kern w:val="0"/>
          <w:szCs w:val="21"/>
          <w14:textFill>
            <w14:solidFill>
              <w14:schemeClr w14:val="tx1"/>
            </w14:solidFill>
          </w14:textFill>
        </w:rPr>
        <w:t xml:space="preserve"> </w:t>
      </w:r>
      <w:r>
        <w:rPr>
          <w:rFonts w:hint="eastAsia" w:ascii="Times New Roman" w:hAnsi="Times New Roman" w:eastAsia="宋体" w:cs="Times New Roman"/>
          <w:color w:val="000000" w:themeColor="text1"/>
          <w:spacing w:val="5"/>
          <w:kern w:val="0"/>
          <w:szCs w:val="21"/>
          <w14:textFill>
            <w14:solidFill>
              <w14:schemeClr w14:val="tx1"/>
            </w14:solidFill>
          </w14:textFill>
        </w:rPr>
        <w:t>造的货物（或由本单位承担工程</w:t>
      </w:r>
      <w:r>
        <w:rPr>
          <w:rFonts w:ascii="Times New Roman" w:hAnsi="Times New Roman" w:eastAsia="宋体" w:cs="Times New Roman"/>
          <w:color w:val="000000" w:themeColor="text1"/>
          <w:spacing w:val="5"/>
          <w:kern w:val="0"/>
          <w:szCs w:val="21"/>
          <w14:textFill>
            <w14:solidFill>
              <w14:schemeClr w14:val="tx1"/>
            </w14:solidFill>
          </w14:textFill>
        </w:rPr>
        <w:t>/</w:t>
      </w:r>
      <w:r>
        <w:rPr>
          <w:rFonts w:hint="eastAsia" w:ascii="Times New Roman" w:hAnsi="Times New Roman" w:eastAsia="宋体" w:cs="Times New Roman"/>
          <w:color w:val="000000" w:themeColor="text1"/>
          <w:spacing w:val="5"/>
          <w:kern w:val="0"/>
          <w:szCs w:val="21"/>
          <w14:textFill>
            <w14:solidFill>
              <w14:schemeClr w14:val="tx1"/>
            </w14:solidFill>
          </w14:textFill>
        </w:rPr>
        <w:t>提供服务），或者提供其他残疾人福利性单位制造的货物</w:t>
      </w:r>
      <w:r>
        <w:rPr>
          <w:rFonts w:hint="eastAsia" w:ascii="Times New Roman" w:hAnsi="Times New Roman" w:eastAsia="宋体" w:cs="Times New Roman"/>
          <w:color w:val="000000" w:themeColor="text1"/>
          <w:kern w:val="0"/>
          <w:szCs w:val="21"/>
          <w14:textFill>
            <w14:solidFill>
              <w14:schemeClr w14:val="tx1"/>
            </w14:solidFill>
          </w14:textFill>
        </w:rPr>
        <w:t>（不包括使用非残疾人福利性单位注册商标的货物）。</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本单位对上述声明的真实性负责。如有虚假，将依法承担相应责任。</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37"/>
        <w:ind w:left="520"/>
        <w:jc w:val="left"/>
        <w:rPr>
          <w:rFonts w:ascii="Times New Roman" w:hAnsi="Times New Roman" w:eastAsia="宋体" w:cs="Times New Roman"/>
          <w:color w:val="000000" w:themeColor="text1"/>
          <w:kern w:val="0"/>
          <w:szCs w:val="21"/>
          <w14:textFill>
            <w14:solidFill>
              <w14:schemeClr w14:val="tx1"/>
            </w14:solidFill>
          </w14:textFill>
        </w:rPr>
      </w:pP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供应商名称（企业公章）：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kinsoku w:val="0"/>
        <w:overflowPunct w:val="0"/>
        <w:autoSpaceDE w:val="0"/>
        <w:autoSpaceDN w:val="0"/>
        <w:adjustRightInd w:val="0"/>
        <w:spacing w:before="118" w:line="360" w:lineRule="auto"/>
        <w:ind w:left="601" w:right="102"/>
        <w:jc w:val="left"/>
        <w:rPr>
          <w:rFonts w:ascii="Times New Roman" w:hAnsi="Times New Roman" w:eastAsia="宋体" w:cs="Times New Roman"/>
          <w:color w:val="000000" w:themeColor="text1"/>
          <w:kern w:val="0"/>
          <w:sz w:val="24"/>
          <w:szCs w:val="24"/>
          <w14:textFill>
            <w14:solidFill>
              <w14:schemeClr w14:val="tx1"/>
            </w14:solidFill>
          </w14:textFill>
        </w:rPr>
        <w:sectPr>
          <w:footerReference r:id="rId15" w:type="default"/>
          <w:pgSz w:w="11920" w:h="16850"/>
          <w:pgMar w:top="1360" w:right="1020" w:bottom="1520" w:left="1100" w:header="0" w:footer="1330" w:gutter="0"/>
          <w:pgNumType w:fmt="numberInDash"/>
          <w:cols w:space="720" w:num="1"/>
        </w:sectPr>
      </w:pPr>
      <w:r>
        <w:rPr>
          <w:rFonts w:hint="eastAsia" w:ascii="Times New Roman" w:hAnsi="Times New Roman" w:eastAsia="宋体" w:cs="Times New Roman"/>
          <w:color w:val="000000" w:themeColor="text1"/>
          <w:kern w:val="0"/>
          <w:szCs w:val="21"/>
          <w14:textFill>
            <w14:solidFill>
              <w14:schemeClr w14:val="tx1"/>
            </w14:solidFill>
          </w14:textFill>
        </w:rPr>
        <w:t>日</w:t>
      </w:r>
      <w:r>
        <w:rPr>
          <w:rFonts w:ascii="Times New Roman" w:hAnsi="Times New Roman" w:eastAsia="宋体" w:cs="Times New Roman"/>
          <w:color w:val="000000" w:themeColor="text1"/>
          <w:spacing w:val="-2"/>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期：</w:t>
      </w:r>
      <w:r>
        <w:rPr>
          <w:rFonts w:ascii="Times New Roman" w:hAnsi="Times New Roman" w:eastAsia="宋体" w:cs="Times New Roman"/>
          <w:color w:val="000000" w:themeColor="text1"/>
          <w:kern w:val="0"/>
          <w:szCs w:val="21"/>
          <w14:textFill>
            <w14:solidFill>
              <w14:schemeClr w14:val="tx1"/>
            </w14:solidFill>
          </w14:textFill>
        </w:rPr>
        <w:t xml:space="preserve"> </w:t>
      </w:r>
      <w:r>
        <w:rPr>
          <w:rFonts w:hint="eastAsia" w:ascii="Times New Roman" w:hAnsi="Times New Roman" w:eastAsia="宋体" w:cs="Times New Roman"/>
          <w:color w:val="000000" w:themeColor="text1"/>
          <w:kern w:val="0"/>
          <w:szCs w:val="21"/>
          <w14:textFill>
            <w14:solidFill>
              <w14:schemeClr w14:val="tx1"/>
            </w14:solidFill>
          </w14:textFill>
        </w:rPr>
        <w:t>年   月   日</w:t>
      </w:r>
    </w:p>
    <w:p>
      <w:pPr>
        <w:kinsoku w:val="0"/>
        <w:overflowPunct w:val="0"/>
        <w:autoSpaceDE w:val="0"/>
        <w:autoSpaceDN w:val="0"/>
        <w:adjustRightInd w:val="0"/>
        <w:spacing w:before="14"/>
        <w:ind w:left="2616" w:right="101"/>
        <w:jc w:val="left"/>
        <w:outlineLvl w:val="0"/>
        <w:rPr>
          <w:rFonts w:ascii="宋体" w:hAnsi="Times New Roman" w:eastAsia="宋体" w:cs="宋体"/>
          <w:color w:val="000000" w:themeColor="text1"/>
          <w:kern w:val="0"/>
          <w:sz w:val="28"/>
          <w:szCs w:val="28"/>
          <w14:textFill>
            <w14:solidFill>
              <w14:schemeClr w14:val="tx1"/>
            </w14:solidFill>
          </w14:textFill>
        </w:rPr>
      </w:pPr>
      <w:bookmarkStart w:id="277" w:name="_Toc1439"/>
      <w:bookmarkStart w:id="278" w:name="_Toc13084"/>
      <w:bookmarkStart w:id="279" w:name="_Toc7703"/>
      <w:bookmarkStart w:id="280" w:name="_Toc24419"/>
      <w:bookmarkStart w:id="281" w:name="_Toc32291"/>
      <w:bookmarkStart w:id="282" w:name="_Toc25922"/>
      <w:bookmarkStart w:id="283" w:name="_Toc88447553"/>
      <w:bookmarkStart w:id="284" w:name="_Toc5956080"/>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三</w:t>
      </w:r>
      <w:r>
        <w:rPr>
          <w:rFonts w:hint="eastAsia" w:ascii="宋体" w:hAnsi="Times New Roman" w:eastAsia="宋体" w:cs="宋体"/>
          <w:color w:val="000000" w:themeColor="text1"/>
          <w:kern w:val="0"/>
          <w:sz w:val="28"/>
          <w:szCs w:val="28"/>
          <w14:textFill>
            <w14:solidFill>
              <w14:schemeClr w14:val="tx1"/>
            </w14:solidFill>
          </w14:textFill>
        </w:rPr>
        <w:t>、节能产品、环境标志产品明细表</w:t>
      </w:r>
      <w:bookmarkEnd w:id="277"/>
      <w:bookmarkEnd w:id="278"/>
      <w:bookmarkEnd w:id="279"/>
      <w:bookmarkEnd w:id="280"/>
      <w:bookmarkEnd w:id="281"/>
      <w:bookmarkEnd w:id="282"/>
      <w:bookmarkEnd w:id="283"/>
    </w:p>
    <w:p>
      <w:pPr>
        <w:jc w:val="center"/>
        <w:rPr>
          <w:rFonts w:ascii="宋体" w:hAnsi="宋体" w:eastAsia="宋体" w:cs="Times New Roman"/>
          <w:b/>
          <w:color w:val="000000" w:themeColor="text1"/>
          <w:szCs w:val="21"/>
          <w:lang w:val="en-GB"/>
          <w14:textFill>
            <w14:solidFill>
              <w14:schemeClr w14:val="tx1"/>
            </w14:solidFill>
          </w14:textFill>
        </w:rPr>
      </w:pPr>
      <w:r>
        <w:rPr>
          <w:rFonts w:hint="eastAsia" w:ascii="宋体" w:hAnsi="宋体" w:eastAsia="宋体" w:cs="Times New Roman"/>
          <w:b/>
          <w:color w:val="000000" w:themeColor="text1"/>
          <w:szCs w:val="21"/>
          <w:lang w:val="en-GB"/>
          <w14:textFill>
            <w14:solidFill>
              <w14:schemeClr w14:val="tx1"/>
            </w14:solidFill>
          </w14:textFill>
        </w:rPr>
        <w:t>节能产品明细表</w:t>
      </w:r>
    </w:p>
    <w:p>
      <w:pPr>
        <w:spacing w:line="360" w:lineRule="auto"/>
        <w:rPr>
          <w:rFonts w:ascii="宋体" w:hAnsi="宋体" w:eastAsia="宋体" w:cs="宋体"/>
          <w:color w:val="000000" w:themeColor="text1"/>
          <w:szCs w:val="21"/>
          <w:lang w:val="en-GB"/>
          <w14:textFill>
            <w14:solidFill>
              <w14:schemeClr w14:val="tx1"/>
            </w14:solidFill>
          </w14:textFill>
        </w:rPr>
      </w:pP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节字标志认证证书号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国家节能产品认证证书有效截止日期</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autoSpaceDE w:val="0"/>
        <w:autoSpaceDN w:val="0"/>
        <w:adjustRightInd w:val="0"/>
        <w:jc w:val="left"/>
        <w:rPr>
          <w:rFonts w:ascii="宋体" w:hAnsi="宋体" w:eastAsia="宋体" w:cs="Times New Roman"/>
          <w:color w:val="000000" w:themeColor="text1"/>
          <w:kern w:val="0"/>
          <w:szCs w:val="21"/>
          <w14:textFill>
            <w14:solidFill>
              <w14:schemeClr w14:val="tx1"/>
            </w14:solidFill>
          </w14:textFill>
        </w:rPr>
      </w:pPr>
    </w:p>
    <w:p>
      <w:pPr>
        <w:kinsoku w:val="0"/>
        <w:overflowPunct w:val="0"/>
        <w:autoSpaceDE w:val="0"/>
        <w:autoSpaceDN w:val="0"/>
        <w:adjustRightInd w:val="0"/>
        <w:spacing w:before="7"/>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tabs>
          <w:tab w:val="left" w:pos="840"/>
        </w:tabs>
        <w:autoSpaceDE w:val="0"/>
        <w:autoSpaceDN w:val="0"/>
        <w:adjustRightInd w:val="0"/>
        <w:spacing w:line="360" w:lineRule="auto"/>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Times New Roman"/>
          <w:b/>
          <w:color w:val="000000" w:themeColor="text1"/>
          <w:kern w:val="0"/>
          <w:szCs w:val="21"/>
          <w:lang w:val="en-GB"/>
          <w14:textFill>
            <w14:solidFill>
              <w14:schemeClr w14:val="tx1"/>
            </w14:solidFill>
          </w14:textFill>
        </w:rPr>
        <w:t>环境标志产品明细表</w:t>
      </w:r>
    </w:p>
    <w:tbl>
      <w:tblPr>
        <w:tblStyle w:val="18"/>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993"/>
        <w:gridCol w:w="993"/>
        <w:gridCol w:w="993"/>
        <w:gridCol w:w="994"/>
        <w:gridCol w:w="994"/>
        <w:gridCol w:w="994"/>
        <w:gridCol w:w="994"/>
        <w:gridCol w:w="994"/>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序号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设备名称</w:t>
            </w:r>
          </w:p>
        </w:tc>
        <w:tc>
          <w:tcPr>
            <w:tcW w:w="993"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品牌</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型号</w:t>
            </w:r>
          </w:p>
        </w:tc>
        <w:tc>
          <w:tcPr>
            <w:tcW w:w="993"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制造商名称</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中国环境标志认证证书编号</w:t>
            </w:r>
          </w:p>
        </w:tc>
        <w:tc>
          <w:tcPr>
            <w:tcW w:w="994" w:type="dxa"/>
            <w:vAlign w:val="center"/>
          </w:tcPr>
          <w:p>
            <w:pPr>
              <w:autoSpaceDE w:val="0"/>
              <w:autoSpaceDN w:val="0"/>
              <w:adjustRightInd w:val="0"/>
              <w:snapToGrid w:val="0"/>
              <w:jc w:val="center"/>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认证证书有效</w:t>
            </w:r>
          </w:p>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截止日期</w:t>
            </w:r>
          </w:p>
        </w:tc>
        <w:tc>
          <w:tcPr>
            <w:tcW w:w="994" w:type="dxa"/>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在×期清单中页码</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数量</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单价</w:t>
            </w:r>
          </w:p>
        </w:tc>
        <w:tc>
          <w:tcPr>
            <w:tcW w:w="994" w:type="dxa"/>
            <w:vAlign w:val="center"/>
          </w:tcPr>
          <w:p>
            <w:pPr>
              <w:autoSpaceDE w:val="0"/>
              <w:autoSpaceDN w:val="0"/>
              <w:adjustRightInd w:val="0"/>
              <w:snapToGrid w:val="0"/>
              <w:jc w:val="center"/>
              <w:rPr>
                <w:rFonts w:ascii="宋体" w:hAnsi="宋体" w:eastAsia="宋体" w:cs="宋体"/>
                <w:b/>
                <w:color w:val="000000" w:themeColor="text1"/>
                <w:kern w:val="0"/>
                <w:szCs w:val="21"/>
                <w:lang w:val="en-GB"/>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3"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c>
          <w:tcPr>
            <w:tcW w:w="994" w:type="dxa"/>
          </w:tcPr>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tc>
      </w:tr>
    </w:tbl>
    <w:p>
      <w:pPr>
        <w:tabs>
          <w:tab w:val="left" w:pos="840"/>
        </w:tabs>
        <w:autoSpaceDE w:val="0"/>
        <w:autoSpaceDN w:val="0"/>
        <w:adjustRightInd w:val="0"/>
        <w:spacing w:line="360" w:lineRule="auto"/>
        <w:jc w:val="left"/>
        <w:rPr>
          <w:rFonts w:ascii="宋体" w:hAnsi="宋体" w:eastAsia="宋体" w:cs="宋体"/>
          <w:b/>
          <w:color w:val="000000" w:themeColor="text1"/>
          <w:kern w:val="0"/>
          <w:szCs w:val="21"/>
          <w:lang w:val="en-GB"/>
          <w14:textFill>
            <w14:solidFill>
              <w14:schemeClr w14:val="tx1"/>
            </w14:solidFill>
          </w14:textFill>
        </w:rPr>
      </w:pPr>
    </w:p>
    <w:p>
      <w:pPr>
        <w:kinsoku w:val="0"/>
        <w:overflowPunct w:val="0"/>
        <w:autoSpaceDE w:val="0"/>
        <w:autoSpaceDN w:val="0"/>
        <w:adjustRightInd w:val="0"/>
        <w:spacing w:before="7"/>
        <w:ind w:firstLine="630" w:firstLineChars="300"/>
        <w:jc w:val="left"/>
        <w:rPr>
          <w:rFonts w:ascii="Times New Roman" w:hAnsi="Times New Roman" w:eastAsia="宋体" w:cs="Times New Roman"/>
          <w:color w:val="000000" w:themeColor="text1"/>
          <w:kern w:val="0"/>
          <w:sz w:val="25"/>
          <w:szCs w:val="25"/>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备注：供应商可根据需要自行增减表格行数。</w:t>
      </w:r>
    </w:p>
    <w:p>
      <w:pPr>
        <w:tabs>
          <w:tab w:val="left" w:pos="7200"/>
          <w:tab w:val="left" w:pos="7920"/>
          <w:tab w:val="left" w:pos="8640"/>
        </w:tabs>
        <w:kinsoku w:val="0"/>
        <w:overflowPunct w:val="0"/>
        <w:autoSpaceDE w:val="0"/>
        <w:autoSpaceDN w:val="0"/>
        <w:adjustRightInd w:val="0"/>
        <w:spacing w:before="127" w:line="357" w:lineRule="auto"/>
        <w:ind w:right="6018"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供应商（企业公章：</w:t>
      </w:r>
      <w:r>
        <w:rPr>
          <w:rFonts w:ascii="Times New Roman" w:hAnsi="Times New Roman" w:eastAsia="宋体" w:cs="Times New Roman"/>
          <w:color w:val="000000" w:themeColor="text1"/>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spacing w:val="-28"/>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法定代表人或授权委托人（个人签字或盖章）：</w:t>
      </w:r>
      <w:r>
        <w:rPr>
          <w:rFonts w:ascii="Times New Roman" w:hAnsi="Times New Roman" w:eastAsia="宋体" w:cs="Times New Roman"/>
          <w:color w:val="000000" w:themeColor="text1"/>
          <w:spacing w:val="-28"/>
          <w:kern w:val="0"/>
          <w:szCs w:val="21"/>
          <w14:textFill>
            <w14:solidFill>
              <w14:schemeClr w14:val="tx1"/>
            </w14:solidFill>
          </w14:textFill>
        </w:rPr>
        <w:t xml:space="preserve"> </w:t>
      </w:r>
    </w:p>
    <w:p>
      <w:pPr>
        <w:tabs>
          <w:tab w:val="left" w:pos="7200"/>
          <w:tab w:val="left" w:pos="7920"/>
          <w:tab w:val="left" w:pos="8640"/>
        </w:tabs>
        <w:kinsoku w:val="0"/>
        <w:overflowPunct w:val="0"/>
        <w:autoSpaceDE w:val="0"/>
        <w:autoSpaceDN w:val="0"/>
        <w:adjustRightInd w:val="0"/>
        <w:spacing w:line="358" w:lineRule="auto"/>
        <w:ind w:firstLine="735" w:firstLineChars="350"/>
        <w:jc w:val="left"/>
        <w:rPr>
          <w:rFonts w:ascii="Times New Roman" w:hAnsi="Times New Roman" w:eastAsia="宋体" w:cs="Times New Roman"/>
          <w:color w:val="000000" w:themeColor="text1"/>
          <w:kern w:val="0"/>
          <w:szCs w:val="21"/>
          <w14:textFill>
            <w14:solidFill>
              <w14:schemeClr w14:val="tx1"/>
            </w14:solidFill>
          </w14:textFill>
        </w:rPr>
      </w:pPr>
      <w:r>
        <w:rPr>
          <w:rFonts w:hint="eastAsia" w:ascii="Times New Roman" w:hAnsi="Times New Roman" w:eastAsia="宋体" w:cs="Times New Roman"/>
          <w:color w:val="000000" w:themeColor="text1"/>
          <w:kern w:val="0"/>
          <w:szCs w:val="21"/>
          <w14:textFill>
            <w14:solidFill>
              <w14:schemeClr w14:val="tx1"/>
            </w14:solidFill>
          </w14:textFill>
        </w:rPr>
        <w:t>日期：  年  月   日</w:t>
      </w:r>
      <w:r>
        <w:rPr>
          <w:rFonts w:ascii="Times New Roman" w:hAnsi="Times New Roman" w:eastAsia="宋体" w:cs="Times New Roman"/>
          <w:color w:val="000000" w:themeColor="text1"/>
          <w:w w:val="99"/>
          <w:kern w:val="0"/>
          <w:szCs w:val="21"/>
          <w14:textFill>
            <w14:solidFill>
              <w14:schemeClr w14:val="tx1"/>
            </w14:solidFill>
          </w14:textFill>
        </w:rPr>
        <w:t xml:space="preserve"> </w:t>
      </w: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p>
    <w:p>
      <w:pPr>
        <w:spacing w:line="360" w:lineRule="auto"/>
        <w:ind w:left="718" w:hanging="718" w:hangingChars="342"/>
        <w:rPr>
          <w:rFonts w:ascii="宋体" w:hAnsi="宋体" w:eastAsia="宋体" w:cs="宋体"/>
          <w:color w:val="000000" w:themeColor="text1"/>
          <w:szCs w:val="21"/>
          <w:lang w:val="en-GB"/>
          <w14:textFill>
            <w14:solidFill>
              <w14:schemeClr w14:val="tx1"/>
            </w14:solidFill>
          </w14:textFill>
        </w:rPr>
      </w:pPr>
      <w:r>
        <w:rPr>
          <w:rFonts w:hint="eastAsia" w:ascii="宋体" w:hAnsi="宋体" w:eastAsia="宋体" w:cs="宋体"/>
          <w:color w:val="000000" w:themeColor="text1"/>
          <w:szCs w:val="21"/>
          <w:lang w:val="en-GB"/>
          <w14:textFill>
            <w14:solidFill>
              <w14:schemeClr w14:val="tx1"/>
            </w14:solidFill>
          </w14:textFill>
        </w:rPr>
        <w:t>填报要求：</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1. 本表的设备名称、品牌型号、金额应与</w:t>
      </w:r>
      <w:r>
        <w:rPr>
          <w:rFonts w:hint="eastAsia" w:ascii="宋体" w:hAnsi="宋体" w:eastAsia="宋体" w:cs="宋体"/>
          <w:bCs/>
          <w:color w:val="000000" w:themeColor="text1"/>
          <w:kern w:val="0"/>
          <w:szCs w:val="21"/>
          <w14:textFill>
            <w14:solidFill>
              <w14:schemeClr w14:val="tx1"/>
            </w14:solidFill>
          </w14:textFill>
        </w:rPr>
        <w:t>货物分项报价一览表</w:t>
      </w:r>
      <w:r>
        <w:rPr>
          <w:rFonts w:hint="eastAsia" w:ascii="宋体" w:hAnsi="宋体" w:eastAsia="宋体" w:cs="宋体"/>
          <w:color w:val="000000" w:themeColor="text1"/>
          <w:kern w:val="0"/>
          <w:szCs w:val="21"/>
          <w14:textFill>
            <w14:solidFill>
              <w14:schemeClr w14:val="tx1"/>
            </w14:solidFill>
          </w14:textFill>
        </w:rPr>
        <w:t>一致。</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2. 请</w:t>
      </w:r>
      <w:r>
        <w:rPr>
          <w:rFonts w:hint="eastAsia" w:ascii="Times New Roman" w:hAnsi="宋体" w:eastAsia="宋体" w:cs="Times New Roman"/>
          <w:color w:val="000000" w:themeColor="text1"/>
          <w:spacing w:val="6"/>
          <w:kern w:val="0"/>
          <w:szCs w:val="21"/>
          <w14:textFill>
            <w14:solidFill>
              <w14:schemeClr w14:val="tx1"/>
            </w14:solidFill>
          </w14:textFill>
        </w:rPr>
        <w:t>供应商</w:t>
      </w:r>
      <w:r>
        <w:rPr>
          <w:rFonts w:hint="eastAsia" w:ascii="宋体" w:hAnsi="宋体" w:eastAsia="宋体" w:cs="宋体"/>
          <w:color w:val="000000" w:themeColor="text1"/>
          <w:kern w:val="0"/>
          <w:szCs w:val="21"/>
          <w14:textFill>
            <w14:solidFill>
              <w14:schemeClr w14:val="tx1"/>
            </w14:solidFill>
          </w14:textFill>
        </w:rPr>
        <w:t>正确填写本表，所填内容将作为评审的依据。其内容或数据应与对应的证明资料相符。</w:t>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r>
        <w:rPr>
          <w:rFonts w:hint="eastAsia" w:ascii="宋体" w:hAnsi="宋体" w:eastAsia="宋体" w:cs="宋体"/>
          <w:color w:val="000000" w:themeColor="text1"/>
          <w:kern w:val="0"/>
          <w:szCs w:val="21"/>
          <w14:textFill>
            <w14:solidFill>
              <w14:schemeClr w14:val="tx1"/>
            </w14:solidFill>
          </w14:textFill>
        </w:rPr>
        <w:t>3. 没有相关产品，投标文件中此表可不填写，保留此格式。</w:t>
      </w:r>
      <w:r>
        <w:rPr>
          <w:rFonts w:ascii="宋体" w:hAnsi="宋体" w:eastAsia="宋体" w:cs="宋体"/>
          <w:color w:val="000000" w:themeColor="text1"/>
          <w:kern w:val="0"/>
          <w:szCs w:val="21"/>
          <w14:textFill>
            <w14:solidFill>
              <w14:schemeClr w14:val="tx1"/>
            </w14:solidFill>
          </w14:textFill>
        </w:rPr>
        <w:br w:type="page"/>
      </w:r>
    </w:p>
    <w:p>
      <w:pPr>
        <w:autoSpaceDE w:val="0"/>
        <w:autoSpaceDN w:val="0"/>
        <w:adjustRightInd w:val="0"/>
        <w:spacing w:line="360" w:lineRule="auto"/>
        <w:ind w:firstLine="420" w:firstLineChars="200"/>
        <w:jc w:val="left"/>
        <w:rPr>
          <w:rFonts w:ascii="宋体" w:hAnsi="宋体" w:eastAsia="宋体" w:cs="宋体"/>
          <w:color w:val="000000" w:themeColor="text1"/>
          <w:kern w:val="0"/>
          <w:szCs w:val="21"/>
          <w14:textFill>
            <w14:solidFill>
              <w14:schemeClr w14:val="tx1"/>
            </w14:solidFill>
          </w14:textFill>
        </w:rPr>
      </w:pPr>
    </w:p>
    <w:p>
      <w:pPr>
        <w:kinsoku w:val="0"/>
        <w:overflowPunct w:val="0"/>
        <w:autoSpaceDE w:val="0"/>
        <w:autoSpaceDN w:val="0"/>
        <w:adjustRightInd w:val="0"/>
        <w:spacing w:before="167"/>
        <w:ind w:left="3737"/>
        <w:jc w:val="left"/>
        <w:outlineLvl w:val="0"/>
        <w:rPr>
          <w:rFonts w:ascii="宋体" w:hAnsi="Times New Roman" w:eastAsia="宋体" w:cs="宋体"/>
          <w:color w:val="000000" w:themeColor="text1"/>
          <w:kern w:val="0"/>
          <w:sz w:val="28"/>
          <w:szCs w:val="28"/>
          <w14:textFill>
            <w14:solidFill>
              <w14:schemeClr w14:val="tx1"/>
            </w14:solidFill>
          </w14:textFill>
        </w:rPr>
      </w:pPr>
      <w:bookmarkStart w:id="285" w:name="_Toc88447554"/>
      <w:bookmarkStart w:id="286" w:name="_Toc25355"/>
      <w:bookmarkStart w:id="287" w:name="_Toc27974"/>
      <w:bookmarkStart w:id="288" w:name="_Toc15454"/>
      <w:bookmarkStart w:id="289" w:name="_Toc15512"/>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四</w:t>
      </w:r>
      <w:r>
        <w:rPr>
          <w:rFonts w:hint="eastAsia" w:ascii="宋体" w:hAnsi="Times New Roman" w:eastAsia="宋体" w:cs="宋体"/>
          <w:color w:val="000000" w:themeColor="text1"/>
          <w:kern w:val="0"/>
          <w:sz w:val="28"/>
          <w:szCs w:val="28"/>
          <w14:textFill>
            <w14:solidFill>
              <w14:schemeClr w14:val="tx1"/>
            </w14:solidFill>
          </w14:textFill>
        </w:rPr>
        <w:t>、技术支持</w:t>
      </w:r>
      <w:bookmarkEnd w:id="284"/>
      <w:r>
        <w:rPr>
          <w:rFonts w:hint="eastAsia" w:ascii="宋体" w:hAnsi="Times New Roman" w:eastAsia="宋体" w:cs="宋体"/>
          <w:color w:val="000000" w:themeColor="text1"/>
          <w:kern w:val="0"/>
          <w:sz w:val="28"/>
          <w:szCs w:val="28"/>
          <w14:textFill>
            <w14:solidFill>
              <w14:schemeClr w14:val="tx1"/>
            </w14:solidFill>
          </w14:textFill>
        </w:rPr>
        <w:t>资料</w:t>
      </w:r>
      <w:bookmarkEnd w:id="285"/>
      <w:bookmarkEnd w:id="286"/>
      <w:bookmarkEnd w:id="287"/>
      <w:bookmarkEnd w:id="288"/>
      <w:bookmarkEnd w:id="289"/>
      <w:r>
        <w:rPr>
          <w:rFonts w:ascii="宋体" w:hAnsi="Times New Roman" w:eastAsia="宋体" w:cs="宋体"/>
          <w:color w:val="000000" w:themeColor="text1"/>
          <w:kern w:val="0"/>
          <w:sz w:val="28"/>
          <w:szCs w:val="28"/>
          <w14:textFill>
            <w14:solidFill>
              <w14:schemeClr w14:val="tx1"/>
            </w14:solidFill>
          </w14:textFill>
        </w:rPr>
        <w:t xml:space="preserve"> </w:t>
      </w: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outlineLvl w:val="0"/>
        <w:rPr>
          <w:rFonts w:ascii="Times New Roman" w:hAnsi="Times New Roman" w:eastAsia="宋体" w:cs="Times New Roman"/>
          <w:color w:val="000000" w:themeColor="text1"/>
          <w:kern w:val="0"/>
          <w:sz w:val="24"/>
          <w:szCs w:val="24"/>
          <w14:textFill>
            <w14:solidFill>
              <w14:schemeClr w14:val="tx1"/>
            </w14:solidFill>
          </w14:textFill>
        </w:rPr>
      </w:pPr>
      <w:bookmarkStart w:id="290" w:name="_Toc32180"/>
      <w:bookmarkStart w:id="291" w:name="_Toc31611"/>
      <w:bookmarkStart w:id="292" w:name="_Toc27105"/>
      <w:r>
        <w:rPr>
          <w:rFonts w:hint="eastAsia" w:ascii="Times New Roman" w:hAnsi="Times New Roman" w:eastAsia="宋体" w:cs="Times New Roman"/>
          <w:color w:val="000000" w:themeColor="text1"/>
          <w:kern w:val="0"/>
          <w:sz w:val="24"/>
          <w:szCs w:val="24"/>
          <w14:textFill>
            <w14:solidFill>
              <w14:schemeClr w14:val="tx1"/>
            </w14:solidFill>
          </w14:textFill>
        </w:rPr>
        <w:t>格式自拟，要求按照招标参数要求，提供供应商产品资料。</w:t>
      </w:r>
      <w:bookmarkEnd w:id="290"/>
      <w:bookmarkEnd w:id="291"/>
      <w:bookmarkEnd w:id="292"/>
    </w:p>
    <w:p>
      <w:pPr>
        <w:kinsoku w:val="0"/>
        <w:overflowPunct w:val="0"/>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5"/>
        <w:jc w:val="left"/>
        <w:rPr>
          <w:rFonts w:ascii="Times New Roman" w:hAnsi="Times New Roman" w:eastAsia="宋体" w:cs="Times New Roman"/>
          <w:color w:val="000000" w:themeColor="text1"/>
          <w:kern w:val="0"/>
          <w:sz w:val="24"/>
          <w:szCs w:val="24"/>
          <w14:textFill>
            <w14:solidFill>
              <w14:schemeClr w14:val="tx1"/>
            </w14:solidFill>
          </w14:textFill>
        </w:rPr>
      </w:pPr>
    </w:p>
    <w:p>
      <w:pPr>
        <w:kinsoku w:val="0"/>
        <w:overflowPunct w:val="0"/>
        <w:autoSpaceDE w:val="0"/>
        <w:autoSpaceDN w:val="0"/>
        <w:adjustRightInd w:val="0"/>
        <w:spacing w:before="26"/>
        <w:jc w:val="left"/>
        <w:rPr>
          <w:rFonts w:ascii="Times New Roman" w:hAnsi="Times New Roman" w:eastAsia="宋体" w:cs="Times New Roman"/>
          <w:color w:val="000000" w:themeColor="text1"/>
          <w:kern w:val="0"/>
          <w:sz w:val="24"/>
          <w:szCs w:val="24"/>
          <w14:textFill>
            <w14:solidFill>
              <w14:schemeClr w14:val="tx1"/>
            </w14:solidFill>
          </w14:textFill>
        </w:rPr>
        <w:sectPr>
          <w:pgSz w:w="11920" w:h="16850"/>
          <w:pgMar w:top="1360" w:right="1100" w:bottom="1520" w:left="1100" w:header="0" w:footer="1330" w:gutter="0"/>
          <w:pgNumType w:fmt="numberInDash"/>
          <w:cols w:space="720" w:num="1"/>
          <w:titlePg/>
          <w:docGrid w:linePitch="326" w:charSpace="0"/>
        </w:sect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ind w:left="678" w:firstLine="560" w:firstLineChars="200"/>
        <w:jc w:val="left"/>
        <w:outlineLvl w:val="0"/>
        <w:rPr>
          <w:rFonts w:ascii="宋体" w:hAnsi="Times New Roman" w:eastAsia="宋体" w:cs="宋体"/>
          <w:color w:val="000000" w:themeColor="text1"/>
          <w:kern w:val="0"/>
          <w:sz w:val="28"/>
          <w:szCs w:val="28"/>
          <w14:textFill>
            <w14:solidFill>
              <w14:schemeClr w14:val="tx1"/>
            </w14:solidFill>
          </w14:textFill>
        </w:rPr>
      </w:pPr>
      <w:bookmarkStart w:id="293" w:name="_Toc3870"/>
      <w:bookmarkStart w:id="294" w:name="_Toc6851"/>
      <w:bookmarkStart w:id="295" w:name="_Toc8962"/>
      <w:bookmarkStart w:id="296" w:name="_Toc13964"/>
      <w:bookmarkStart w:id="297" w:name="_Toc88447556"/>
      <w:r>
        <w:rPr>
          <w:rFonts w:hint="eastAsia" w:ascii="宋体" w:hAnsi="Times New Roman" w:eastAsia="宋体" w:cs="宋体"/>
          <w:color w:val="000000" w:themeColor="text1"/>
          <w:kern w:val="0"/>
          <w:sz w:val="28"/>
          <w:szCs w:val="28"/>
          <w14:textFill>
            <w14:solidFill>
              <w14:schemeClr w14:val="tx1"/>
            </w14:solidFill>
          </w14:textFill>
        </w:rPr>
        <w:t>十</w:t>
      </w:r>
      <w:r>
        <w:rPr>
          <w:rFonts w:hint="eastAsia" w:ascii="宋体" w:hAnsi="Times New Roman" w:eastAsia="宋体" w:cs="宋体"/>
          <w:color w:val="000000" w:themeColor="text1"/>
          <w:kern w:val="0"/>
          <w:sz w:val="28"/>
          <w:szCs w:val="28"/>
          <w:lang w:eastAsia="zh-CN"/>
          <w14:textFill>
            <w14:solidFill>
              <w14:schemeClr w14:val="tx1"/>
            </w14:solidFill>
          </w14:textFill>
        </w:rPr>
        <w:t>五</w:t>
      </w:r>
      <w:r>
        <w:rPr>
          <w:rFonts w:hint="eastAsia" w:ascii="宋体" w:hAnsi="Times New Roman" w:eastAsia="宋体" w:cs="宋体"/>
          <w:color w:val="000000" w:themeColor="text1"/>
          <w:kern w:val="0"/>
          <w:sz w:val="28"/>
          <w:szCs w:val="28"/>
          <w14:textFill>
            <w14:solidFill>
              <w14:schemeClr w14:val="tx1"/>
            </w14:solidFill>
          </w14:textFill>
        </w:rPr>
        <w:t>、供应商认为需要加以说明的其他内容</w:t>
      </w:r>
      <w:bookmarkEnd w:id="293"/>
      <w:bookmarkEnd w:id="294"/>
      <w:bookmarkEnd w:id="295"/>
      <w:bookmarkEnd w:id="296"/>
      <w:bookmarkEnd w:id="297"/>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spacing w:before="9"/>
        <w:jc w:val="left"/>
        <w:rPr>
          <w:rFonts w:ascii="Times New Roman" w:hAnsi="Times New Roman" w:eastAsia="宋体" w:cs="Times New Roman"/>
          <w:b/>
          <w:bCs/>
          <w:color w:val="000000" w:themeColor="text1"/>
          <w:kern w:val="0"/>
          <w:sz w:val="33"/>
          <w:szCs w:val="33"/>
          <w14:textFill>
            <w14:solidFill>
              <w14:schemeClr w14:val="tx1"/>
            </w14:solidFill>
          </w14:textFill>
        </w:rPr>
      </w:pPr>
    </w:p>
    <w:p>
      <w:pPr>
        <w:pStyle w:val="41"/>
        <w:rPr>
          <w:color w:val="000000" w:themeColor="text1"/>
          <w14:textFill>
            <w14:solidFill>
              <w14:schemeClr w14:val="tx1"/>
            </w14:solidFill>
          </w14:textFill>
        </w:rPr>
      </w:pPr>
    </w:p>
    <w:p>
      <w:pPr>
        <w:kinsoku w:val="0"/>
        <w:overflowPunct w:val="0"/>
        <w:autoSpaceDE w:val="0"/>
        <w:autoSpaceDN w:val="0"/>
        <w:adjustRightInd w:val="0"/>
        <w:jc w:val="center"/>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kinsoku w:val="0"/>
        <w:overflowPunct w:val="0"/>
        <w:autoSpaceDE w:val="0"/>
        <w:autoSpaceDN w:val="0"/>
        <w:adjustRightInd w:val="0"/>
        <w:jc w:val="left"/>
        <w:rPr>
          <w:rFonts w:ascii="Times New Roman" w:hAnsi="Times New Roman" w:eastAsia="宋体" w:cs="Times New Roman"/>
          <w:color w:val="000000" w:themeColor="text1"/>
          <w:kern w:val="0"/>
          <w:sz w:val="20"/>
          <w:szCs w:val="20"/>
          <w14:textFill>
            <w14:solidFill>
              <w14:schemeClr w14:val="tx1"/>
            </w14:solidFill>
          </w14:textFill>
        </w:rPr>
      </w:pPr>
    </w:p>
    <w:p>
      <w:pPr>
        <w:autoSpaceDE w:val="0"/>
        <w:autoSpaceDN w:val="0"/>
        <w:adjustRightInd w:val="0"/>
        <w:jc w:val="left"/>
        <w:rPr>
          <w:rFonts w:ascii="Times New Roman" w:hAnsi="Times New Roman" w:eastAsia="宋体" w:cs="Times New Roman"/>
          <w:color w:val="000000" w:themeColor="text1"/>
          <w:kern w:val="0"/>
          <w:sz w:val="24"/>
          <w:szCs w:val="24"/>
          <w14:textFill>
            <w14:solidFill>
              <w14:schemeClr w14:val="tx1"/>
            </w14:solidFill>
          </w14:textFill>
        </w:rPr>
      </w:pPr>
    </w:p>
    <w:p>
      <w:pPr>
        <w:rPr>
          <w:color w:val="000000" w:themeColor="text1"/>
          <w14:textFill>
            <w14:solidFill>
              <w14:schemeClr w14:val="tx1"/>
            </w14:solidFill>
          </w14:textFill>
        </w:rPr>
      </w:pPr>
    </w:p>
    <w:p/>
    <w:p/>
    <w:p/>
    <w:sectPr>
      <w:pgSz w:w="11920" w:h="16850"/>
      <w:pgMar w:top="1380" w:right="1680" w:bottom="709" w:left="1680" w:header="0" w:footer="733" w:gutter="0"/>
      <w:pgNumType w:fmt="numberInDash"/>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FangSong_GB2312">
    <w:altName w:val="仿宋"/>
    <w:panose1 w:val="02010609060101010101"/>
    <w:charset w:val="00"/>
    <w:family w:val="roman"/>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kinsoku w:val="0"/>
      <w:overflowPunct w:val="0"/>
      <w:spacing w:before="0" w:line="14" w:lineRule="auto"/>
      <w:ind w:left="0"/>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62 -</w:t>
    </w:r>
    <w:r>
      <w:fldChar w:fldCharType="end"/>
    </w:r>
  </w:p>
  <w:p>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3581315"/>
    </w:sdtPr>
    <w:sdtContent>
      <w:p>
        <w:pPr>
          <w:pStyle w:val="11"/>
          <w:jc w:val="center"/>
        </w:pPr>
        <w:r>
          <w:fldChar w:fldCharType="begin"/>
        </w:r>
        <w:r>
          <w:instrText xml:space="preserve">PAGE   \* MERGEFORMAT</w:instrText>
        </w:r>
        <w:r>
          <w:fldChar w:fldCharType="separate"/>
        </w:r>
        <w:r>
          <w:rPr>
            <w:lang w:val="zh-CN"/>
          </w:rPr>
          <w:t>2</w:t>
        </w:r>
        <w:r>
          <w:fldChar w:fldCharType="end"/>
        </w:r>
      </w:p>
    </w:sdtContent>
  </w:sdt>
  <w:p>
    <w:pPr>
      <w:pStyle w:val="7"/>
      <w:kinsoku w:val="0"/>
      <w:overflowPunct w:val="0"/>
      <w:spacing w:before="0" w:line="14" w:lineRule="auto"/>
      <w:ind w:left="0"/>
      <w:rPr>
        <w:sz w:val="20"/>
        <w:szCs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42 -</w:t>
    </w:r>
    <w:r>
      <w:fldChar w:fldCharType="end"/>
    </w:r>
  </w:p>
  <w:p>
    <w:pPr>
      <w:pStyle w:val="7"/>
      <w:kinsoku w:val="0"/>
      <w:overflowPunct w:val="0"/>
      <w:spacing w:before="0" w:line="14" w:lineRule="auto"/>
      <w:ind w:left="0"/>
      <w:rPr>
        <w:sz w:val="20"/>
        <w:szCs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46 -</w:t>
    </w:r>
    <w:r>
      <w:fldChar w:fldCharType="end"/>
    </w:r>
  </w:p>
  <w:p>
    <w:pPr>
      <w:pStyle w:val="7"/>
      <w:kinsoku w:val="0"/>
      <w:overflowPunct w:val="0"/>
      <w:spacing w:before="0" w:line="14" w:lineRule="auto"/>
      <w:ind w:left="0"/>
      <w:rPr>
        <w:sz w:val="20"/>
        <w:szCs w:val="20"/>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53 -</w:t>
    </w:r>
    <w:r>
      <w:fldChar w:fldCharType="end"/>
    </w:r>
  </w:p>
  <w:p>
    <w:pPr>
      <w:pStyle w:val="7"/>
      <w:kinsoku w:val="0"/>
      <w:overflowPunct w:val="0"/>
      <w:spacing w:before="0" w:line="14" w:lineRule="auto"/>
      <w:ind w:left="0"/>
      <w:rPr>
        <w:sz w:val="20"/>
        <w:szCs w:val="20"/>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58 -</w:t>
    </w:r>
    <w:r>
      <w:fldChar w:fldCharType="end"/>
    </w:r>
  </w:p>
  <w:p>
    <w:pPr>
      <w:pStyle w:val="7"/>
      <w:kinsoku w:val="0"/>
      <w:overflowPunct w:val="0"/>
      <w:spacing w:before="0" w:line="14" w:lineRule="auto"/>
      <w:ind w:left="0"/>
      <w:rPr>
        <w:sz w:val="20"/>
        <w:szCs w:val="20"/>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60 -</w:t>
    </w:r>
    <w:r>
      <w:fldChar w:fldCharType="end"/>
    </w:r>
  </w:p>
  <w:p>
    <w:pPr>
      <w:pStyle w:val="7"/>
      <w:kinsoku w:val="0"/>
      <w:overflowPunct w:val="0"/>
      <w:spacing w:before="0" w:line="14" w:lineRule="auto"/>
      <w:ind w:left="0"/>
      <w:rPr>
        <w:sz w:val="20"/>
        <w:szCs w:val="20"/>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center"/>
    </w:pPr>
    <w:r>
      <w:fldChar w:fldCharType="begin"/>
    </w:r>
    <w:r>
      <w:instrText xml:space="preserve"> PAGE   \* MERGEFORMAT </w:instrText>
    </w:r>
    <w:r>
      <w:fldChar w:fldCharType="separate"/>
    </w:r>
    <w:r>
      <w:rPr>
        <w:lang w:val="zh-CN"/>
      </w:rPr>
      <w:t>-</w:t>
    </w:r>
    <w:r>
      <w:t xml:space="preserve"> 63 -</w:t>
    </w:r>
    <w:r>
      <w:fldChar w:fldCharType="end"/>
    </w:r>
  </w:p>
  <w:p>
    <w:pPr>
      <w:pStyle w:val="7"/>
      <w:kinsoku w:val="0"/>
      <w:overflowPunct w:val="0"/>
      <w:spacing w:before="0" w:line="14" w:lineRule="auto"/>
      <w:ind w:left="0"/>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F5A905"/>
    <w:multiLevelType w:val="singleLevel"/>
    <w:tmpl w:val="AEF5A905"/>
    <w:lvl w:ilvl="0" w:tentative="0">
      <w:start w:val="7"/>
      <w:numFmt w:val="chineseCounting"/>
      <w:suff w:val="nothing"/>
      <w:lvlText w:val="%1、"/>
      <w:lvlJc w:val="left"/>
      <w:rPr>
        <w:rFonts w:hint="eastAsia"/>
      </w:rPr>
    </w:lvl>
  </w:abstractNum>
  <w:abstractNum w:abstractNumId="1">
    <w:nsid w:val="FFFFFFFB"/>
    <w:multiLevelType w:val="multilevel"/>
    <w:tmpl w:val="FFFFFFFB"/>
    <w:lvl w:ilvl="0" w:tentative="0">
      <w:start w:val="1"/>
      <w:numFmt w:val="chineseCountingThousand"/>
      <w:lvlText w:val="%1."/>
      <w:legacy w:legacy="1" w:legacySpace="113" w:legacyIndent="425"/>
      <w:lvlJc w:val="left"/>
      <w:pPr>
        <w:ind w:left="425" w:hanging="425"/>
      </w:pPr>
      <w:rPr>
        <w:rFonts w:cs="Times New Roman"/>
      </w:rPr>
    </w:lvl>
    <w:lvl w:ilvl="1" w:tentative="0">
      <w:start w:val="1"/>
      <w:numFmt w:val="decimal"/>
      <w:lvlText w:val="%2."/>
      <w:legacy w:legacy="1" w:legacySpace="0" w:legacyIndent="425"/>
      <w:lvlJc w:val="left"/>
      <w:pPr>
        <w:ind w:left="851" w:hanging="425"/>
      </w:pPr>
      <w:rPr>
        <w:rFonts w:cs="Times New Roman"/>
      </w:rPr>
    </w:lvl>
    <w:lvl w:ilvl="2" w:tentative="0">
      <w:start w:val="1"/>
      <w:numFmt w:val="none"/>
      <w:pStyle w:val="4"/>
      <w:suff w:val="nothing"/>
      <w:lvlText w:val=""/>
      <w:lvlJc w:val="left"/>
      <w:pPr>
        <w:ind w:left="851" w:hanging="425"/>
      </w:pPr>
      <w:rPr>
        <w:rFonts w:cs="Times New Roman"/>
      </w:rPr>
    </w:lvl>
    <w:lvl w:ilvl="3" w:tentative="0">
      <w:start w:val="1"/>
      <w:numFmt w:val="lowerLetter"/>
      <w:lvlText w:val="%4)"/>
      <w:legacy w:legacy="1" w:legacySpace="0" w:legacyIndent="425"/>
      <w:lvlJc w:val="left"/>
      <w:pPr>
        <w:ind w:left="1700" w:hanging="425"/>
      </w:pPr>
      <w:rPr>
        <w:rFonts w:cs="Times New Roman"/>
      </w:rPr>
    </w:lvl>
    <w:lvl w:ilvl="4" w:tentative="0">
      <w:start w:val="1"/>
      <w:numFmt w:val="decimal"/>
      <w:lvlText w:val="(%5)"/>
      <w:legacy w:legacy="1" w:legacySpace="0" w:legacyIndent="425"/>
      <w:lvlJc w:val="left"/>
      <w:pPr>
        <w:ind w:left="2125" w:hanging="425"/>
      </w:pPr>
      <w:rPr>
        <w:rFonts w:cs="Times New Roman"/>
      </w:rPr>
    </w:lvl>
    <w:lvl w:ilvl="5" w:tentative="0">
      <w:start w:val="1"/>
      <w:numFmt w:val="lowerLetter"/>
      <w:lvlText w:val="(%6)"/>
      <w:legacy w:legacy="1" w:legacySpace="0" w:legacyIndent="425"/>
      <w:lvlJc w:val="left"/>
      <w:pPr>
        <w:ind w:left="2550" w:hanging="425"/>
      </w:pPr>
      <w:rPr>
        <w:rFonts w:cs="Times New Roman"/>
      </w:rPr>
    </w:lvl>
    <w:lvl w:ilvl="6" w:tentative="0">
      <w:start w:val="1"/>
      <w:numFmt w:val="lowerRoman"/>
      <w:lvlText w:val="(%7)"/>
      <w:legacy w:legacy="1" w:legacySpace="0" w:legacyIndent="425"/>
      <w:lvlJc w:val="left"/>
      <w:pPr>
        <w:ind w:left="2975" w:hanging="425"/>
      </w:pPr>
      <w:rPr>
        <w:rFonts w:cs="Times New Roman"/>
      </w:rPr>
    </w:lvl>
    <w:lvl w:ilvl="7" w:tentative="0">
      <w:start w:val="1"/>
      <w:numFmt w:val="lowerLetter"/>
      <w:lvlText w:val="(%8)"/>
      <w:legacy w:legacy="1" w:legacySpace="0" w:legacyIndent="425"/>
      <w:lvlJc w:val="left"/>
      <w:pPr>
        <w:ind w:left="3400" w:hanging="425"/>
      </w:pPr>
      <w:rPr>
        <w:rFonts w:cs="Times New Roman"/>
      </w:rPr>
    </w:lvl>
    <w:lvl w:ilvl="8" w:tentative="0">
      <w:start w:val="1"/>
      <w:numFmt w:val="lowerRoman"/>
      <w:lvlText w:val="(%9)"/>
      <w:legacy w:legacy="1" w:legacySpace="0" w:legacyIndent="425"/>
      <w:lvlJc w:val="left"/>
      <w:pPr>
        <w:ind w:left="3825" w:hanging="425"/>
      </w:pPr>
      <w:rPr>
        <w:rFonts w:cs="Times New Roman"/>
      </w:rPr>
    </w:lvl>
  </w:abstractNum>
  <w:abstractNum w:abstractNumId="2">
    <w:nsid w:val="0000001E"/>
    <w:multiLevelType w:val="multilevel"/>
    <w:tmpl w:val="0000001E"/>
    <w:lvl w:ilvl="0" w:tentative="0">
      <w:start w:val="1"/>
      <w:numFmt w:val="decimal"/>
      <w:lvlText w:val="%1."/>
      <w:lvlJc w:val="left"/>
      <w:pPr>
        <w:tabs>
          <w:tab w:val="left" w:pos="1140"/>
        </w:tabs>
        <w:ind w:left="1140" w:hanging="420"/>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493B133B"/>
    <w:multiLevelType w:val="multilevel"/>
    <w:tmpl w:val="493B133B"/>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76047A8A"/>
    <w:multiLevelType w:val="singleLevel"/>
    <w:tmpl w:val="76047A8A"/>
    <w:lvl w:ilvl="0" w:tentative="0">
      <w:start w:val="1"/>
      <w:numFmt w:val="chineseCounting"/>
      <w:suff w:val="nothing"/>
      <w:lvlText w:val="（%1）"/>
      <w:lvlJc w:val="left"/>
      <w:rPr>
        <w:rFonts w:hint="eastAsia"/>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trackRevisions w:val="1"/>
  <w:documentProtection w:edit="trackedChanges" w:enforcement="1" w:cryptProviderType="rsaFull" w:cryptAlgorithmClass="hash" w:cryptAlgorithmType="typeAny" w:cryptAlgorithmSid="4" w:cryptSpinCount="0" w:hash="LiDylKrH+L4H0TAuI7EgakzR7Yk=" w:salt="WsZM+WkYC/TlZTKDpv608Q=="/>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hlYjI0OGJkZDc1YjQ5ZWQzOTAxZThjMDBiMGY5ZmIifQ=="/>
  </w:docVars>
  <w:rsids>
    <w:rsidRoot w:val="18543CF9"/>
    <w:rsid w:val="00520897"/>
    <w:rsid w:val="01A826CA"/>
    <w:rsid w:val="02247ACE"/>
    <w:rsid w:val="023F0464"/>
    <w:rsid w:val="028535FF"/>
    <w:rsid w:val="033743E6"/>
    <w:rsid w:val="037E320E"/>
    <w:rsid w:val="04256A3D"/>
    <w:rsid w:val="04425FE9"/>
    <w:rsid w:val="055D1F0C"/>
    <w:rsid w:val="064500CB"/>
    <w:rsid w:val="069420D1"/>
    <w:rsid w:val="06C537BD"/>
    <w:rsid w:val="0850534E"/>
    <w:rsid w:val="093E76C7"/>
    <w:rsid w:val="094B1DE4"/>
    <w:rsid w:val="09DB6ABC"/>
    <w:rsid w:val="0B071D3B"/>
    <w:rsid w:val="0B1D330C"/>
    <w:rsid w:val="0B385646"/>
    <w:rsid w:val="0BA42D25"/>
    <w:rsid w:val="0C9037D2"/>
    <w:rsid w:val="0CA83C7C"/>
    <w:rsid w:val="0CD43ED0"/>
    <w:rsid w:val="0D047E23"/>
    <w:rsid w:val="0D3A44CA"/>
    <w:rsid w:val="0D3F3B5F"/>
    <w:rsid w:val="0D4465FA"/>
    <w:rsid w:val="0DF34C7D"/>
    <w:rsid w:val="0E0B16CD"/>
    <w:rsid w:val="0E336944"/>
    <w:rsid w:val="0EC20452"/>
    <w:rsid w:val="0EC637FF"/>
    <w:rsid w:val="0EEA6492"/>
    <w:rsid w:val="1068003A"/>
    <w:rsid w:val="1097317E"/>
    <w:rsid w:val="11220530"/>
    <w:rsid w:val="1163111B"/>
    <w:rsid w:val="11BE63FD"/>
    <w:rsid w:val="124935A2"/>
    <w:rsid w:val="12AE19A1"/>
    <w:rsid w:val="145558C5"/>
    <w:rsid w:val="15281AB4"/>
    <w:rsid w:val="15B42ABF"/>
    <w:rsid w:val="16441A33"/>
    <w:rsid w:val="16516E47"/>
    <w:rsid w:val="17A65C95"/>
    <w:rsid w:val="18074383"/>
    <w:rsid w:val="183B3DB9"/>
    <w:rsid w:val="18543CF9"/>
    <w:rsid w:val="193208CA"/>
    <w:rsid w:val="1978289E"/>
    <w:rsid w:val="19AD7F51"/>
    <w:rsid w:val="1A0B4BE5"/>
    <w:rsid w:val="1A2553F4"/>
    <w:rsid w:val="1AC567CB"/>
    <w:rsid w:val="1AF63056"/>
    <w:rsid w:val="1BBE4697"/>
    <w:rsid w:val="1C2C01A7"/>
    <w:rsid w:val="1C2E6D29"/>
    <w:rsid w:val="1D644857"/>
    <w:rsid w:val="1E0565AE"/>
    <w:rsid w:val="1F1541C9"/>
    <w:rsid w:val="20223EB6"/>
    <w:rsid w:val="20717F2A"/>
    <w:rsid w:val="211B0D02"/>
    <w:rsid w:val="22245940"/>
    <w:rsid w:val="22851A6B"/>
    <w:rsid w:val="23C45AE8"/>
    <w:rsid w:val="24612064"/>
    <w:rsid w:val="247500F5"/>
    <w:rsid w:val="24B71C84"/>
    <w:rsid w:val="26F3599D"/>
    <w:rsid w:val="270E6820"/>
    <w:rsid w:val="2744655C"/>
    <w:rsid w:val="275306F2"/>
    <w:rsid w:val="277F2F2D"/>
    <w:rsid w:val="2815563F"/>
    <w:rsid w:val="284866D5"/>
    <w:rsid w:val="2852036A"/>
    <w:rsid w:val="28C876FF"/>
    <w:rsid w:val="28DD78B1"/>
    <w:rsid w:val="29FD079E"/>
    <w:rsid w:val="2A2715E7"/>
    <w:rsid w:val="2A9574E7"/>
    <w:rsid w:val="2B3640E7"/>
    <w:rsid w:val="2B593A95"/>
    <w:rsid w:val="2CA07F1F"/>
    <w:rsid w:val="2D4C3F3D"/>
    <w:rsid w:val="2DA22888"/>
    <w:rsid w:val="2E345C0F"/>
    <w:rsid w:val="2EA72D69"/>
    <w:rsid w:val="2F5702EB"/>
    <w:rsid w:val="2FB03EC7"/>
    <w:rsid w:val="30655F67"/>
    <w:rsid w:val="307456F4"/>
    <w:rsid w:val="30F93D50"/>
    <w:rsid w:val="316C3231"/>
    <w:rsid w:val="31712CAC"/>
    <w:rsid w:val="31B41A25"/>
    <w:rsid w:val="31EE17C3"/>
    <w:rsid w:val="320D376A"/>
    <w:rsid w:val="32166D38"/>
    <w:rsid w:val="322F67FD"/>
    <w:rsid w:val="32D21D23"/>
    <w:rsid w:val="32E25E06"/>
    <w:rsid w:val="33AB2AE8"/>
    <w:rsid w:val="33C57F19"/>
    <w:rsid w:val="33C64EFA"/>
    <w:rsid w:val="35F21280"/>
    <w:rsid w:val="37D50947"/>
    <w:rsid w:val="37E27046"/>
    <w:rsid w:val="38161961"/>
    <w:rsid w:val="38994A3E"/>
    <w:rsid w:val="38E218F0"/>
    <w:rsid w:val="38E90DE3"/>
    <w:rsid w:val="38F10B41"/>
    <w:rsid w:val="3928462D"/>
    <w:rsid w:val="39294E38"/>
    <w:rsid w:val="39462B58"/>
    <w:rsid w:val="396F5377"/>
    <w:rsid w:val="39A369DF"/>
    <w:rsid w:val="39E457B5"/>
    <w:rsid w:val="3AD924FC"/>
    <w:rsid w:val="3B914B85"/>
    <w:rsid w:val="3BAB4D14"/>
    <w:rsid w:val="3BC60CD2"/>
    <w:rsid w:val="3C5B34B7"/>
    <w:rsid w:val="3D311C7C"/>
    <w:rsid w:val="3DFE7834"/>
    <w:rsid w:val="3E0D2BA2"/>
    <w:rsid w:val="3E3A062B"/>
    <w:rsid w:val="3F220916"/>
    <w:rsid w:val="40D20119"/>
    <w:rsid w:val="41080632"/>
    <w:rsid w:val="414C2F42"/>
    <w:rsid w:val="4198271B"/>
    <w:rsid w:val="42004812"/>
    <w:rsid w:val="42254FE2"/>
    <w:rsid w:val="4276163D"/>
    <w:rsid w:val="42CE281C"/>
    <w:rsid w:val="43B23314"/>
    <w:rsid w:val="43D61CCF"/>
    <w:rsid w:val="43E73A30"/>
    <w:rsid w:val="4404721B"/>
    <w:rsid w:val="447F5266"/>
    <w:rsid w:val="449052F8"/>
    <w:rsid w:val="44E623E5"/>
    <w:rsid w:val="45B24076"/>
    <w:rsid w:val="46017364"/>
    <w:rsid w:val="4650235F"/>
    <w:rsid w:val="47681CB9"/>
    <w:rsid w:val="478B183F"/>
    <w:rsid w:val="47975F91"/>
    <w:rsid w:val="47F17FF6"/>
    <w:rsid w:val="481039C2"/>
    <w:rsid w:val="495C73DE"/>
    <w:rsid w:val="4A631398"/>
    <w:rsid w:val="4AF764A2"/>
    <w:rsid w:val="4B085B79"/>
    <w:rsid w:val="4D1F45CA"/>
    <w:rsid w:val="4D3F08E5"/>
    <w:rsid w:val="4DCB088C"/>
    <w:rsid w:val="4F6C607F"/>
    <w:rsid w:val="4F9C19A5"/>
    <w:rsid w:val="4FD32219"/>
    <w:rsid w:val="50FE637F"/>
    <w:rsid w:val="5232691D"/>
    <w:rsid w:val="52B725FD"/>
    <w:rsid w:val="52D41ACF"/>
    <w:rsid w:val="53265008"/>
    <w:rsid w:val="53C83F02"/>
    <w:rsid w:val="54B8170F"/>
    <w:rsid w:val="553E5B78"/>
    <w:rsid w:val="557C6AFB"/>
    <w:rsid w:val="55825812"/>
    <w:rsid w:val="568466E1"/>
    <w:rsid w:val="569C7E2B"/>
    <w:rsid w:val="57D1564F"/>
    <w:rsid w:val="583848AE"/>
    <w:rsid w:val="58D47E44"/>
    <w:rsid w:val="596F3EF7"/>
    <w:rsid w:val="597B0EF6"/>
    <w:rsid w:val="5A2E693B"/>
    <w:rsid w:val="5ACE04AA"/>
    <w:rsid w:val="5C640FA6"/>
    <w:rsid w:val="5CE837F7"/>
    <w:rsid w:val="5EFE7E17"/>
    <w:rsid w:val="5F014952"/>
    <w:rsid w:val="600F393E"/>
    <w:rsid w:val="60611410"/>
    <w:rsid w:val="60700B70"/>
    <w:rsid w:val="61216DC9"/>
    <w:rsid w:val="614608E4"/>
    <w:rsid w:val="61870133"/>
    <w:rsid w:val="61CC6B2B"/>
    <w:rsid w:val="61CD35B4"/>
    <w:rsid w:val="62561D7F"/>
    <w:rsid w:val="625B6CA3"/>
    <w:rsid w:val="62D33B51"/>
    <w:rsid w:val="636776DF"/>
    <w:rsid w:val="63AA3121"/>
    <w:rsid w:val="63AA40CB"/>
    <w:rsid w:val="64F5495F"/>
    <w:rsid w:val="65B75E9B"/>
    <w:rsid w:val="65C5024C"/>
    <w:rsid w:val="67237B54"/>
    <w:rsid w:val="67626648"/>
    <w:rsid w:val="68CC6FFB"/>
    <w:rsid w:val="68EF4B15"/>
    <w:rsid w:val="69076FCD"/>
    <w:rsid w:val="69101BD4"/>
    <w:rsid w:val="69A22C77"/>
    <w:rsid w:val="69ED6D3E"/>
    <w:rsid w:val="69EE74C3"/>
    <w:rsid w:val="69EE7667"/>
    <w:rsid w:val="6A7554F1"/>
    <w:rsid w:val="6C587073"/>
    <w:rsid w:val="6C910638"/>
    <w:rsid w:val="6E907F65"/>
    <w:rsid w:val="70113542"/>
    <w:rsid w:val="7083374F"/>
    <w:rsid w:val="71F51912"/>
    <w:rsid w:val="729C539E"/>
    <w:rsid w:val="72CE5BF7"/>
    <w:rsid w:val="72DE77C2"/>
    <w:rsid w:val="733C4C78"/>
    <w:rsid w:val="7363682B"/>
    <w:rsid w:val="73A143B8"/>
    <w:rsid w:val="73CF562F"/>
    <w:rsid w:val="746D5229"/>
    <w:rsid w:val="749D7B1B"/>
    <w:rsid w:val="74EE65C9"/>
    <w:rsid w:val="7554465E"/>
    <w:rsid w:val="769E4F1C"/>
    <w:rsid w:val="771A0A72"/>
    <w:rsid w:val="79054FA9"/>
    <w:rsid w:val="792D69AB"/>
    <w:rsid w:val="79A953E1"/>
    <w:rsid w:val="7A1B3742"/>
    <w:rsid w:val="7A1C7FC7"/>
    <w:rsid w:val="7AA1149B"/>
    <w:rsid w:val="7AA66432"/>
    <w:rsid w:val="7AF378B6"/>
    <w:rsid w:val="7B171426"/>
    <w:rsid w:val="7B442487"/>
    <w:rsid w:val="7BF13703"/>
    <w:rsid w:val="7C35622C"/>
    <w:rsid w:val="7CBA047A"/>
    <w:rsid w:val="7CFE2601"/>
    <w:rsid w:val="7D20578D"/>
    <w:rsid w:val="7DB155FF"/>
    <w:rsid w:val="7DC47E4E"/>
    <w:rsid w:val="7E6478FC"/>
    <w:rsid w:val="7E693997"/>
    <w:rsid w:val="7EBD7483"/>
    <w:rsid w:val="7F20292A"/>
    <w:rsid w:val="7F2D19D9"/>
    <w:rsid w:val="7F392227"/>
    <w:rsid w:val="7FCC5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qFormat/>
    <w:uiPriority w:val="99"/>
    <w:pPr>
      <w:keepNext/>
      <w:keepLines/>
      <w:spacing w:before="340" w:after="330" w:line="576" w:lineRule="auto"/>
      <w:outlineLvl w:val="0"/>
    </w:pPr>
    <w:rPr>
      <w:b/>
      <w:bCs/>
      <w:kern w:val="44"/>
      <w:sz w:val="44"/>
      <w:szCs w:val="44"/>
    </w:rPr>
  </w:style>
  <w:style w:type="paragraph" w:styleId="2">
    <w:name w:val="heading 2"/>
    <w:basedOn w:val="1"/>
    <w:next w:val="1"/>
    <w:qFormat/>
    <w:uiPriority w:val="9"/>
    <w:pPr>
      <w:ind w:left="100" w:right="102"/>
      <w:outlineLvl w:val="2"/>
    </w:pPr>
    <w:rPr>
      <w:rFonts w:ascii="Microsoft JhengHei" w:hAnsi="Microsoft JhengHei" w:eastAsia="Microsoft JhengHei" w:cs="Microsoft JhengHei"/>
      <w:b/>
      <w:bCs/>
      <w:sz w:val="32"/>
      <w:szCs w:val="32"/>
    </w:rPr>
  </w:style>
  <w:style w:type="paragraph" w:styleId="4">
    <w:name w:val="heading 3"/>
    <w:basedOn w:val="1"/>
    <w:next w:val="5"/>
    <w:qFormat/>
    <w:uiPriority w:val="99"/>
    <w:pPr>
      <w:keepNext/>
      <w:keepLines/>
      <w:numPr>
        <w:ilvl w:val="2"/>
        <w:numId w:val="1"/>
      </w:numPr>
      <w:adjustRightInd w:val="0"/>
      <w:spacing w:before="160" w:after="160" w:line="160" w:lineRule="atLeast"/>
      <w:textAlignment w:val="baseline"/>
      <w:outlineLvl w:val="2"/>
    </w:pPr>
    <w:rPr>
      <w:rFonts w:ascii="黑体" w:eastAsia="黑体"/>
      <w:kern w:val="0"/>
      <w:sz w:val="28"/>
      <w:szCs w:val="20"/>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5">
    <w:name w:val="文档正文"/>
    <w:basedOn w:val="1"/>
    <w:qFormat/>
    <w:uiPriority w:val="99"/>
    <w:pPr>
      <w:adjustRightInd w:val="0"/>
      <w:spacing w:line="480" w:lineRule="atLeast"/>
      <w:ind w:firstLine="567"/>
      <w:textAlignment w:val="baseline"/>
    </w:pPr>
    <w:rPr>
      <w:rFonts w:ascii="FangSong_GB2312" w:eastAsia="FangSong_GB2312"/>
      <w:kern w:val="0"/>
      <w:sz w:val="28"/>
      <w:szCs w:val="20"/>
    </w:rPr>
  </w:style>
  <w:style w:type="paragraph" w:styleId="6">
    <w:name w:val="Normal Indent"/>
    <w:basedOn w:val="1"/>
    <w:qFormat/>
    <w:uiPriority w:val="0"/>
    <w:pPr>
      <w:ind w:firstLine="420"/>
    </w:pPr>
    <w:rPr>
      <w:rFonts w:ascii="Times New Roman" w:hAnsi="Times New Roman" w:eastAsia="宋体" w:cs="Times New Roman"/>
      <w:szCs w:val="20"/>
    </w:rPr>
  </w:style>
  <w:style w:type="paragraph" w:styleId="7">
    <w:name w:val="Body Text"/>
    <w:basedOn w:val="1"/>
    <w:next w:val="1"/>
    <w:qFormat/>
    <w:uiPriority w:val="0"/>
    <w:pPr>
      <w:autoSpaceDE w:val="0"/>
      <w:autoSpaceDN w:val="0"/>
      <w:adjustRightInd w:val="0"/>
      <w:spacing w:before="34"/>
      <w:ind w:left="599"/>
      <w:jc w:val="left"/>
    </w:pPr>
    <w:rPr>
      <w:rFonts w:ascii="Times New Roman" w:hAnsi="Times New Roman" w:cs="Times New Roman"/>
      <w:kern w:val="0"/>
      <w:sz w:val="24"/>
      <w:szCs w:val="24"/>
    </w:rPr>
  </w:style>
  <w:style w:type="paragraph" w:styleId="8">
    <w:name w:val="Body Text Indent"/>
    <w:basedOn w:val="1"/>
    <w:next w:val="9"/>
    <w:qFormat/>
    <w:uiPriority w:val="0"/>
    <w:pPr>
      <w:autoSpaceDE w:val="0"/>
      <w:autoSpaceDN w:val="0"/>
      <w:adjustRightInd w:val="0"/>
      <w:spacing w:after="120"/>
      <w:ind w:left="420" w:leftChars="200"/>
      <w:jc w:val="left"/>
    </w:pPr>
    <w:rPr>
      <w:rFonts w:ascii="Times New Roman" w:hAnsi="Times New Roman" w:eastAsia="宋体" w:cs="Times New Roman"/>
      <w:kern w:val="0"/>
      <w:sz w:val="24"/>
      <w:szCs w:val="24"/>
    </w:rPr>
  </w:style>
  <w:style w:type="paragraph" w:styleId="9">
    <w:name w:val="envelope return"/>
    <w:basedOn w:val="1"/>
    <w:qFormat/>
    <w:uiPriority w:val="0"/>
    <w:pPr>
      <w:autoSpaceDE w:val="0"/>
      <w:autoSpaceDN w:val="0"/>
      <w:adjustRightInd w:val="0"/>
      <w:snapToGrid w:val="0"/>
      <w:jc w:val="left"/>
    </w:pPr>
    <w:rPr>
      <w:rFonts w:ascii="Arial" w:hAnsi="Arial" w:eastAsia="宋体" w:cs="Times New Roman"/>
      <w:kern w:val="0"/>
      <w:sz w:val="24"/>
      <w:szCs w:val="24"/>
    </w:rPr>
  </w:style>
  <w:style w:type="paragraph" w:styleId="10">
    <w:name w:val="Plain Text"/>
    <w:basedOn w:val="1"/>
    <w:qFormat/>
    <w:uiPriority w:val="0"/>
    <w:pPr>
      <w:ind w:firstLine="200" w:firstLineChars="200"/>
    </w:pPr>
    <w:rPr>
      <w:rFonts w:ascii="宋体" w:hAnsi="Courier New"/>
      <w:szCs w:val="20"/>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unhideWhenUsed/>
    <w:qFormat/>
    <w:uiPriority w:val="39"/>
    <w:pPr>
      <w:autoSpaceDE w:val="0"/>
      <w:autoSpaceDN w:val="0"/>
      <w:adjustRightInd w:val="0"/>
      <w:jc w:val="left"/>
    </w:pPr>
    <w:rPr>
      <w:rFonts w:ascii="Times New Roman" w:hAnsi="Times New Roman" w:eastAsia="宋体" w:cs="Times New Roman"/>
      <w:kern w:val="0"/>
      <w:sz w:val="24"/>
      <w:szCs w:val="24"/>
    </w:rPr>
  </w:style>
  <w:style w:type="paragraph" w:styleId="14">
    <w:name w:val="Body Text 2"/>
    <w:basedOn w:val="1"/>
    <w:qFormat/>
    <w:uiPriority w:val="0"/>
    <w:pPr>
      <w:spacing w:after="120" w:line="480" w:lineRule="auto"/>
    </w:pPr>
    <w:rPr>
      <w:szCs w:val="20"/>
    </w:rPr>
  </w:style>
  <w:style w:type="paragraph" w:styleId="15">
    <w:name w:val="Normal (Web)"/>
    <w:basedOn w:val="1"/>
    <w:unhideWhenUsed/>
    <w:qFormat/>
    <w:uiPriority w:val="99"/>
    <w:pPr>
      <w:autoSpaceDE w:val="0"/>
      <w:autoSpaceDN w:val="0"/>
      <w:adjustRightInd w:val="0"/>
      <w:jc w:val="left"/>
    </w:pPr>
    <w:rPr>
      <w:rFonts w:ascii="Times New Roman" w:hAnsi="Times New Roman" w:eastAsia="宋体" w:cs="Times New Roman"/>
      <w:kern w:val="0"/>
      <w:sz w:val="24"/>
      <w:szCs w:val="24"/>
    </w:rPr>
  </w:style>
  <w:style w:type="paragraph" w:styleId="16">
    <w:name w:val="Body Text First Indent"/>
    <w:basedOn w:val="7"/>
    <w:next w:val="17"/>
    <w:qFormat/>
    <w:uiPriority w:val="0"/>
    <w:pPr>
      <w:ind w:firstLine="420" w:firstLineChars="100"/>
    </w:pPr>
  </w:style>
  <w:style w:type="paragraph" w:styleId="17">
    <w:name w:val="Body Text First Indent 2"/>
    <w:basedOn w:val="8"/>
    <w:next w:val="1"/>
    <w:qFormat/>
    <w:uiPriority w:val="0"/>
    <w:pPr>
      <w:ind w:firstLine="420" w:firstLineChars="200"/>
    </w:pPr>
    <w:rPr>
      <w:sz w:val="21"/>
    </w:r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style>
  <w:style w:type="character" w:styleId="22">
    <w:name w:val="FollowedHyperlink"/>
    <w:basedOn w:val="20"/>
    <w:qFormat/>
    <w:uiPriority w:val="0"/>
    <w:rPr>
      <w:color w:val="800080"/>
      <w:u w:val="none"/>
    </w:rPr>
  </w:style>
  <w:style w:type="character" w:styleId="23">
    <w:name w:val="Emphasis"/>
    <w:basedOn w:val="20"/>
    <w:qFormat/>
    <w:uiPriority w:val="0"/>
  </w:style>
  <w:style w:type="character" w:styleId="24">
    <w:name w:val="HTML Definition"/>
    <w:basedOn w:val="20"/>
    <w:qFormat/>
    <w:uiPriority w:val="0"/>
  </w:style>
  <w:style w:type="character" w:styleId="25">
    <w:name w:val="HTML Typewriter"/>
    <w:basedOn w:val="20"/>
    <w:qFormat/>
    <w:uiPriority w:val="0"/>
    <w:rPr>
      <w:rFonts w:hint="default" w:ascii="monospace" w:hAnsi="monospace" w:eastAsia="monospace" w:cs="monospace"/>
      <w:sz w:val="20"/>
    </w:rPr>
  </w:style>
  <w:style w:type="character" w:styleId="26">
    <w:name w:val="HTML Acronym"/>
    <w:basedOn w:val="20"/>
    <w:qFormat/>
    <w:uiPriority w:val="0"/>
  </w:style>
  <w:style w:type="character" w:styleId="27">
    <w:name w:val="HTML Variable"/>
    <w:basedOn w:val="20"/>
    <w:qFormat/>
    <w:uiPriority w:val="0"/>
  </w:style>
  <w:style w:type="character" w:styleId="28">
    <w:name w:val="Hyperlink"/>
    <w:basedOn w:val="20"/>
    <w:qFormat/>
    <w:uiPriority w:val="0"/>
    <w:rPr>
      <w:color w:val="0000FF"/>
      <w:u w:val="none"/>
    </w:rPr>
  </w:style>
  <w:style w:type="character" w:styleId="29">
    <w:name w:val="HTML Code"/>
    <w:basedOn w:val="20"/>
    <w:qFormat/>
    <w:uiPriority w:val="0"/>
    <w:rPr>
      <w:rFonts w:hint="default" w:ascii="monospace" w:hAnsi="monospace" w:eastAsia="monospace" w:cs="monospace"/>
      <w:sz w:val="20"/>
    </w:rPr>
  </w:style>
  <w:style w:type="character" w:styleId="30">
    <w:name w:val="HTML Cite"/>
    <w:basedOn w:val="20"/>
    <w:qFormat/>
    <w:uiPriority w:val="0"/>
  </w:style>
  <w:style w:type="character" w:styleId="31">
    <w:name w:val="HTML Keyboard"/>
    <w:basedOn w:val="20"/>
    <w:qFormat/>
    <w:uiPriority w:val="0"/>
    <w:rPr>
      <w:rFonts w:ascii="monospace" w:hAnsi="monospace" w:eastAsia="monospace" w:cs="monospace"/>
      <w:sz w:val="20"/>
    </w:rPr>
  </w:style>
  <w:style w:type="character" w:styleId="32">
    <w:name w:val="HTML Sample"/>
    <w:basedOn w:val="20"/>
    <w:qFormat/>
    <w:uiPriority w:val="0"/>
    <w:rPr>
      <w:rFonts w:hint="default" w:ascii="monospace" w:hAnsi="monospace" w:eastAsia="monospace" w:cs="monospace"/>
    </w:rPr>
  </w:style>
  <w:style w:type="paragraph" w:customStyle="1" w:styleId="33">
    <w:name w:val="style4"/>
    <w:basedOn w:val="1"/>
    <w:next w:val="34"/>
    <w:qFormat/>
    <w:uiPriority w:val="0"/>
    <w:pPr>
      <w:widowControl/>
      <w:autoSpaceDE/>
      <w:autoSpaceDN/>
      <w:spacing w:before="280" w:after="280"/>
      <w:jc w:val="both"/>
    </w:pPr>
    <w:rPr>
      <w:sz w:val="18"/>
    </w:rPr>
  </w:style>
  <w:style w:type="paragraph" w:customStyle="1" w:styleId="3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
    <w:name w:val="无间隔1"/>
    <w:next w:val="36"/>
    <w:qFormat/>
    <w:uiPriority w:val="99"/>
    <w:pPr>
      <w:widowControl w:val="0"/>
      <w:jc w:val="both"/>
    </w:pPr>
    <w:rPr>
      <w:rFonts w:ascii="Calibri" w:hAnsi="Calibri" w:eastAsia="宋体" w:cs="Times New Roman"/>
      <w:kern w:val="2"/>
      <w:sz w:val="21"/>
      <w:szCs w:val="22"/>
      <w:lang w:val="en-US" w:eastAsia="zh-CN" w:bidi="ar-SA"/>
    </w:rPr>
  </w:style>
  <w:style w:type="paragraph" w:customStyle="1" w:styleId="36">
    <w:name w:val="TOC Heading1"/>
    <w:next w:val="1"/>
    <w:qFormat/>
    <w:uiPriority w:val="0"/>
    <w:pPr>
      <w:wordWrap w:val="0"/>
    </w:pPr>
    <w:rPr>
      <w:rFonts w:ascii="Calibri" w:hAnsi="Calibri" w:eastAsia="宋体" w:cs="Times New Roman"/>
      <w:sz w:val="32"/>
      <w:szCs w:val="22"/>
      <w:lang w:val="en-US" w:eastAsia="zh-CN" w:bidi="ar-SA"/>
    </w:rPr>
  </w:style>
  <w:style w:type="paragraph" w:customStyle="1" w:styleId="37">
    <w:name w:val="样式 正文首行缩进 2 + Arial"/>
    <w:basedOn w:val="1"/>
    <w:next w:val="1"/>
    <w:qFormat/>
    <w:uiPriority w:val="0"/>
    <w:pPr>
      <w:autoSpaceDE w:val="0"/>
      <w:autoSpaceDN w:val="0"/>
      <w:adjustRightInd w:val="0"/>
      <w:spacing w:after="120" w:line="320" w:lineRule="atLeast"/>
      <w:ind w:firstLine="200" w:firstLineChars="200"/>
      <w:jc w:val="left"/>
    </w:pPr>
    <w:rPr>
      <w:rFonts w:ascii="Arial" w:hAnsi="Arial" w:eastAsia="宋体" w:cs="Times New Roman"/>
      <w:kern w:val="0"/>
      <w:sz w:val="24"/>
      <w:szCs w:val="24"/>
    </w:rPr>
  </w:style>
  <w:style w:type="paragraph" w:customStyle="1" w:styleId="38">
    <w:name w:val="WPSOffice手动目录 1"/>
    <w:qFormat/>
    <w:uiPriority w:val="99"/>
    <w:rPr>
      <w:rFonts w:ascii="Times New Roman" w:hAnsi="Times New Roman" w:eastAsia="宋体" w:cs="Times New Roman"/>
      <w:lang w:val="en-US" w:eastAsia="zh-CN" w:bidi="ar-SA"/>
    </w:rPr>
  </w:style>
  <w:style w:type="paragraph" w:styleId="39">
    <w:name w:val="List Paragraph"/>
    <w:basedOn w:val="1"/>
    <w:qFormat/>
    <w:uiPriority w:val="99"/>
    <w:pPr>
      <w:autoSpaceDE w:val="0"/>
      <w:autoSpaceDN w:val="0"/>
      <w:adjustRightInd w:val="0"/>
      <w:jc w:val="left"/>
    </w:pPr>
    <w:rPr>
      <w:rFonts w:ascii="Times New Roman" w:hAnsi="Times New Roman" w:eastAsia="宋体" w:cs="Times New Roman"/>
      <w:kern w:val="0"/>
      <w:sz w:val="24"/>
      <w:szCs w:val="24"/>
    </w:rPr>
  </w:style>
  <w:style w:type="character" w:customStyle="1" w:styleId="40">
    <w:name w:val="NormalCharacter"/>
    <w:qFormat/>
    <w:uiPriority w:val="0"/>
    <w:rPr>
      <w:rFonts w:asciiTheme="minorHAnsi" w:hAnsiTheme="minorHAnsi" w:eastAsiaTheme="minorEastAsia" w:cstheme="minorBidi"/>
      <w:kern w:val="2"/>
      <w:sz w:val="21"/>
      <w:szCs w:val="24"/>
      <w:lang w:val="en-US" w:eastAsia="zh-CN" w:bidi="ar-SA"/>
    </w:rPr>
  </w:style>
  <w:style w:type="paragraph" w:customStyle="1" w:styleId="41">
    <w:name w:val="**正文"/>
    <w:basedOn w:val="1"/>
    <w:qFormat/>
    <w:uiPriority w:val="0"/>
    <w:pPr>
      <w:spacing w:line="360" w:lineRule="auto"/>
      <w:ind w:firstLine="482"/>
    </w:pPr>
    <w:rPr>
      <w:rFonts w:ascii="宋体" w:hAnsi="宋体" w:eastAsia="宋体" w:cs="Times New Roman"/>
      <w:sz w:val="24"/>
      <w:szCs w:val="24"/>
    </w:rPr>
  </w:style>
  <w:style w:type="paragraph" w:customStyle="1" w:styleId="42">
    <w:name w:val="Table Paragraph"/>
    <w:basedOn w:val="1"/>
    <w:qFormat/>
    <w:uiPriority w:val="1"/>
    <w:pPr>
      <w:autoSpaceDE w:val="0"/>
      <w:autoSpaceDN w:val="0"/>
      <w:adjustRightInd w:val="0"/>
      <w:jc w:val="left"/>
    </w:pPr>
    <w:rPr>
      <w:rFonts w:ascii="Times New Roman" w:hAnsi="Times New Roman" w:eastAsia="宋体" w:cs="Times New Roman"/>
      <w:kern w:val="0"/>
      <w:sz w:val="24"/>
      <w:szCs w:val="24"/>
    </w:rPr>
  </w:style>
  <w:style w:type="paragraph" w:customStyle="1" w:styleId="43">
    <w:name w:val="引文目录标题1"/>
    <w:basedOn w:val="1"/>
    <w:next w:val="1"/>
    <w:qFormat/>
    <w:uiPriority w:val="0"/>
    <w:pPr>
      <w:spacing w:before="120" w:after="100" w:afterAutospacing="1"/>
    </w:pPr>
    <w:rPr>
      <w:rFonts w:ascii="Cambria" w:hAnsi="Cambria"/>
      <w:sz w:val="24"/>
    </w:rPr>
  </w:style>
  <w:style w:type="table" w:customStyle="1" w:styleId="44">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0.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64</Pages>
  <Words>35521</Words>
  <Characters>39530</Characters>
  <Lines>0</Lines>
  <Paragraphs>0</Paragraphs>
  <TotalTime>13</TotalTime>
  <ScaleCrop>false</ScaleCrop>
  <LinksUpToDate>false</LinksUpToDate>
  <CharactersWithSpaces>41684</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2023-05-24T08:59:00Z</dcterms:created>
  <dc:creator>王富祯</dc:creator>
  <cp:lastModifiedBy>王恺</cp:lastModifiedBy>
  <dcterms:modified xsi:type="dcterms:W3CDTF">2023-11-08T09:04:29Z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B5EC48488B1547E6B01ABFA64AEC0899_13</vt:lpwstr>
  </property>
</Properties>
</file>