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autoSpaceDE w:val="0"/>
        <w:autoSpaceDN w:val="0"/>
        <w:adjustRightInd w:val="0"/>
        <w:spacing w:line="626" w:lineRule="exact"/>
        <w:ind w:left="820"/>
        <w:jc w:val="center"/>
        <w:rPr>
          <w:rFonts w:ascii="Times New Roman" w:hAnsi="Times New Roman" w:eastAsia="宋体" w:cs="Times New Roman"/>
          <w:color w:val="000000" w:themeColor="text1"/>
          <w:kern w:val="0"/>
          <w:sz w:val="48"/>
          <w:szCs w:val="48"/>
          <w14:textFill>
            <w14:solidFill>
              <w14:schemeClr w14:val="tx1"/>
            </w14:solidFill>
          </w14:textFill>
        </w:rPr>
      </w:pPr>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郑州市第九人民医院医疗设备采购项目</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bookmarkStart w:id="298" w:name="_GoBack"/>
      <w:bookmarkEnd w:id="298"/>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line="300" w:lineRule="auto"/>
        <w:jc w:val="center"/>
        <w:rPr>
          <w:rFonts w:hint="eastAsia" w:ascii="Times New Roman" w:hAnsi="Times New Roman" w:eastAsia="宋体" w:cs="Times New Roman"/>
          <w:b/>
          <w:bCs/>
          <w:color w:val="000000" w:themeColor="text1"/>
          <w:kern w:val="0"/>
          <w:sz w:val="84"/>
          <w:szCs w:val="84"/>
          <w14:textFill>
            <w14:solidFill>
              <w14:schemeClr w14:val="tx1"/>
            </w14:solidFill>
          </w14:textFill>
        </w:rPr>
      </w:pPr>
    </w:p>
    <w:p>
      <w:pPr>
        <w:kinsoku w:val="0"/>
        <w:overflowPunct w:val="0"/>
        <w:autoSpaceDE w:val="0"/>
        <w:autoSpaceDN w:val="0"/>
        <w:adjustRightInd w:val="0"/>
        <w:spacing w:line="300" w:lineRule="auto"/>
        <w:jc w:val="center"/>
        <w:rPr>
          <w:rFonts w:hint="eastAsia" w:ascii="Times New Roman" w:hAnsi="Times New Roman" w:eastAsia="宋体" w:cs="Times New Roman"/>
          <w:b/>
          <w:bCs/>
          <w:color w:val="000000" w:themeColor="text1"/>
          <w:kern w:val="0"/>
          <w:sz w:val="84"/>
          <w:szCs w:val="84"/>
          <w14:textFill>
            <w14:solidFill>
              <w14:schemeClr w14:val="tx1"/>
            </w14:solidFill>
          </w14:textFill>
        </w:rPr>
      </w:pPr>
    </w:p>
    <w:p>
      <w:pPr>
        <w:kinsoku w:val="0"/>
        <w:overflowPunct w:val="0"/>
        <w:autoSpaceDE w:val="0"/>
        <w:autoSpaceDN w:val="0"/>
        <w:adjustRightInd w:val="0"/>
        <w:spacing w:line="300" w:lineRule="auto"/>
        <w:jc w:val="center"/>
        <w:rPr>
          <w:rFonts w:ascii="Times New Roman" w:hAnsi="Times New Roman" w:eastAsia="宋体" w:cs="Times New Roman"/>
          <w:color w:val="000000" w:themeColor="text1"/>
          <w:kern w:val="0"/>
          <w:sz w:val="84"/>
          <w:szCs w:val="84"/>
          <w14:textFill>
            <w14:solidFill>
              <w14:schemeClr w14:val="tx1"/>
            </w14:solidFill>
          </w14:textFill>
        </w:rPr>
      </w:pPr>
      <w:r>
        <w:rPr>
          <w:rFonts w:hint="eastAsia" w:ascii="Times New Roman" w:hAnsi="Times New Roman" w:eastAsia="宋体" w:cs="Times New Roman"/>
          <w:b/>
          <w:bCs/>
          <w:color w:val="000000" w:themeColor="text1"/>
          <w:kern w:val="0"/>
          <w:sz w:val="84"/>
          <w:szCs w:val="84"/>
          <w14:textFill>
            <w14:solidFill>
              <w14:schemeClr w14:val="tx1"/>
            </w14:solidFill>
          </w14:textFill>
        </w:rPr>
        <w:t>招</w:t>
      </w:r>
      <w:r>
        <w:rPr>
          <w:rFonts w:hint="eastAsia" w:ascii="Times New Roman" w:hAnsi="Times New Roman" w:eastAsia="宋体" w:cs="Times New Roman"/>
          <w:b/>
          <w:bCs/>
          <w:color w:val="000000" w:themeColor="text1"/>
          <w:spacing w:val="4"/>
          <w:kern w:val="0"/>
          <w:sz w:val="84"/>
          <w:szCs w:val="84"/>
          <w14:textFill>
            <w14:solidFill>
              <w14:schemeClr w14:val="tx1"/>
            </w14:solidFill>
          </w14:textFill>
        </w:rPr>
        <w:t>标</w:t>
      </w:r>
      <w:r>
        <w:rPr>
          <w:rFonts w:hint="eastAsia" w:ascii="Times New Roman" w:hAnsi="Times New Roman" w:eastAsia="宋体" w:cs="Times New Roman"/>
          <w:b/>
          <w:bCs/>
          <w:color w:val="000000" w:themeColor="text1"/>
          <w:kern w:val="0"/>
          <w:sz w:val="84"/>
          <w:szCs w:val="84"/>
          <w14:textFill>
            <w14:solidFill>
              <w14:schemeClr w14:val="tx1"/>
            </w14:solidFill>
          </w14:textFill>
        </w:rPr>
        <w:t>文</w:t>
      </w:r>
      <w:r>
        <w:rPr>
          <w:rFonts w:hint="eastAsia" w:ascii="Times New Roman" w:hAnsi="Times New Roman" w:eastAsia="宋体" w:cs="Times New Roman"/>
          <w:b/>
          <w:bCs/>
          <w:color w:val="000000" w:themeColor="text1"/>
          <w:spacing w:val="3"/>
          <w:kern w:val="0"/>
          <w:sz w:val="84"/>
          <w:szCs w:val="84"/>
          <w14:textFill>
            <w14:solidFill>
              <w14:schemeClr w14:val="tx1"/>
            </w14:solidFill>
          </w14:textFill>
        </w:rPr>
        <w:t>件</w:t>
      </w:r>
    </w:p>
    <w:p>
      <w:pPr>
        <w:kinsoku w:val="0"/>
        <w:overflowPunct w:val="0"/>
        <w:autoSpaceDE w:val="0"/>
        <w:autoSpaceDN w:val="0"/>
        <w:adjustRightInd w:val="0"/>
        <w:spacing w:before="90"/>
        <w:ind w:right="843"/>
        <w:jc w:val="center"/>
        <w:rPr>
          <w:rFonts w:hint="default" w:ascii="Times New Roman" w:hAnsi="Times New Roman" w:eastAsia="宋体" w:cs="Times New Roman"/>
          <w:color w:val="auto"/>
          <w:kern w:val="0"/>
          <w:sz w:val="28"/>
          <w:szCs w:val="28"/>
          <w:highlight w:val="none"/>
          <w:lang w:val="en-US" w:eastAsia="zh-CN"/>
        </w:rPr>
      </w:pPr>
      <w:r>
        <w:rPr>
          <w:rFonts w:hint="eastAsia" w:ascii="Times New Roman" w:hAnsi="Times New Roman" w:eastAsia="宋体" w:cs="Times New Roman"/>
          <w:b/>
          <w:bCs/>
          <w:color w:val="auto"/>
          <w:kern w:val="0"/>
          <w:sz w:val="28"/>
          <w:szCs w:val="28"/>
          <w:highlight w:val="none"/>
          <w:lang w:val="en-US" w:eastAsia="zh-CN"/>
        </w:rPr>
        <w:t xml:space="preserve">       </w:t>
      </w:r>
      <w:r>
        <w:rPr>
          <w:rFonts w:hint="eastAsia" w:ascii="Times New Roman" w:hAnsi="Times New Roman" w:eastAsia="宋体" w:cs="Times New Roman"/>
          <w:b/>
          <w:bCs/>
          <w:color w:val="auto"/>
          <w:kern w:val="0"/>
          <w:sz w:val="28"/>
          <w:szCs w:val="28"/>
          <w:highlight w:val="none"/>
          <w:lang w:eastAsia="zh-CN"/>
        </w:rPr>
        <w:t>项目</w:t>
      </w:r>
      <w:r>
        <w:rPr>
          <w:rFonts w:hint="eastAsia" w:ascii="Times New Roman" w:hAnsi="Times New Roman" w:eastAsia="宋体" w:cs="Times New Roman"/>
          <w:b/>
          <w:bCs/>
          <w:color w:val="auto"/>
          <w:kern w:val="0"/>
          <w:sz w:val="28"/>
          <w:szCs w:val="28"/>
          <w:highlight w:val="none"/>
        </w:rPr>
        <w:t>编号：</w:t>
      </w:r>
      <w:r>
        <w:rPr>
          <w:rFonts w:hint="eastAsia" w:ascii="Times New Roman" w:hAnsi="Times New Roman" w:eastAsia="宋体" w:cs="Times New Roman"/>
          <w:b/>
          <w:bCs/>
          <w:color w:val="auto"/>
          <w:kern w:val="0"/>
          <w:sz w:val="28"/>
          <w:szCs w:val="28"/>
          <w:highlight w:val="none"/>
          <w:lang w:val="en-US" w:eastAsia="zh-CN"/>
        </w:rPr>
        <w:t>郑财招标采购-2023-278</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rPr>
          <w:rFonts w:ascii="Times New Roman" w:hAnsi="Times New Roman" w:eastAsia="宋体" w:cs="Times New Roman"/>
          <w:b/>
          <w:bCs/>
          <w:color w:val="000000" w:themeColor="text1"/>
          <w:kern w:val="0"/>
          <w:sz w:val="28"/>
          <w:szCs w:val="28"/>
          <w14:textFill>
            <w14:solidFill>
              <w14:schemeClr w14:val="tx1"/>
            </w14:solidFill>
          </w14:textFill>
        </w:rPr>
      </w:pPr>
    </w:p>
    <w:p>
      <w:pPr>
        <w:pStyle w:val="17"/>
        <w:ind w:firstLine="562"/>
        <w:rPr>
          <w:b/>
          <w:bCs/>
          <w:color w:val="000000" w:themeColor="text1"/>
          <w:sz w:val="28"/>
          <w:szCs w:val="28"/>
          <w14:textFill>
            <w14:solidFill>
              <w14:schemeClr w14:val="tx1"/>
            </w14:solidFill>
          </w14:textFill>
        </w:rPr>
      </w:pPr>
    </w:p>
    <w:p>
      <w:pPr>
        <w:pStyle w:val="37"/>
        <w:ind w:firstLine="480"/>
        <w:rPr>
          <w:color w:val="000000" w:themeColor="text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tabs>
          <w:tab w:val="left" w:pos="2356"/>
          <w:tab w:val="left" w:pos="2848"/>
        </w:tabs>
        <w:kinsoku w:val="0"/>
        <w:overflowPunct w:val="0"/>
        <w:autoSpaceDE w:val="0"/>
        <w:autoSpaceDN w:val="0"/>
        <w:adjustRightInd w:val="0"/>
        <w:spacing w:line="336" w:lineRule="auto"/>
        <w:ind w:left="1860" w:right="845"/>
        <w:jc w:val="left"/>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采</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购</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人：</w:t>
      </w:r>
      <w:r>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t>郑州市第九人民医院</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w w:val="98"/>
          <w:kern w:val="0"/>
          <w:sz w:val="30"/>
          <w:szCs w:val="30"/>
          <w14:textFill>
            <w14:solidFill>
              <w14:schemeClr w14:val="tx1"/>
            </w14:solidFill>
          </w14:textFill>
        </w:rPr>
      </w:pPr>
      <w:r>
        <w:rPr>
          <w:rFonts w:hint="eastAsia" w:ascii="Times New Roman" w:hAnsi="Times New Roman" w:eastAsia="宋体" w:cs="Times New Roman"/>
          <w:b/>
          <w:bCs/>
          <w:color w:val="000000" w:themeColor="text1"/>
          <w:kern w:val="0"/>
          <w:sz w:val="30"/>
          <w:szCs w:val="30"/>
          <w14:textFill>
            <w14:solidFill>
              <w14:schemeClr w14:val="tx1"/>
            </w14:solidFill>
          </w14:textFill>
        </w:rPr>
        <w:t>代理机构：河南省机电设备国际招标有限</w:t>
      </w:r>
      <w:r>
        <w:rPr>
          <w:rFonts w:hint="eastAsia" w:ascii="Times New Roman" w:hAnsi="Times New Roman" w:eastAsia="宋体" w:cs="Times New Roman"/>
          <w:b/>
          <w:bCs/>
          <w:color w:val="000000" w:themeColor="text1"/>
          <w:spacing w:val="2"/>
          <w:kern w:val="0"/>
          <w:sz w:val="30"/>
          <w:szCs w:val="30"/>
          <w14:textFill>
            <w14:solidFill>
              <w14:schemeClr w14:val="tx1"/>
            </w14:solidFill>
          </w14:textFill>
        </w:rPr>
        <w:t>公司</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日</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期：二〇二</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三</w:t>
      </w:r>
      <w:r>
        <w:rPr>
          <w:rFonts w:hint="eastAsia" w:ascii="Times New Roman" w:hAnsi="Times New Roman" w:eastAsia="宋体" w:cs="Times New Roman"/>
          <w:b/>
          <w:bCs/>
          <w:color w:val="000000" w:themeColor="text1"/>
          <w:kern w:val="0"/>
          <w:sz w:val="30"/>
          <w:szCs w:val="30"/>
          <w14:textFill>
            <w14:solidFill>
              <w14:schemeClr w14:val="tx1"/>
            </w14:solidFill>
          </w14:textFill>
        </w:rPr>
        <w:t>年</w:t>
      </w:r>
      <w:r>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t>九</w:t>
      </w:r>
      <w:r>
        <w:rPr>
          <w:rFonts w:hint="eastAsia" w:ascii="Times New Roman" w:hAnsi="Times New Roman" w:eastAsia="宋体" w:cs="Times New Roman"/>
          <w:b/>
          <w:bCs/>
          <w:color w:val="000000" w:themeColor="text1"/>
          <w:kern w:val="0"/>
          <w:sz w:val="30"/>
          <w:szCs w:val="30"/>
          <w14:textFill>
            <w14:solidFill>
              <w14:schemeClr w14:val="tx1"/>
            </w14:solidFill>
          </w14:textFill>
        </w:rPr>
        <w:t>月</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3470"/>
        </w:tabs>
        <w:kinsoku w:val="0"/>
        <w:overflowPunct w:val="0"/>
        <w:autoSpaceDE w:val="0"/>
        <w:autoSpaceDN w:val="0"/>
        <w:adjustRightInd w:val="0"/>
        <w:spacing w:before="266"/>
        <w:ind w:left="1862" w:right="843"/>
        <w:jc w:val="left"/>
        <w:rPr>
          <w:rFonts w:ascii="Times New Roman" w:hAnsi="Times New Roman" w:eastAsia="宋体" w:cs="Times New Roman"/>
          <w:color w:val="000000" w:themeColor="text1"/>
          <w:kern w:val="0"/>
          <w:sz w:val="32"/>
          <w:szCs w:val="32"/>
          <w14:textFill>
            <w14:solidFill>
              <w14:schemeClr w14:val="tx1"/>
            </w14:solidFill>
          </w14:textFill>
        </w:rPr>
        <w:sectPr>
          <w:footerReference r:id="rId5" w:type="first"/>
          <w:headerReference r:id="rId3" w:type="default"/>
          <w:footerReference r:id="rId4" w:type="default"/>
          <w:pgSz w:w="11907" w:h="16840"/>
          <w:pgMar w:top="1599" w:right="1678" w:bottom="1202" w:left="1100" w:header="0" w:footer="1009" w:gutter="0"/>
          <w:pgNumType w:start="0"/>
          <w:cols w:space="720" w:num="1"/>
          <w:docGrid w:linePitch="326" w:charSpace="0"/>
        </w:sectPr>
      </w:pPr>
    </w:p>
    <w:p>
      <w:bookmarkStart w:id="0" w:name="_Hlk88133842"/>
    </w:p>
    <w:p>
      <w:pPr>
        <w:keepNext w:val="0"/>
        <w:keepLines w:val="0"/>
        <w:pageBreakBefore w:val="0"/>
        <w:widowControl w:val="0"/>
        <w:tabs>
          <w:tab w:val="right" w:leader="dot" w:pos="9720"/>
        </w:tabs>
        <w:kinsoku w:val="0"/>
        <w:wordWrap/>
        <w:overflowPunct w:val="0"/>
        <w:topLinePunct w:val="0"/>
        <w:autoSpaceDE w:val="0"/>
        <w:autoSpaceDN w:val="0"/>
        <w:bidi w:val="0"/>
        <w:adjustRightInd w:val="0"/>
        <w:snapToGrid/>
        <w:spacing w:line="240" w:lineRule="auto"/>
        <w:ind w:left="3583" w:right="3719"/>
        <w:jc w:val="center"/>
        <w:textAlignment w:val="auto"/>
        <w:rPr>
          <w:rFonts w:ascii="Times New Roman" w:hAnsi="宋体" w:eastAsia="宋体" w:cs="Times New Roman"/>
          <w:color w:val="000000" w:themeColor="text1"/>
          <w:w w:val="98"/>
          <w:kern w:val="0"/>
          <w:sz w:val="52"/>
          <w:szCs w:val="52"/>
          <w14:textFill>
            <w14:solidFill>
              <w14:schemeClr w14:val="tx1"/>
            </w14:solidFill>
          </w14:textFill>
        </w:rPr>
      </w:pPr>
      <w:r>
        <w:rPr>
          <w:rFonts w:hint="eastAsia" w:ascii="Times New Roman" w:hAnsi="宋体" w:eastAsia="宋体" w:cs="Times New Roman"/>
          <w:color w:val="000000" w:themeColor="text1"/>
          <w:kern w:val="0"/>
          <w:sz w:val="52"/>
          <w:szCs w:val="52"/>
          <w14:textFill>
            <w14:solidFill>
              <w14:schemeClr w14:val="tx1"/>
            </w14:solidFill>
          </w14:textFill>
        </w:rPr>
        <w:t>目</w:t>
      </w:r>
      <w:r>
        <w:rPr>
          <w:rFonts w:ascii="Times New Roman" w:hAnsi="宋体" w:eastAsia="宋体" w:cs="Times New Roman"/>
          <w:color w:val="000000" w:themeColor="text1"/>
          <w:spacing w:val="159"/>
          <w:kern w:val="0"/>
          <w:sz w:val="52"/>
          <w:szCs w:val="52"/>
          <w14:textFill>
            <w14:solidFill>
              <w14:schemeClr w14:val="tx1"/>
            </w14:solidFill>
          </w14:textFill>
        </w:rPr>
        <w:t xml:space="preserve"> </w:t>
      </w:r>
      <w:r>
        <w:rPr>
          <w:rFonts w:hint="eastAsia" w:ascii="Times New Roman" w:hAnsi="宋体" w:eastAsia="宋体" w:cs="Times New Roman"/>
          <w:color w:val="000000" w:themeColor="text1"/>
          <w:kern w:val="0"/>
          <w:sz w:val="52"/>
          <w:szCs w:val="52"/>
          <w14:textFill>
            <w14:solidFill>
              <w14:schemeClr w14:val="tx1"/>
            </w14:solidFill>
          </w14:textFill>
        </w:rPr>
        <w:t>录</w:t>
      </w:r>
      <w:r>
        <w:rPr>
          <w:rFonts w:ascii="Times New Roman" w:hAnsi="宋体" w:eastAsia="宋体" w:cs="Times New Roman"/>
          <w:color w:val="000000" w:themeColor="text1"/>
          <w:w w:val="98"/>
          <w:kern w:val="0"/>
          <w:sz w:val="52"/>
          <w:szCs w:val="52"/>
          <w14:textFill>
            <w14:solidFill>
              <w14:schemeClr w14:val="tx1"/>
            </w14:solidFill>
          </w14:textFill>
        </w:rPr>
        <w:t xml:space="preserve"> </w:t>
      </w:r>
    </w:p>
    <w:sdt>
      <w:sdtPr>
        <w:rPr>
          <w:rFonts w:ascii="宋体" w:hAnsi="宋体" w:eastAsia="宋体" w:cstheme="minorBidi"/>
          <w:kern w:val="2"/>
          <w:sz w:val="21"/>
          <w:szCs w:val="21"/>
          <w:lang w:val="en-US" w:eastAsia="zh-CN" w:bidi="ar-SA"/>
        </w:rPr>
        <w:id w:val="147451634"/>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360" w:lineRule="auto"/>
            <w:ind w:left="0" w:leftChars="0" w:right="0" w:rightChars="0" w:firstLine="0" w:firstLineChars="0"/>
            <w:jc w:val="center"/>
            <w:rPr>
              <w:szCs w:val="21"/>
            </w:rPr>
          </w:pP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 w:val="21"/>
              <w:szCs w:val="21"/>
            </w:rPr>
            <w:fldChar w:fldCharType="begin"/>
          </w:r>
          <w:r>
            <w:rPr>
              <w:sz w:val="21"/>
              <w:szCs w:val="21"/>
            </w:rPr>
            <w:instrText xml:space="preserve">TOC \o "1-1" \h \u </w:instrText>
          </w:r>
          <w:r>
            <w:rPr>
              <w:sz w:val="21"/>
              <w:szCs w:val="21"/>
            </w:rPr>
            <w:fldChar w:fldCharType="separate"/>
          </w:r>
          <w:r>
            <w:rPr>
              <w:szCs w:val="21"/>
            </w:rPr>
            <w:fldChar w:fldCharType="begin"/>
          </w:r>
          <w:r>
            <w:rPr>
              <w:szCs w:val="21"/>
            </w:rPr>
            <w:instrText xml:space="preserve"> HYPERLINK \l _Toc31057 </w:instrText>
          </w:r>
          <w:r>
            <w:rPr>
              <w:szCs w:val="21"/>
            </w:rPr>
            <w:fldChar w:fldCharType="separate"/>
          </w:r>
          <w:r>
            <w:rPr>
              <w:rFonts w:hint="eastAsia" w:ascii="宋体" w:hAnsi="Times New Roman" w:eastAsia="宋体" w:cs="宋体"/>
              <w:bCs/>
              <w:spacing w:val="-9"/>
              <w:kern w:val="0"/>
              <w:szCs w:val="32"/>
            </w:rPr>
            <w:t xml:space="preserve">第一章 </w:t>
          </w:r>
          <w:r>
            <w:rPr>
              <w:rFonts w:hint="eastAsia" w:ascii="宋体" w:hAnsi="Times New Roman" w:eastAsia="宋体" w:cs="宋体"/>
              <w:bCs/>
              <w:kern w:val="0"/>
              <w:szCs w:val="32"/>
            </w:rPr>
            <w:t>招标公告</w:t>
          </w:r>
          <w:r>
            <w:tab/>
          </w:r>
          <w:r>
            <w:fldChar w:fldCharType="begin"/>
          </w:r>
          <w:r>
            <w:instrText xml:space="preserve"> PAGEREF _Toc31057 \h </w:instrText>
          </w:r>
          <w:r>
            <w:fldChar w:fldCharType="separate"/>
          </w:r>
          <w:r>
            <w:t>- 2 -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_Toc28656 </w:instrText>
          </w:r>
          <w:r>
            <w:rPr>
              <w:szCs w:val="21"/>
            </w:rPr>
            <w:fldChar w:fldCharType="separate"/>
          </w:r>
          <w:r>
            <w:rPr>
              <w:rFonts w:hint="eastAsia" w:ascii="宋体" w:hAnsi="Times New Roman" w:eastAsia="宋体" w:cs="宋体"/>
              <w:bCs/>
              <w:spacing w:val="2"/>
              <w:kern w:val="0"/>
              <w:szCs w:val="32"/>
            </w:rPr>
            <w:t>第二章</w:t>
          </w:r>
          <w:r>
            <w:rPr>
              <w:rFonts w:ascii="宋体" w:hAnsi="Times New Roman" w:eastAsia="宋体" w:cs="宋体"/>
              <w:bCs/>
              <w:spacing w:val="-11"/>
              <w:kern w:val="0"/>
              <w:szCs w:val="32"/>
            </w:rPr>
            <w:t xml:space="preserve"> </w:t>
          </w:r>
          <w:r>
            <w:rPr>
              <w:rFonts w:hint="eastAsia" w:ascii="宋体" w:hAnsi="Times New Roman" w:eastAsia="宋体" w:cs="宋体"/>
              <w:bCs/>
              <w:kern w:val="0"/>
              <w:szCs w:val="32"/>
            </w:rPr>
            <w:t>供应商须知供应商须知前附表</w:t>
          </w:r>
          <w:r>
            <w:tab/>
          </w:r>
          <w:r>
            <w:fldChar w:fldCharType="begin"/>
          </w:r>
          <w:r>
            <w:instrText xml:space="preserve"> PAGEREF _Toc28656 \h </w:instrText>
          </w:r>
          <w:r>
            <w:fldChar w:fldCharType="separate"/>
          </w:r>
          <w:r>
            <w:t>- 6 -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_Toc29087 </w:instrText>
          </w:r>
          <w:r>
            <w:rPr>
              <w:szCs w:val="21"/>
            </w:rPr>
            <w:fldChar w:fldCharType="separate"/>
          </w:r>
          <w:r>
            <w:rPr>
              <w:rFonts w:hint="eastAsia" w:ascii="宋体" w:hAnsi="Times New Roman" w:eastAsia="宋体" w:cs="宋体"/>
              <w:bCs/>
              <w:spacing w:val="2"/>
              <w:kern w:val="0"/>
              <w:szCs w:val="32"/>
            </w:rPr>
            <w:t>第三章</w:t>
          </w:r>
          <w:r>
            <w:rPr>
              <w:rFonts w:ascii="宋体" w:hAnsi="Times New Roman" w:eastAsia="宋体" w:cs="宋体"/>
              <w:bCs/>
              <w:spacing w:val="-8"/>
              <w:kern w:val="0"/>
              <w:szCs w:val="32"/>
            </w:rPr>
            <w:t xml:space="preserve"> </w:t>
          </w:r>
          <w:r>
            <w:rPr>
              <w:rFonts w:hint="eastAsia" w:ascii="宋体" w:hAnsi="Times New Roman" w:eastAsia="宋体" w:cs="宋体"/>
              <w:bCs/>
              <w:kern w:val="0"/>
              <w:szCs w:val="32"/>
            </w:rPr>
            <w:t>评标方法和标准</w:t>
          </w:r>
          <w:r>
            <w:tab/>
          </w:r>
          <w:r>
            <w:fldChar w:fldCharType="begin"/>
          </w:r>
          <w:r>
            <w:instrText xml:space="preserve"> PAGEREF _Toc29087 \h </w:instrText>
          </w:r>
          <w:r>
            <w:fldChar w:fldCharType="separate"/>
          </w:r>
          <w:r>
            <w:t>- 24 -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_Toc657 </w:instrText>
          </w:r>
          <w:r>
            <w:rPr>
              <w:szCs w:val="21"/>
            </w:rPr>
            <w:fldChar w:fldCharType="separate"/>
          </w:r>
          <w:r>
            <w:rPr>
              <w:rFonts w:hint="eastAsia" w:ascii="宋体" w:hAnsi="宋体" w:eastAsia="宋体" w:cs="宋体"/>
              <w:bCs/>
              <w:spacing w:val="2"/>
              <w:kern w:val="0"/>
              <w:szCs w:val="32"/>
            </w:rPr>
            <w:t>第四章</w:t>
          </w:r>
          <w:r>
            <w:rPr>
              <w:rFonts w:hint="eastAsia" w:ascii="宋体" w:hAnsi="宋体" w:cs="宋体"/>
              <w:bCs/>
              <w:spacing w:val="2"/>
              <w:kern w:val="0"/>
              <w:szCs w:val="32"/>
              <w:lang w:val="en-US" w:eastAsia="zh-CN"/>
            </w:rPr>
            <w:t xml:space="preserve"> </w:t>
          </w:r>
          <w:r>
            <w:rPr>
              <w:rFonts w:hint="eastAsia" w:ascii="宋体" w:hAnsi="宋体" w:eastAsia="宋体" w:cs="宋体"/>
              <w:bCs/>
              <w:kern w:val="0"/>
              <w:szCs w:val="32"/>
            </w:rPr>
            <w:t>合同条款</w:t>
          </w:r>
          <w:r>
            <w:tab/>
          </w:r>
          <w:r>
            <w:fldChar w:fldCharType="begin"/>
          </w:r>
          <w:r>
            <w:instrText xml:space="preserve"> PAGEREF _Toc657 \h </w:instrText>
          </w:r>
          <w:r>
            <w:fldChar w:fldCharType="separate"/>
          </w:r>
          <w:r>
            <w:t>- 29 -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_Toc16593 </w:instrText>
          </w:r>
          <w:r>
            <w:rPr>
              <w:szCs w:val="21"/>
            </w:rPr>
            <w:fldChar w:fldCharType="separate"/>
          </w:r>
          <w:r>
            <w:rPr>
              <w:rFonts w:hint="eastAsia" w:ascii="Times New Roman" w:hAnsi="Times New Roman" w:eastAsia="宋体" w:cs="Times New Roman"/>
              <w:bCs/>
              <w:spacing w:val="2"/>
              <w:kern w:val="0"/>
              <w:szCs w:val="32"/>
              <w:lang w:eastAsia="zh-CN"/>
            </w:rPr>
            <w:t>第五章</w:t>
          </w:r>
          <w:r>
            <w:rPr>
              <w:rFonts w:hint="eastAsia" w:cs="Times New Roman"/>
              <w:bCs/>
              <w:spacing w:val="2"/>
              <w:kern w:val="0"/>
              <w:szCs w:val="32"/>
              <w:lang w:val="en-US" w:eastAsia="zh-CN"/>
            </w:rPr>
            <w:t xml:space="preserve"> </w:t>
          </w:r>
          <w:r>
            <w:rPr>
              <w:rFonts w:hint="eastAsia" w:ascii="Times New Roman" w:hAnsi="Times New Roman" w:eastAsia="宋体" w:cs="Times New Roman"/>
              <w:bCs/>
              <w:spacing w:val="2"/>
              <w:kern w:val="0"/>
              <w:szCs w:val="32"/>
            </w:rPr>
            <w:t>技术标准和要求</w:t>
          </w:r>
          <w:r>
            <w:tab/>
          </w:r>
          <w:r>
            <w:fldChar w:fldCharType="begin"/>
          </w:r>
          <w:r>
            <w:instrText xml:space="preserve"> PAGEREF _Toc16593 \h </w:instrText>
          </w:r>
          <w:r>
            <w:fldChar w:fldCharType="separate"/>
          </w:r>
          <w:r>
            <w:t>- 33 -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_Toc30869 </w:instrText>
          </w:r>
          <w:r>
            <w:rPr>
              <w:szCs w:val="21"/>
            </w:rPr>
            <w:fldChar w:fldCharType="separate"/>
          </w:r>
          <w:r>
            <w:rPr>
              <w:rFonts w:hint="eastAsia" w:ascii="Times New Roman" w:hAnsi="Times New Roman" w:eastAsia="宋体" w:cs="Times New Roman"/>
              <w:bCs/>
              <w:spacing w:val="2"/>
              <w:kern w:val="0"/>
              <w:szCs w:val="32"/>
            </w:rPr>
            <w:t>第六章</w:t>
          </w:r>
          <w:r>
            <w:rPr>
              <w:rFonts w:ascii="Times New Roman" w:hAnsi="Times New Roman" w:eastAsia="宋体" w:cs="Times New Roman"/>
              <w:bCs/>
              <w:spacing w:val="-9"/>
              <w:kern w:val="0"/>
              <w:szCs w:val="32"/>
            </w:rPr>
            <w:t xml:space="preserve"> </w:t>
          </w:r>
          <w:r>
            <w:rPr>
              <w:rFonts w:hint="eastAsia" w:ascii="Times New Roman" w:hAnsi="Times New Roman" w:eastAsia="宋体" w:cs="Times New Roman"/>
              <w:bCs/>
              <w:kern w:val="0"/>
              <w:szCs w:val="32"/>
            </w:rPr>
            <w:t>投标文件格式</w:t>
          </w:r>
          <w:r>
            <w:tab/>
          </w:r>
          <w:r>
            <w:fldChar w:fldCharType="begin"/>
          </w:r>
          <w:r>
            <w:instrText xml:space="preserve"> PAGEREF _Toc30869 \h </w:instrText>
          </w:r>
          <w:r>
            <w:fldChar w:fldCharType="separate"/>
          </w:r>
          <w:r>
            <w:t>- 45 -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_Toc7535 </w:instrText>
          </w:r>
          <w:r>
            <w:rPr>
              <w:szCs w:val="21"/>
            </w:rPr>
            <w:fldChar w:fldCharType="separate"/>
          </w:r>
          <w:r>
            <w:rPr>
              <w:rFonts w:hint="eastAsia" w:ascii="宋体" w:hAnsi="Times New Roman" w:eastAsia="宋体" w:cs="宋体"/>
              <w:kern w:val="0"/>
              <w:szCs w:val="28"/>
            </w:rPr>
            <w:t>一、法定代表人身份证明</w:t>
          </w:r>
          <w:r>
            <w:tab/>
          </w:r>
          <w:r>
            <w:fldChar w:fldCharType="begin"/>
          </w:r>
          <w:r>
            <w:instrText xml:space="preserve"> PAGEREF _Toc7535 \h </w:instrText>
          </w:r>
          <w:r>
            <w:fldChar w:fldCharType="separate"/>
          </w:r>
          <w:r>
            <w:t>- 46 -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_Toc13444 </w:instrText>
          </w:r>
          <w:r>
            <w:rPr>
              <w:szCs w:val="21"/>
            </w:rPr>
            <w:fldChar w:fldCharType="separate"/>
          </w:r>
          <w:r>
            <w:rPr>
              <w:rFonts w:hint="eastAsia" w:ascii="宋体" w:hAnsi="Times New Roman" w:eastAsia="宋体" w:cs="宋体"/>
              <w:kern w:val="0"/>
              <w:szCs w:val="28"/>
            </w:rPr>
            <w:t>二、授权委托书</w:t>
          </w:r>
          <w:r>
            <w:tab/>
          </w:r>
          <w:r>
            <w:fldChar w:fldCharType="begin"/>
          </w:r>
          <w:r>
            <w:instrText xml:space="preserve"> PAGEREF _Toc13444 \h </w:instrText>
          </w:r>
          <w:r>
            <w:fldChar w:fldCharType="separate"/>
          </w:r>
          <w:r>
            <w:t>- 47 -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_Toc16859 </w:instrText>
          </w:r>
          <w:r>
            <w:rPr>
              <w:szCs w:val="21"/>
            </w:rPr>
            <w:fldChar w:fldCharType="separate"/>
          </w:r>
          <w:r>
            <w:rPr>
              <w:rFonts w:hint="eastAsia" w:ascii="宋体" w:hAnsi="Times New Roman" w:eastAsia="宋体" w:cs="宋体"/>
              <w:kern w:val="0"/>
              <w:szCs w:val="28"/>
            </w:rPr>
            <w:t>三、投标函及投标函附录</w:t>
          </w:r>
          <w:r>
            <w:tab/>
          </w:r>
          <w:r>
            <w:fldChar w:fldCharType="begin"/>
          </w:r>
          <w:r>
            <w:instrText xml:space="preserve"> PAGEREF _Toc16859 \h </w:instrText>
          </w:r>
          <w:r>
            <w:fldChar w:fldCharType="separate"/>
          </w:r>
          <w:r>
            <w:t>- 48 -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_Toc19950 </w:instrText>
          </w:r>
          <w:r>
            <w:rPr>
              <w:szCs w:val="21"/>
            </w:rPr>
            <w:fldChar w:fldCharType="separate"/>
          </w:r>
          <w:r>
            <w:rPr>
              <w:rFonts w:hint="eastAsia" w:ascii="宋体" w:hAnsi="Times New Roman" w:eastAsia="宋体" w:cs="宋体"/>
              <w:kern w:val="0"/>
              <w:szCs w:val="28"/>
            </w:rPr>
            <w:t>四、投标报价明细表</w:t>
          </w:r>
          <w:r>
            <w:tab/>
          </w:r>
          <w:r>
            <w:fldChar w:fldCharType="begin"/>
          </w:r>
          <w:r>
            <w:instrText xml:space="preserve"> PAGEREF _Toc19950 \h </w:instrText>
          </w:r>
          <w:r>
            <w:fldChar w:fldCharType="separate"/>
          </w:r>
          <w:r>
            <w:t>- 51 -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_Toc19551 </w:instrText>
          </w:r>
          <w:r>
            <w:rPr>
              <w:szCs w:val="21"/>
            </w:rPr>
            <w:fldChar w:fldCharType="separate"/>
          </w:r>
          <w:r>
            <w:rPr>
              <w:rFonts w:hint="eastAsia" w:ascii="宋体" w:hAnsi="Times New Roman" w:eastAsia="宋体" w:cs="宋体"/>
              <w:kern w:val="0"/>
              <w:szCs w:val="28"/>
            </w:rPr>
            <w:t>五、商务条款偏差表</w:t>
          </w:r>
          <w:r>
            <w:tab/>
          </w:r>
          <w:r>
            <w:fldChar w:fldCharType="begin"/>
          </w:r>
          <w:r>
            <w:instrText xml:space="preserve"> PAGEREF _Toc19551 \h </w:instrText>
          </w:r>
          <w:r>
            <w:fldChar w:fldCharType="separate"/>
          </w:r>
          <w:r>
            <w:t>- 52 -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_Toc3435 </w:instrText>
          </w:r>
          <w:r>
            <w:rPr>
              <w:szCs w:val="21"/>
            </w:rPr>
            <w:fldChar w:fldCharType="separate"/>
          </w:r>
          <w:r>
            <w:rPr>
              <w:rFonts w:hint="eastAsia" w:ascii="宋体" w:hAnsi="Times New Roman" w:eastAsia="宋体" w:cs="宋体"/>
              <w:kern w:val="0"/>
              <w:szCs w:val="28"/>
            </w:rPr>
            <w:t>六、技术条款偏差表</w:t>
          </w:r>
          <w:r>
            <w:tab/>
          </w:r>
          <w:r>
            <w:fldChar w:fldCharType="begin"/>
          </w:r>
          <w:r>
            <w:instrText xml:space="preserve"> PAGEREF _Toc3435 \h </w:instrText>
          </w:r>
          <w:r>
            <w:fldChar w:fldCharType="separate"/>
          </w:r>
          <w:r>
            <w:t>- 53 -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_Toc10076 </w:instrText>
          </w:r>
          <w:r>
            <w:rPr>
              <w:szCs w:val="21"/>
            </w:rPr>
            <w:fldChar w:fldCharType="separate"/>
          </w:r>
          <w:r>
            <w:rPr>
              <w:rFonts w:hint="eastAsia" w:ascii="宋体" w:hAnsi="Times New Roman" w:eastAsia="宋体" w:cs="宋体"/>
              <w:kern w:val="0"/>
              <w:szCs w:val="28"/>
            </w:rPr>
            <w:t>七、资格证明文件</w:t>
          </w:r>
          <w:r>
            <w:tab/>
          </w:r>
          <w:r>
            <w:fldChar w:fldCharType="begin"/>
          </w:r>
          <w:r>
            <w:instrText xml:space="preserve"> PAGEREF _Toc10076 \h </w:instrText>
          </w:r>
          <w:r>
            <w:fldChar w:fldCharType="separate"/>
          </w:r>
          <w:r>
            <w:t>- 54 -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_Toc31148 </w:instrText>
          </w:r>
          <w:r>
            <w:rPr>
              <w:szCs w:val="21"/>
            </w:rPr>
            <w:fldChar w:fldCharType="separate"/>
          </w:r>
          <w:r>
            <w:rPr>
              <w:rFonts w:hint="eastAsia" w:ascii="宋体" w:hAnsi="Times New Roman" w:eastAsia="宋体" w:cs="宋体"/>
              <w:kern w:val="0"/>
              <w:szCs w:val="28"/>
            </w:rPr>
            <w:t>八、供应商综合能力证明文件</w:t>
          </w:r>
          <w:r>
            <w:tab/>
          </w:r>
          <w:r>
            <w:fldChar w:fldCharType="begin"/>
          </w:r>
          <w:r>
            <w:instrText xml:space="preserve"> PAGEREF _Toc31148 \h </w:instrText>
          </w:r>
          <w:r>
            <w:fldChar w:fldCharType="separate"/>
          </w:r>
          <w:r>
            <w:t>- 56 -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_Toc29302 </w:instrText>
          </w:r>
          <w:r>
            <w:rPr>
              <w:szCs w:val="21"/>
            </w:rPr>
            <w:fldChar w:fldCharType="separate"/>
          </w:r>
          <w:r>
            <w:rPr>
              <w:rFonts w:hint="eastAsia" w:ascii="Times New Roman" w:hAnsi="Times New Roman" w:eastAsia="宋体" w:cs="Times New Roman"/>
              <w:kern w:val="0"/>
              <w:szCs w:val="28"/>
            </w:rPr>
            <w:t>九、供应商反商业贿赂承诺书</w:t>
          </w:r>
          <w:r>
            <w:tab/>
          </w:r>
          <w:r>
            <w:fldChar w:fldCharType="begin"/>
          </w:r>
          <w:r>
            <w:instrText xml:space="preserve"> PAGEREF _Toc29302 \h </w:instrText>
          </w:r>
          <w:r>
            <w:fldChar w:fldCharType="separate"/>
          </w:r>
          <w:r>
            <w:t>- 57 -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_Toc16060 </w:instrText>
          </w:r>
          <w:r>
            <w:rPr>
              <w:szCs w:val="21"/>
            </w:rPr>
            <w:fldChar w:fldCharType="separate"/>
          </w:r>
          <w:r>
            <w:rPr>
              <w:rFonts w:hint="eastAsia" w:ascii="宋体" w:hAnsi="Times New Roman" w:eastAsia="宋体" w:cs="宋体"/>
              <w:kern w:val="0"/>
              <w:szCs w:val="28"/>
            </w:rPr>
            <w:t>十、中小企业声明函</w:t>
          </w:r>
          <w:r>
            <w:tab/>
          </w:r>
          <w:r>
            <w:fldChar w:fldCharType="begin"/>
          </w:r>
          <w:r>
            <w:instrText xml:space="preserve"> PAGEREF _Toc16060 \h </w:instrText>
          </w:r>
          <w:r>
            <w:fldChar w:fldCharType="separate"/>
          </w:r>
          <w:r>
            <w:t>- 58 -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_Toc2904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一</w:t>
          </w:r>
          <w:r>
            <w:rPr>
              <w:rFonts w:hint="eastAsia" w:ascii="宋体" w:hAnsi="Times New Roman" w:eastAsia="宋体" w:cs="宋体"/>
              <w:kern w:val="0"/>
              <w:szCs w:val="28"/>
            </w:rPr>
            <w:t>、监狱企业证明材料（如有）</w:t>
          </w:r>
          <w:r>
            <w:tab/>
          </w:r>
          <w:r>
            <w:fldChar w:fldCharType="begin"/>
          </w:r>
          <w:r>
            <w:instrText xml:space="preserve"> PAGEREF _Toc2904 \h </w:instrText>
          </w:r>
          <w:r>
            <w:fldChar w:fldCharType="separate"/>
          </w:r>
          <w:r>
            <w:t>- 59 -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_Toc8816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二</w:t>
          </w:r>
          <w:r>
            <w:rPr>
              <w:rFonts w:hint="eastAsia" w:ascii="宋体" w:hAnsi="Times New Roman" w:eastAsia="宋体" w:cs="宋体"/>
              <w:kern w:val="0"/>
              <w:szCs w:val="28"/>
            </w:rPr>
            <w:t>、残疾人福利性单位声明函（如有）</w:t>
          </w:r>
          <w:r>
            <w:tab/>
          </w:r>
          <w:r>
            <w:fldChar w:fldCharType="begin"/>
          </w:r>
          <w:r>
            <w:instrText xml:space="preserve"> PAGEREF _Toc8816 \h </w:instrText>
          </w:r>
          <w:r>
            <w:fldChar w:fldCharType="separate"/>
          </w:r>
          <w:r>
            <w:t>- 60 -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_Toc32291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三</w:t>
          </w:r>
          <w:r>
            <w:rPr>
              <w:rFonts w:hint="eastAsia" w:ascii="宋体" w:hAnsi="Times New Roman" w:eastAsia="宋体" w:cs="宋体"/>
              <w:kern w:val="0"/>
              <w:szCs w:val="28"/>
            </w:rPr>
            <w:t>、节能产品、环境标志产品明细表</w:t>
          </w:r>
          <w:r>
            <w:tab/>
          </w:r>
          <w:r>
            <w:fldChar w:fldCharType="begin"/>
          </w:r>
          <w:r>
            <w:instrText xml:space="preserve"> PAGEREF _Toc32291 \h </w:instrText>
          </w:r>
          <w:r>
            <w:fldChar w:fldCharType="separate"/>
          </w:r>
          <w:r>
            <w:t>- 61 -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_Toc25355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四</w:t>
          </w:r>
          <w:r>
            <w:rPr>
              <w:rFonts w:hint="eastAsia" w:ascii="宋体" w:hAnsi="Times New Roman" w:eastAsia="宋体" w:cs="宋体"/>
              <w:kern w:val="0"/>
              <w:szCs w:val="28"/>
            </w:rPr>
            <w:t>、技术支持资料</w:t>
          </w:r>
          <w:r>
            <w:tab/>
          </w:r>
          <w:r>
            <w:fldChar w:fldCharType="begin"/>
          </w:r>
          <w:r>
            <w:instrText xml:space="preserve"> PAGEREF _Toc25355 \h </w:instrText>
          </w:r>
          <w:r>
            <w:fldChar w:fldCharType="separate"/>
          </w:r>
          <w:r>
            <w:t>- 62 -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_Toc3870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五</w:t>
          </w:r>
          <w:r>
            <w:rPr>
              <w:rFonts w:hint="eastAsia" w:ascii="宋体" w:hAnsi="Times New Roman" w:eastAsia="宋体" w:cs="宋体"/>
              <w:kern w:val="0"/>
              <w:szCs w:val="28"/>
            </w:rPr>
            <w:t>、供应商认为需要加以说明的其他内容</w:t>
          </w:r>
          <w:r>
            <w:tab/>
          </w:r>
          <w:r>
            <w:fldChar w:fldCharType="begin"/>
          </w:r>
          <w:r>
            <w:instrText xml:space="preserve"> PAGEREF _Toc3870 \h </w:instrText>
          </w:r>
          <w:r>
            <w:fldChar w:fldCharType="separate"/>
          </w:r>
          <w:r>
            <w:t>- 63 -</w:t>
          </w:r>
          <w:r>
            <w:fldChar w:fldCharType="end"/>
          </w:r>
          <w:r>
            <w:rPr>
              <w:szCs w:val="21"/>
            </w:rPr>
            <w:fldChar w:fldCharType="end"/>
          </w:r>
        </w:p>
        <w:p>
          <w:pPr>
            <w:keepNext w:val="0"/>
            <w:keepLines w:val="0"/>
            <w:pageBreakBefore w:val="0"/>
            <w:widowControl w:val="0"/>
            <w:kinsoku/>
            <w:wordWrap/>
            <w:overflowPunct/>
            <w:topLinePunct w:val="0"/>
            <w:bidi w:val="0"/>
            <w:snapToGrid/>
            <w:spacing w:line="360" w:lineRule="auto"/>
            <w:textAlignment w:val="auto"/>
          </w:pPr>
          <w:r>
            <w:rPr>
              <w:szCs w:val="21"/>
            </w:rPr>
            <w:fldChar w:fldCharType="end"/>
          </w:r>
        </w:p>
      </w:sdtContent>
    </w:sdt>
    <w:p>
      <w:pPr>
        <w:tabs>
          <w:tab w:val="right" w:leader="dot" w:pos="9720"/>
        </w:tabs>
        <w:kinsoku w:val="0"/>
        <w:overflowPunct w:val="0"/>
        <w:autoSpaceDE w:val="0"/>
        <w:autoSpaceDN w:val="0"/>
        <w:adjustRightInd w:val="0"/>
        <w:spacing w:after="240" w:afterLines="100" w:line="360" w:lineRule="auto"/>
        <w:ind w:left="3583" w:right="3720"/>
        <w:jc w:val="center"/>
        <w:rPr>
          <w:rFonts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sz w:val="24"/>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w:instrText>
      </w:r>
      <w:r>
        <w:rPr>
          <w:rFonts w:hint="eastAsia" w:ascii="宋体" w:hAnsi="宋体" w:cs="宋体"/>
          <w:color w:val="000000" w:themeColor="text1"/>
          <w:szCs w:val="21"/>
          <w14:textFill>
            <w14:solidFill>
              <w14:schemeClr w14:val="tx1"/>
            </w14:solidFill>
          </w14:textFill>
        </w:rPr>
        <w:instrText xml:space="preserve">TOC \o "1-1" \h \z \u</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 w:val="24"/>
          <w:szCs w:val="21"/>
          <w14:textFill>
            <w14:solidFill>
              <w14:schemeClr w14:val="tx1"/>
            </w14:solidFill>
          </w14:textFill>
        </w:rPr>
        <w:fldChar w:fldCharType="separate"/>
      </w:r>
    </w:p>
    <w:p>
      <w:pPr>
        <w:pStyle w:val="13"/>
        <w:tabs>
          <w:tab w:val="right" w:leader="dot" w:pos="9720"/>
        </w:tabs>
      </w:pPr>
    </w:p>
    <w:p/>
    <w:p>
      <w:pPr>
        <w:pStyle w:val="2"/>
      </w:pPr>
    </w:p>
    <w:p/>
    <w:p>
      <w:pPr>
        <w:pStyle w:val="2"/>
      </w:pPr>
    </w:p>
    <w:p>
      <w:pPr>
        <w:tabs>
          <w:tab w:val="right" w:leader="dot" w:pos="9720"/>
        </w:tabs>
        <w:kinsoku w:val="0"/>
        <w:overflowPunct w:val="0"/>
        <w:autoSpaceDE w:val="0"/>
        <w:autoSpaceDN w:val="0"/>
        <w:adjustRightInd w:val="0"/>
        <w:spacing w:after="240" w:afterLines="100" w:line="401" w:lineRule="exact"/>
        <w:ind w:left="3583" w:right="3720"/>
        <w:jc w:val="center"/>
        <w:rPr>
          <w:rFonts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fldChar w:fldCharType="end"/>
      </w:r>
    </w:p>
    <w:bookmarkEnd w:id="0"/>
    <w:p>
      <w:pPr>
        <w:kinsoku w:val="0"/>
        <w:overflowPunct w:val="0"/>
        <w:autoSpaceDE w:val="0"/>
        <w:autoSpaceDN w:val="0"/>
        <w:adjustRightInd w:val="0"/>
        <w:spacing w:line="360" w:lineRule="auto"/>
        <w:ind w:right="11"/>
        <w:jc w:val="center"/>
        <w:outlineLvl w:val="0"/>
        <w:rPr>
          <w:rFonts w:ascii="宋体" w:hAnsi="Times New Roman" w:eastAsia="宋体" w:cs="宋体"/>
          <w:color w:val="000000" w:themeColor="text1"/>
          <w:kern w:val="0"/>
          <w:sz w:val="32"/>
          <w:szCs w:val="32"/>
          <w14:textFill>
            <w14:solidFill>
              <w14:schemeClr w14:val="tx1"/>
            </w14:solidFill>
          </w14:textFill>
        </w:rPr>
      </w:pPr>
      <w:bookmarkStart w:id="1" w:name="_Toc16554"/>
      <w:bookmarkStart w:id="2" w:name="_Toc5982"/>
      <w:bookmarkStart w:id="3" w:name="_Toc31057"/>
      <w:r>
        <w:rPr>
          <w:rFonts w:hint="eastAsia" w:ascii="宋体" w:hAnsi="Times New Roman" w:eastAsia="宋体" w:cs="宋体"/>
          <w:b/>
          <w:bCs/>
          <w:color w:val="000000" w:themeColor="text1"/>
          <w:spacing w:val="-9"/>
          <w:kern w:val="0"/>
          <w:sz w:val="32"/>
          <w:szCs w:val="32"/>
          <w14:textFill>
            <w14:solidFill>
              <w14:schemeClr w14:val="tx1"/>
            </w14:solidFill>
          </w14:textFill>
        </w:rPr>
        <w:t xml:space="preserve">第一章 </w:t>
      </w:r>
      <w:r>
        <w:rPr>
          <w:rFonts w:hint="eastAsia" w:ascii="宋体" w:hAnsi="Times New Roman" w:eastAsia="宋体" w:cs="宋体"/>
          <w:b/>
          <w:bCs/>
          <w:color w:val="000000" w:themeColor="text1"/>
          <w:kern w:val="0"/>
          <w:sz w:val="32"/>
          <w:szCs w:val="32"/>
          <w14:textFill>
            <w14:solidFill>
              <w14:schemeClr w14:val="tx1"/>
            </w14:solidFill>
          </w14:textFill>
        </w:rPr>
        <w:t>招标公告</w:t>
      </w:r>
      <w:bookmarkEnd w:id="1"/>
      <w:bookmarkEnd w:id="2"/>
      <w:bookmarkEnd w:id="3"/>
    </w:p>
    <w:p>
      <w:pPr>
        <w:widowControl/>
        <w:shd w:val="clear" w:color="auto" w:fill="FFFFFF"/>
        <w:autoSpaceDE w:val="0"/>
        <w:autoSpaceDN w:val="0"/>
        <w:adjustRightInd w:val="0"/>
        <w:spacing w:before="96" w:after="96" w:line="360" w:lineRule="auto"/>
        <w:ind w:firstLine="42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4" w:name="_Toc5816"/>
      <w:bookmarkStart w:id="5" w:name="_Toc14926"/>
      <w:bookmarkStart w:id="6" w:name="_Toc21804"/>
      <w:bookmarkStart w:id="7" w:name="_Toc5517"/>
      <w:r>
        <w:rPr>
          <w:rFonts w:hint="eastAsia" w:ascii="宋体" w:hAnsi="宋体" w:eastAsia="宋体" w:cs="宋体"/>
          <w:b/>
          <w:bCs/>
          <w:color w:val="000000" w:themeColor="text1"/>
          <w:spacing w:val="6"/>
          <w:kern w:val="0"/>
          <w:szCs w:val="21"/>
          <w14:textFill>
            <w14:solidFill>
              <w14:schemeClr w14:val="tx1"/>
            </w14:solidFill>
          </w14:textFill>
        </w:rPr>
        <w:t>项目概况</w:t>
      </w:r>
      <w:bookmarkEnd w:id="4"/>
      <w:bookmarkEnd w:id="5"/>
      <w:bookmarkEnd w:id="6"/>
      <w:bookmarkEnd w:id="7"/>
    </w:p>
    <w:p>
      <w:pPr>
        <w:wordWrap w:val="0"/>
        <w:spacing w:line="360" w:lineRule="auto"/>
        <w:ind w:firstLine="444" w:firstLineChars="200"/>
        <w:jc w:val="left"/>
        <w:rPr>
          <w:rFonts w:hint="eastAsia" w:ascii="宋体" w:hAnsi="宋体" w:eastAsia="宋体" w:cs="宋体"/>
          <w:color w:val="auto"/>
          <w:spacing w:val="6"/>
          <w:kern w:val="0"/>
          <w:szCs w:val="21"/>
          <w:lang w:eastAsia="zh-CN"/>
        </w:rPr>
      </w:pPr>
      <w:bookmarkStart w:id="8" w:name="_Toc20470"/>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的潜在投标人应在登录“郑州市公共资源交易中心网（http</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s</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://zzggzy.zhengzhou.gov.cn/）”，凭企业身份认证锁下载招标文件。</w:t>
      </w:r>
      <w:r>
        <w:rPr>
          <w:rFonts w:hint="eastAsia" w:ascii="宋体" w:hAnsi="宋体" w:eastAsia="宋体" w:cs="宋体"/>
          <w:i w:val="0"/>
          <w:iCs w:val="0"/>
          <w:caps w:val="0"/>
          <w:color w:val="auto"/>
          <w:spacing w:val="6"/>
          <w:kern w:val="0"/>
          <w:sz w:val="21"/>
          <w:szCs w:val="21"/>
          <w:shd w:val="clear" w:fill="auto"/>
        </w:rPr>
        <w:t>获取招标文件，并于</w:t>
      </w:r>
      <w:r>
        <w:rPr>
          <w:rFonts w:hint="eastAsia" w:ascii="宋体" w:hAnsi="宋体" w:eastAsia="宋体" w:cs="宋体"/>
          <w:i w:val="0"/>
          <w:iCs w:val="0"/>
          <w:caps w:val="0"/>
          <w:color w:val="auto"/>
          <w:spacing w:val="6"/>
          <w:kern w:val="0"/>
          <w:sz w:val="21"/>
          <w:szCs w:val="21"/>
          <w:highlight w:val="none"/>
          <w:shd w:val="clear" w:fill="auto"/>
        </w:rPr>
        <w:t>2023年</w:t>
      </w:r>
      <w:r>
        <w:rPr>
          <w:rFonts w:hint="eastAsia" w:ascii="宋体" w:hAnsi="宋体" w:eastAsia="宋体" w:cs="宋体"/>
          <w:i w:val="0"/>
          <w:iCs w:val="0"/>
          <w:caps w:val="0"/>
          <w:color w:val="auto"/>
          <w:spacing w:val="6"/>
          <w:kern w:val="0"/>
          <w:sz w:val="21"/>
          <w:szCs w:val="21"/>
          <w:highlight w:val="none"/>
          <w:shd w:val="clear" w:fill="auto"/>
          <w:lang w:val="en-US" w:eastAsia="zh-CN"/>
        </w:rPr>
        <w:t>11</w:t>
      </w:r>
      <w:r>
        <w:rPr>
          <w:rFonts w:hint="eastAsia" w:ascii="宋体" w:hAnsi="宋体" w:eastAsia="宋体" w:cs="宋体"/>
          <w:i w:val="0"/>
          <w:iCs w:val="0"/>
          <w:caps w:val="0"/>
          <w:color w:val="auto"/>
          <w:spacing w:val="6"/>
          <w:kern w:val="0"/>
          <w:sz w:val="21"/>
          <w:szCs w:val="21"/>
          <w:highlight w:val="none"/>
          <w:shd w:val="clear" w:fill="auto"/>
        </w:rPr>
        <w:t>月</w:t>
      </w:r>
      <w:r>
        <w:rPr>
          <w:rFonts w:hint="eastAsia" w:ascii="宋体" w:hAnsi="宋体" w:eastAsia="宋体" w:cs="宋体"/>
          <w:i w:val="0"/>
          <w:iCs w:val="0"/>
          <w:caps w:val="0"/>
          <w:color w:val="auto"/>
          <w:spacing w:val="6"/>
          <w:kern w:val="0"/>
          <w:sz w:val="21"/>
          <w:szCs w:val="21"/>
          <w:highlight w:val="none"/>
          <w:shd w:val="clear" w:fill="auto"/>
          <w:lang w:val="en-US" w:eastAsia="zh-CN"/>
        </w:rPr>
        <w:t>29</w:t>
      </w:r>
      <w:r>
        <w:rPr>
          <w:rFonts w:hint="eastAsia" w:ascii="宋体" w:hAnsi="宋体" w:eastAsia="宋体" w:cs="宋体"/>
          <w:i w:val="0"/>
          <w:iCs w:val="0"/>
          <w:caps w:val="0"/>
          <w:color w:val="auto"/>
          <w:spacing w:val="6"/>
          <w:kern w:val="0"/>
          <w:sz w:val="21"/>
          <w:szCs w:val="21"/>
          <w:highlight w:val="none"/>
          <w:shd w:val="clear" w:fill="auto"/>
        </w:rPr>
        <w:t>日10时00分</w:t>
      </w:r>
      <w:r>
        <w:rPr>
          <w:rFonts w:hint="eastAsia" w:ascii="宋体" w:hAnsi="宋体" w:eastAsia="宋体" w:cs="宋体"/>
          <w:i w:val="0"/>
          <w:iCs w:val="0"/>
          <w:caps w:val="0"/>
          <w:color w:val="auto"/>
          <w:spacing w:val="6"/>
          <w:kern w:val="0"/>
          <w:sz w:val="21"/>
          <w:szCs w:val="21"/>
          <w:shd w:val="clear" w:fill="auto"/>
        </w:rPr>
        <w:t>（北京时间）前递交投标文件</w:t>
      </w:r>
      <w:r>
        <w:rPr>
          <w:rFonts w:hint="eastAsia" w:ascii="宋体" w:hAnsi="宋体" w:eastAsia="宋体" w:cs="宋体"/>
          <w:color w:val="auto"/>
          <w:spacing w:val="6"/>
          <w:kern w:val="0"/>
          <w:szCs w:val="21"/>
          <w:lang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9" w:name="_Toc11334"/>
      <w:bookmarkStart w:id="10" w:name="_Toc636"/>
      <w:bookmarkStart w:id="11" w:name="_Toc5257"/>
      <w:r>
        <w:rPr>
          <w:rFonts w:hint="eastAsia" w:ascii="宋体" w:hAnsi="宋体" w:eastAsia="宋体" w:cs="宋体"/>
          <w:b/>
          <w:bCs/>
          <w:color w:val="000000" w:themeColor="text1"/>
          <w:spacing w:val="6"/>
          <w:kern w:val="0"/>
          <w:szCs w:val="21"/>
          <w14:textFill>
            <w14:solidFill>
              <w14:schemeClr w14:val="tx1"/>
            </w14:solidFill>
          </w14:textFill>
        </w:rPr>
        <w:t>一、项目基本情况</w:t>
      </w:r>
      <w:bookmarkEnd w:id="8"/>
      <w:bookmarkEnd w:id="9"/>
      <w:bookmarkEnd w:id="10"/>
      <w:bookmarkEnd w:id="11"/>
    </w:p>
    <w:p>
      <w:pPr>
        <w:spacing w:line="360" w:lineRule="auto"/>
        <w:ind w:firstLine="444" w:firstLineChars="200"/>
        <w:jc w:val="left"/>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1、</w:t>
      </w:r>
      <w:r>
        <w:rPr>
          <w:rFonts w:hint="eastAsia" w:ascii="宋体" w:hAnsi="宋体" w:eastAsia="宋体" w:cs="宋体"/>
          <w:color w:val="auto"/>
          <w:spacing w:val="6"/>
          <w:kern w:val="0"/>
          <w:szCs w:val="21"/>
          <w:highlight w:val="none"/>
        </w:rPr>
        <w:t>项目编号：</w:t>
      </w:r>
      <w:r>
        <w:rPr>
          <w:rFonts w:hint="eastAsia" w:ascii="宋体" w:hAnsi="宋体" w:eastAsia="宋体" w:cs="宋体"/>
          <w:color w:val="auto"/>
          <w:spacing w:val="6"/>
          <w:kern w:val="0"/>
          <w:szCs w:val="21"/>
          <w:highlight w:val="none"/>
          <w:lang w:val="en-US" w:eastAsia="zh-CN"/>
        </w:rPr>
        <w:t>郑财招标采购-2023-278</w:t>
      </w:r>
    </w:p>
    <w:p>
      <w:pPr>
        <w:kinsoku/>
        <w:overflowPunct/>
        <w:autoSpaceDE/>
        <w:autoSpaceDN/>
        <w:adjustRightInd/>
        <w:spacing w:line="360" w:lineRule="auto"/>
        <w:ind w:left="0" w:firstLine="444" w:firstLineChars="200"/>
        <w:jc w:val="left"/>
        <w:rPr>
          <w:rFonts w:hint="eastAsia" w:ascii="宋体" w:hAnsi="宋体" w:eastAsia="宋体" w:cs="宋体"/>
          <w:color w:val="000000" w:themeColor="text1"/>
          <w:spacing w:val="6"/>
          <w:kern w:val="0"/>
          <w:sz w:val="21"/>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3、采购方式：公开招标</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4、项目预算金额：</w:t>
      </w:r>
      <w:r>
        <w:rPr>
          <w:rFonts w:hint="eastAsia" w:ascii="宋体" w:hAnsi="宋体" w:eastAsia="宋体" w:cs="宋体"/>
          <w:color w:val="000000" w:themeColor="text1"/>
          <w:spacing w:val="6"/>
          <w:kern w:val="0"/>
          <w:szCs w:val="21"/>
          <w:lang w:val="en-US" w:eastAsia="zh-CN"/>
          <w14:textFill>
            <w14:solidFill>
              <w14:schemeClr w14:val="tx1"/>
            </w14:solidFill>
          </w14:textFill>
        </w:rPr>
        <w:t>4130000.00</w:t>
      </w:r>
      <w:r>
        <w:rPr>
          <w:rFonts w:hint="eastAsia" w:ascii="宋体" w:hAnsi="宋体" w:eastAsia="宋体" w:cs="宋体"/>
          <w:color w:val="000000" w:themeColor="text1"/>
          <w:spacing w:val="6"/>
          <w:kern w:val="0"/>
          <w:szCs w:val="21"/>
          <w14:textFill>
            <w14:solidFill>
              <w14:schemeClr w14:val="tx1"/>
            </w14:solidFill>
          </w14:textFill>
        </w:rPr>
        <w:t>元</w:t>
      </w:r>
    </w:p>
    <w:p>
      <w:pPr>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最高限价：</w:t>
      </w:r>
      <w:r>
        <w:rPr>
          <w:rFonts w:hint="eastAsia" w:ascii="宋体" w:hAnsi="宋体" w:eastAsia="宋体" w:cs="宋体"/>
          <w:color w:val="000000" w:themeColor="text1"/>
          <w:spacing w:val="6"/>
          <w:kern w:val="0"/>
          <w:szCs w:val="21"/>
          <w:lang w:val="en-US" w:eastAsia="zh-CN"/>
          <w14:textFill>
            <w14:solidFill>
              <w14:schemeClr w14:val="tx1"/>
            </w14:solidFill>
          </w14:textFill>
        </w:rPr>
        <w:t>4130000.00</w:t>
      </w:r>
      <w:r>
        <w:rPr>
          <w:rFonts w:hint="eastAsia" w:ascii="宋体" w:hAnsi="宋体" w:eastAsia="宋体" w:cs="宋体"/>
          <w:color w:val="000000" w:themeColor="text1"/>
          <w:spacing w:val="6"/>
          <w:kern w:val="0"/>
          <w:szCs w:val="21"/>
          <w14:textFill>
            <w14:solidFill>
              <w14:schemeClr w14:val="tx1"/>
            </w14:solidFill>
          </w14:textFill>
        </w:rPr>
        <w:t>元</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694"/>
        <w:gridCol w:w="3358"/>
        <w:gridCol w:w="2028"/>
        <w:gridCol w:w="2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序号</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包号</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包名称</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包预算（元）</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1</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A包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耳鼻喉图文工作站</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2</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B包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便携式彩色多普勒超声系统</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980000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980000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3</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C包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眼表综合分析仪</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450000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450000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4</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D包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心肺转流离心系统（ECMO）</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1500000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1500000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5</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E包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静息代谢测试仪</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6</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F包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麻醉机</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200000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7</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G包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电动移位机</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r>
    </w:tbl>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5、采购需求</w:t>
      </w:r>
    </w:p>
    <w:p>
      <w:pPr>
        <w:spacing w:line="360" w:lineRule="auto"/>
        <w:ind w:firstLine="444" w:firstLineChars="200"/>
        <w:jc w:val="left"/>
        <w:rPr>
          <w:rFonts w:hint="eastAsia" w:ascii="宋体" w:hAnsi="宋体" w:eastAsia="宋体" w:cs="宋体"/>
          <w:color w:val="FF0000"/>
          <w:spacing w:val="6"/>
          <w:kern w:val="0"/>
          <w:szCs w:val="21"/>
          <w:lang w:eastAsia="zh-CN"/>
        </w:rPr>
      </w:pPr>
      <w:r>
        <w:rPr>
          <w:rFonts w:hint="eastAsia" w:ascii="宋体" w:hAnsi="宋体" w:eastAsia="宋体" w:cs="宋体"/>
          <w:color w:val="000000" w:themeColor="text1"/>
          <w:spacing w:val="6"/>
          <w:kern w:val="0"/>
          <w:szCs w:val="21"/>
          <w14:textFill>
            <w14:solidFill>
              <w14:schemeClr w14:val="tx1"/>
            </w14:solidFill>
          </w14:textFill>
        </w:rPr>
        <w:t>5.1项目简要说明：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郑州市第九人民医院医疗设备采购项目，其中，耳鼻喉图文工作站1套、便携式彩色多普勒超声系统1套、眼表综合分析仪</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1</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套、心肺转流离心系统（ECMO）</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1</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套、静息代谢测试仪1套、麻醉机1台、电动移</w:t>
      </w:r>
      <w:r>
        <w:rPr>
          <w:rFonts w:hint="eastAsia" w:ascii="宋体" w:hAnsi="宋体" w:eastAsia="宋体" w:cs="宋体"/>
          <w:b w:val="0"/>
          <w:bCs w:val="0"/>
          <w:color w:val="auto"/>
          <w:spacing w:val="6"/>
          <w:kern w:val="0"/>
          <w:sz w:val="21"/>
          <w:szCs w:val="21"/>
          <w:lang w:eastAsia="zh-CN"/>
        </w:rPr>
        <w:t>位机</w:t>
      </w:r>
      <w:r>
        <w:rPr>
          <w:rFonts w:hint="eastAsia" w:ascii="宋体" w:hAnsi="宋体" w:eastAsia="宋体" w:cs="宋体"/>
          <w:b w:val="0"/>
          <w:bCs w:val="0"/>
          <w:color w:val="auto"/>
          <w:spacing w:val="6"/>
          <w:kern w:val="0"/>
          <w:sz w:val="21"/>
          <w:szCs w:val="21"/>
          <w:lang w:val="en-US" w:eastAsia="zh-CN"/>
        </w:rPr>
        <w:t>1</w:t>
      </w:r>
      <w:r>
        <w:rPr>
          <w:rFonts w:hint="eastAsia" w:ascii="宋体" w:hAnsi="宋体" w:eastAsia="宋体" w:cs="宋体"/>
          <w:b w:val="0"/>
          <w:bCs w:val="0"/>
          <w:color w:val="auto"/>
          <w:spacing w:val="6"/>
          <w:kern w:val="0"/>
          <w:sz w:val="21"/>
          <w:szCs w:val="21"/>
          <w:lang w:eastAsia="zh-CN"/>
        </w:rPr>
        <w:t>台，</w:t>
      </w:r>
      <w:r>
        <w:rPr>
          <w:rFonts w:hint="eastAsia" w:ascii="宋体" w:hAnsi="宋体" w:eastAsia="宋体" w:cs="宋体"/>
          <w:color w:val="auto"/>
          <w:spacing w:val="6"/>
          <w:kern w:val="0"/>
          <w:szCs w:val="21"/>
          <w:lang w:val="en-US" w:eastAsia="zh-CN"/>
        </w:rPr>
        <w:t>详见第五章技术标准及要求</w:t>
      </w:r>
      <w:r>
        <w:rPr>
          <w:rFonts w:hint="eastAsia" w:ascii="宋体" w:hAnsi="宋体" w:eastAsia="宋体" w:cs="宋体"/>
          <w:color w:val="auto"/>
          <w:spacing w:val="6"/>
          <w:kern w:val="0"/>
          <w:szCs w:val="21"/>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5.2包段划分：</w:t>
      </w:r>
      <w:r>
        <w:rPr>
          <w:rFonts w:hint="eastAsia" w:ascii="宋体" w:hAnsi="宋体" w:eastAsia="宋体" w:cs="宋体"/>
          <w:color w:val="000000" w:themeColor="text1"/>
          <w:spacing w:val="6"/>
          <w:kern w:val="0"/>
          <w:szCs w:val="21"/>
          <w:lang w:val="en-US" w:eastAsia="zh-CN"/>
          <w14:textFill>
            <w14:solidFill>
              <w14:schemeClr w14:val="tx1"/>
            </w14:solidFill>
          </w14:textFill>
        </w:rPr>
        <w:t>本项目共划分七个包段</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color w:val="auto"/>
          <w:spacing w:val="6"/>
          <w:kern w:val="0"/>
          <w:szCs w:val="21"/>
        </w:rPr>
        <w:t>5.3交货期</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：90日历天。</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b w:val="0"/>
          <w:bCs w:val="0"/>
          <w:color w:val="auto"/>
          <w:spacing w:val="6"/>
          <w:kern w:val="0"/>
          <w:szCs w:val="21"/>
        </w:rPr>
        <w:t>5.4质保期：</w:t>
      </w:r>
      <w:r>
        <w:rPr>
          <w:rFonts w:hint="eastAsia" w:ascii="宋体" w:hAnsi="宋体" w:eastAsia="宋体" w:cs="宋体"/>
          <w:b w:val="0"/>
          <w:bCs w:val="0"/>
          <w:color w:val="auto"/>
          <w:spacing w:val="6"/>
          <w:kern w:val="0"/>
          <w:szCs w:val="21"/>
          <w:lang w:val="en-US" w:eastAsia="zh-CN"/>
        </w:rPr>
        <w:t>3年。</w:t>
      </w:r>
    </w:p>
    <w:p>
      <w:pPr>
        <w:spacing w:line="360" w:lineRule="auto"/>
        <w:ind w:firstLine="444" w:firstLineChars="200"/>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5.5质量要求：合格。</w:t>
      </w:r>
    </w:p>
    <w:p>
      <w:pPr>
        <w:spacing w:line="360" w:lineRule="auto"/>
        <w:ind w:firstLine="444" w:firstLineChars="200"/>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6、合同履行期限：同交货期。</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7、本项目是否接受联合体投标：否。</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8、是否接受进口产品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是</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w:t>
      </w:r>
      <w:r>
        <w:rPr>
          <w:rFonts w:hint="eastAsia" w:asciiTheme="minorHAnsi" w:hAnsiTheme="minorHAnsi" w:eastAsiaTheme="minorEastAsia" w:cstheme="minorBidi"/>
          <w:i w:val="0"/>
          <w:iCs w:val="0"/>
          <w:caps w:val="0"/>
          <w:color w:val="auto"/>
          <w:spacing w:val="0"/>
          <w:sz w:val="21"/>
          <w:szCs w:val="22"/>
          <w:shd w:val="clear" w:fill="auto"/>
        </w:rPr>
        <w:t>是否专门面向中小企业</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否</w:t>
      </w:r>
      <w:r>
        <w:rPr>
          <w:rFonts w:hint="eastAsia"/>
          <w:b w:val="0"/>
          <w:bCs w:val="0"/>
          <w:sz w:val="21"/>
          <w:szCs w:val="22"/>
          <w:lang w:val="en-US"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2" w:name="_Toc2324"/>
      <w:bookmarkStart w:id="13" w:name="_Toc4841"/>
      <w:bookmarkStart w:id="14" w:name="_Toc10869"/>
      <w:bookmarkStart w:id="15" w:name="_Toc7930"/>
      <w:r>
        <w:rPr>
          <w:rFonts w:hint="eastAsia" w:ascii="宋体" w:hAnsi="宋体" w:eastAsia="宋体" w:cs="宋体"/>
          <w:b/>
          <w:bCs/>
          <w:color w:val="000000" w:themeColor="text1"/>
          <w:spacing w:val="6"/>
          <w:kern w:val="0"/>
          <w:szCs w:val="21"/>
          <w14:textFill>
            <w14:solidFill>
              <w14:schemeClr w14:val="tx1"/>
            </w14:solidFill>
          </w14:textFill>
        </w:rPr>
        <w:t>二、申请人的资格要求：</w:t>
      </w:r>
      <w:bookmarkEnd w:id="12"/>
      <w:bookmarkEnd w:id="13"/>
      <w:bookmarkEnd w:id="14"/>
      <w:bookmarkEnd w:id="15"/>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bookmarkStart w:id="16" w:name="_Toc26384"/>
      <w:bookmarkStart w:id="17" w:name="_Toc10746"/>
      <w:bookmarkStart w:id="18" w:name="_Toc19145"/>
      <w:bookmarkStart w:id="19" w:name="_Toc6020"/>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3.1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p>
    <w:p>
      <w:pPr>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3.2投标产品须符合中华人民共和国国务院令第739号《医疗器械监督管理条例》相关规定，应具有有效期内的医疗器械注册证或医疗器械产品备案凭证。</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240" w:lineRule="auto"/>
        <w:ind w:firstLine="444" w:firstLineChars="200"/>
        <w:jc w:val="left"/>
        <w:rPr>
          <w:rFonts w:ascii="楷体" w:hAnsi="楷体" w:eastAsia="楷体"/>
          <w:sz w:val="32"/>
          <w:szCs w:val="32"/>
          <w:u w:val="single"/>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r>
        <w:rPr>
          <w:rFonts w:hint="eastAsia" w:ascii="宋体" w:hAnsi="宋体" w:eastAsia="宋体" w:cs="宋体"/>
          <w:b/>
          <w:bCs/>
          <w:color w:val="000000" w:themeColor="text1"/>
          <w:spacing w:val="6"/>
          <w:kern w:val="0"/>
          <w:szCs w:val="21"/>
          <w14:textFill>
            <w14:solidFill>
              <w14:schemeClr w14:val="tx1"/>
            </w14:solidFill>
          </w14:textFill>
        </w:rPr>
        <w:t>三、获取采购文件</w:t>
      </w:r>
      <w:bookmarkEnd w:id="16"/>
      <w:bookmarkEnd w:id="17"/>
      <w:bookmarkEnd w:id="18"/>
      <w:bookmarkEnd w:id="19"/>
    </w:p>
    <w:p>
      <w:pPr>
        <w:wordWrap w:val="0"/>
        <w:spacing w:line="360" w:lineRule="auto"/>
        <w:ind w:firstLine="444" w:firstLineChars="200"/>
        <w:jc w:val="left"/>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3.1、时间：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09</w:t>
      </w:r>
      <w:r>
        <w:rPr>
          <w:rFonts w:hint="eastAsia" w:ascii="宋体" w:hAnsi="宋体" w:eastAsia="宋体" w:cs="宋体"/>
          <w:color w:val="auto"/>
          <w:spacing w:val="6"/>
          <w:kern w:val="0"/>
          <w:szCs w:val="21"/>
          <w:highlight w:val="none"/>
        </w:rPr>
        <w:t>日至202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15</w:t>
      </w:r>
      <w:r>
        <w:rPr>
          <w:rFonts w:hint="eastAsia" w:ascii="宋体" w:hAnsi="宋体" w:eastAsia="宋体" w:cs="宋体"/>
          <w:color w:val="auto"/>
          <w:spacing w:val="6"/>
          <w:kern w:val="0"/>
          <w:szCs w:val="21"/>
          <w:highlight w:val="none"/>
        </w:rPr>
        <w:t>日</w:t>
      </w:r>
      <w:r>
        <w:rPr>
          <w:rFonts w:hint="eastAsia" w:ascii="宋体" w:hAnsi="宋体" w:eastAsia="宋体" w:cs="宋体"/>
          <w:color w:val="auto"/>
          <w:spacing w:val="6"/>
          <w:kern w:val="0"/>
          <w:szCs w:val="21"/>
        </w:rPr>
        <w:t>，每天上午00:00至12:00，下午12:00至23:59（北京时间，法定节假日除外</w:t>
      </w:r>
      <w:r>
        <w:rPr>
          <w:rFonts w:hint="eastAsia" w:ascii="宋体" w:hAnsi="宋体" w:eastAsia="宋体" w:cs="宋体"/>
          <w:color w:val="auto"/>
          <w:spacing w:val="6"/>
          <w:kern w:val="0"/>
          <w:szCs w:val="21"/>
          <w:lang w:eastAsia="zh-CN"/>
        </w:rPr>
        <w:t>。）</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3.2、地点：登录“郑州市公共资源交易中心网站（https://zzggzy.zhengzhou.gov.cn/）”。</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3.3、方式：各潜在投标人可通过本项目公告自行获取查阅采购（招标）文件。如有意向，可凭CA密钥登录“郑州市公共资源交易中心网”进行报名、投标（响应）等相关线上操作。</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3.4、售价：0元</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0" w:name="_Toc18550"/>
      <w:bookmarkStart w:id="21" w:name="_Toc23361"/>
      <w:bookmarkStart w:id="22" w:name="_Toc16205"/>
      <w:bookmarkStart w:id="23" w:name="_Toc11731"/>
      <w:r>
        <w:rPr>
          <w:rFonts w:hint="eastAsia" w:ascii="宋体" w:hAnsi="宋体" w:eastAsia="宋体" w:cs="宋体"/>
          <w:b/>
          <w:bCs/>
          <w:color w:val="000000" w:themeColor="text1"/>
          <w:spacing w:val="6"/>
          <w:kern w:val="0"/>
          <w:szCs w:val="21"/>
          <w14:textFill>
            <w14:solidFill>
              <w14:schemeClr w14:val="tx1"/>
            </w14:solidFill>
          </w14:textFill>
        </w:rPr>
        <w:t>四、投标截止时间及地点</w:t>
      </w:r>
      <w:bookmarkEnd w:id="20"/>
      <w:bookmarkEnd w:id="21"/>
      <w:bookmarkEnd w:id="22"/>
      <w:bookmarkEnd w:id="23"/>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29</w:t>
      </w:r>
      <w:r>
        <w:rPr>
          <w:rFonts w:hint="eastAsia" w:ascii="宋体" w:hAnsi="宋体" w:eastAsia="宋体" w:cs="宋体"/>
          <w:color w:val="auto"/>
          <w:spacing w:val="6"/>
          <w:kern w:val="0"/>
          <w:szCs w:val="21"/>
          <w:highlight w:val="none"/>
        </w:rPr>
        <w:t>日10时00分</w:t>
      </w:r>
      <w:r>
        <w:rPr>
          <w:rFonts w:hint="eastAsia" w:ascii="宋体" w:hAnsi="宋体" w:eastAsia="宋体" w:cs="宋体"/>
          <w:color w:val="auto"/>
          <w:spacing w:val="6"/>
          <w:kern w:val="0"/>
          <w:szCs w:val="21"/>
        </w:rPr>
        <w:t>（北京时间）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4.2、地点：郑州市公共资源交易中心电子交易平台（https://zzggzy.zhengzhou.gov.cn/）</w:t>
      </w:r>
    </w:p>
    <w:p>
      <w:pPr>
        <w:keepNext/>
        <w:keepLines/>
        <w:autoSpaceDE w:val="0"/>
        <w:autoSpaceDN w:val="0"/>
        <w:adjustRightInd w:val="0"/>
        <w:spacing w:before="260" w:after="260"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4" w:name="_Toc21670"/>
      <w:bookmarkStart w:id="25" w:name="_Toc20290"/>
      <w:bookmarkStart w:id="26" w:name="_Toc18828"/>
      <w:bookmarkStart w:id="27" w:name="_Toc30633"/>
      <w:r>
        <w:rPr>
          <w:rFonts w:hint="eastAsia" w:ascii="宋体" w:hAnsi="宋体" w:eastAsia="宋体" w:cs="宋体"/>
          <w:b/>
          <w:bCs/>
          <w:color w:val="000000" w:themeColor="text1"/>
          <w:spacing w:val="6"/>
          <w:kern w:val="0"/>
          <w:szCs w:val="21"/>
          <w14:textFill>
            <w14:solidFill>
              <w14:schemeClr w14:val="tx1"/>
            </w14:solidFill>
          </w14:textFill>
        </w:rPr>
        <w:t>五、开标时间及地点</w:t>
      </w:r>
      <w:bookmarkEnd w:id="24"/>
      <w:bookmarkEnd w:id="25"/>
      <w:bookmarkEnd w:id="26"/>
      <w:bookmarkEnd w:id="27"/>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29</w:t>
      </w:r>
      <w:r>
        <w:rPr>
          <w:rFonts w:hint="eastAsia" w:ascii="宋体" w:hAnsi="宋体" w:eastAsia="宋体" w:cs="宋体"/>
          <w:color w:val="auto"/>
          <w:spacing w:val="6"/>
          <w:kern w:val="0"/>
          <w:szCs w:val="21"/>
          <w:highlight w:val="none"/>
        </w:rPr>
        <w:t>日10时00分</w:t>
      </w:r>
      <w:r>
        <w:rPr>
          <w:rFonts w:hint="eastAsia" w:ascii="宋体" w:hAnsi="宋体" w:eastAsia="宋体" w:cs="宋体"/>
          <w:color w:val="auto"/>
          <w:spacing w:val="6"/>
          <w:kern w:val="0"/>
          <w:szCs w:val="21"/>
        </w:rPr>
        <w:t>（北京时间）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地点：本项目为远程开标，投标人无需到交易中心现场参加开标会议。不见面开标操作说明详见郑州市公共资源交易中心网站-办事指南-政府采购-郑州市公共资源交易中心不见面开标大厅操作手册（供应商）。</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8" w:name="_Toc23646"/>
      <w:bookmarkStart w:id="29" w:name="_Toc23027"/>
      <w:bookmarkStart w:id="30" w:name="_Toc17567"/>
      <w:bookmarkStart w:id="31" w:name="_Toc24460"/>
      <w:r>
        <w:rPr>
          <w:rFonts w:hint="eastAsia" w:ascii="宋体" w:hAnsi="宋体" w:eastAsia="宋体" w:cs="宋体"/>
          <w:b/>
          <w:bCs/>
          <w:color w:val="000000" w:themeColor="text1"/>
          <w:spacing w:val="6"/>
          <w:kern w:val="0"/>
          <w:szCs w:val="21"/>
          <w14:textFill>
            <w14:solidFill>
              <w14:schemeClr w14:val="tx1"/>
            </w14:solidFill>
          </w14:textFill>
        </w:rPr>
        <w:t>六、发布公告的媒介及招标公告期限</w:t>
      </w:r>
      <w:bookmarkEnd w:id="28"/>
      <w:bookmarkEnd w:id="29"/>
      <w:bookmarkEnd w:id="30"/>
      <w:bookmarkEnd w:id="31"/>
    </w:p>
    <w:p>
      <w:pPr>
        <w:spacing w:line="360" w:lineRule="auto"/>
        <w:ind w:firstLine="444" w:firstLineChars="200"/>
        <w:rPr>
          <w:rFonts w:ascii="宋体" w:hAnsi="宋体" w:eastAsia="宋体" w:cs="宋体"/>
          <w:color w:val="0000FF"/>
          <w:spacing w:val="6"/>
          <w:kern w:val="0"/>
          <w:szCs w:val="21"/>
        </w:rPr>
      </w:pPr>
      <w:r>
        <w:rPr>
          <w:rFonts w:hint="eastAsia" w:ascii="宋体" w:hAnsi="宋体" w:eastAsia="宋体" w:cs="宋体"/>
          <w:color w:val="auto"/>
          <w:spacing w:val="6"/>
          <w:kern w:val="0"/>
          <w:szCs w:val="21"/>
        </w:rPr>
        <w:t>本次招标公告在《河南省政府采购网》</w:t>
      </w:r>
      <w:r>
        <w:rPr>
          <w:rFonts w:hint="eastAsia" w:ascii="宋体" w:hAnsi="宋体" w:eastAsia="宋体" w:cs="宋体"/>
          <w:color w:val="auto"/>
          <w:spacing w:val="6"/>
          <w:kern w:val="0"/>
          <w:szCs w:val="21"/>
          <w:lang w:eastAsia="zh-CN"/>
        </w:rPr>
        <w:t>、</w:t>
      </w:r>
      <w:r>
        <w:rPr>
          <w:rFonts w:hint="eastAsia" w:ascii="宋体" w:hAnsi="宋体" w:eastAsia="宋体" w:cs="宋体"/>
          <w:color w:val="auto"/>
          <w:spacing w:val="6"/>
          <w:kern w:val="0"/>
          <w:szCs w:val="21"/>
        </w:rPr>
        <w:t>《郑州市公共资源交易中心网》上发布。招标公告期限为五个工作日。</w:t>
      </w:r>
    </w:p>
    <w:p>
      <w:pPr>
        <w:widowControl/>
        <w:numPr>
          <w:ilvl w:val="0"/>
          <w:numId w:val="2"/>
        </w:numPr>
        <w:shd w:val="clear" w:color="auto" w:fill="FFFFFF"/>
        <w:autoSpaceDE w:val="0"/>
        <w:autoSpaceDN w:val="0"/>
        <w:adjustRightInd w:val="0"/>
        <w:spacing w:before="96" w:after="96" w:line="360" w:lineRule="auto"/>
        <w:ind w:left="446" w:hanging="446" w:hangingChars="200"/>
        <w:jc w:val="left"/>
        <w:outlineLvl w:val="0"/>
        <w:rPr>
          <w:rFonts w:hint="eastAsia" w:ascii="宋体" w:hAnsi="宋体" w:eastAsia="宋体" w:cs="宋体"/>
          <w:color w:val="auto"/>
          <w:spacing w:val="6"/>
          <w:kern w:val="0"/>
          <w:szCs w:val="21"/>
          <w:lang w:val="en-US" w:eastAsia="zh-CN"/>
        </w:rPr>
      </w:pPr>
      <w:bookmarkStart w:id="32" w:name="_Toc18206"/>
      <w:bookmarkStart w:id="33" w:name="_Toc25683"/>
      <w:bookmarkStart w:id="34" w:name="_Toc19938"/>
      <w:bookmarkStart w:id="35" w:name="_Toc16624"/>
      <w:r>
        <w:rPr>
          <w:rFonts w:hint="eastAsia" w:ascii="宋体" w:hAnsi="宋体" w:eastAsia="宋体" w:cs="宋体"/>
          <w:b/>
          <w:bCs/>
          <w:color w:val="000000" w:themeColor="text1"/>
          <w:spacing w:val="6"/>
          <w:kern w:val="0"/>
          <w:szCs w:val="21"/>
          <w14:textFill>
            <w14:solidFill>
              <w14:schemeClr w14:val="tx1"/>
            </w14:solidFill>
          </w14:textFill>
        </w:rPr>
        <w:t>其他补充事宜</w:t>
      </w:r>
      <w:bookmarkEnd w:id="32"/>
      <w:bookmarkEnd w:id="33"/>
      <w:bookmarkEnd w:id="34"/>
      <w:bookmarkEnd w:id="35"/>
      <w:bookmarkStart w:id="36" w:name="_Toc29606"/>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7.1、根据“郑州市公共资源交易中心关于推行不见面开标服务的通知（https://zzggzy.zheng</w:t>
      </w:r>
    </w:p>
    <w:p>
      <w:pPr>
        <w:spacing w:line="360" w:lineRule="auto"/>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zhou.gov.cn/tzgg/20200219/7716d6a8-4a44-4583-9ff3-123667607ef5.html）”第（一）条投标人无需到交易中心现场参加开标会议，本项目招标文件中所要求证件、证明等，投标文件中应附相应资料清晰的扫描件，由于模糊不清导致评委无法辨别的，后果由投标人自行承担。</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7.2、所有投标人应提前30分钟，登录“郑州市公共资源交易中心门户网站远程开标大厅（https://zzggzy.zhengzhou.gov.cn/BidOpening）”进行远程开标准备工作。</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7.3、所有投标人登录“郑州市公共资源交易中心门户网站远程开标大厅”后，须先进行签到，其后应一直保持在线状态，保证能准时参加开标大会、投标文件的解密、现场答疑澄清等活动。</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7.4、不见面开标操作说明详见郑州市公共资源交易中心网站办事指南栏目下政府采购专区中的《郑州市公共资源交易中心不见面开标大厅操作手册（供应商）V1.0》（http://zzggzy.zhengzhou.gov.cn/bszn/009003/subpage.html）。</w:t>
      </w:r>
    </w:p>
    <w:p>
      <w:pPr>
        <w:spacing w:line="360" w:lineRule="auto"/>
        <w:ind w:firstLine="444" w:firstLineChars="200"/>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7.5、G包电动移位机支持进口；其他包不支持进口。</w:t>
      </w:r>
    </w:p>
    <w:p>
      <w:pPr>
        <w:spacing w:line="360" w:lineRule="auto"/>
        <w:ind w:firstLine="444" w:firstLineChars="200"/>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 xml:space="preserve">7.6、代理费用收取方式及标准：参照《河南省招标代理服务收费指导意见》豫招协【2023】002号收费标准计算，由成交人领取成交通知书前支付。 </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37" w:name="_Toc29710"/>
      <w:bookmarkStart w:id="38" w:name="_Toc24920"/>
      <w:bookmarkStart w:id="39" w:name="_Toc12607"/>
      <w:r>
        <w:rPr>
          <w:rFonts w:hint="eastAsia" w:ascii="宋体" w:hAnsi="宋体" w:eastAsia="宋体" w:cs="宋体"/>
          <w:b/>
          <w:bCs/>
          <w:color w:val="000000" w:themeColor="text1"/>
          <w:spacing w:val="6"/>
          <w:kern w:val="0"/>
          <w:szCs w:val="21"/>
          <w14:textFill>
            <w14:solidFill>
              <w14:schemeClr w14:val="tx1"/>
            </w14:solidFill>
          </w14:textFill>
        </w:rPr>
        <w:t>八、对本次招标提出询问，请按以下方式联系</w:t>
      </w:r>
      <w:bookmarkEnd w:id="36"/>
      <w:bookmarkEnd w:id="37"/>
      <w:bookmarkEnd w:id="38"/>
      <w:bookmarkEnd w:id="39"/>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采购人：</w:t>
      </w:r>
      <w:r>
        <w:rPr>
          <w:rFonts w:hint="eastAsia" w:ascii="宋体" w:hAnsi="宋体" w:eastAsia="宋体" w:cs="宋体"/>
          <w:color w:val="000000" w:themeColor="text1"/>
          <w:spacing w:val="6"/>
          <w:kern w:val="0"/>
          <w:szCs w:val="21"/>
          <w:lang w:eastAsia="zh-CN"/>
          <w14:textFill>
            <w14:solidFill>
              <w14:schemeClr w14:val="tx1"/>
            </w14:solidFill>
          </w14:textFill>
        </w:rPr>
        <w:t>郑州市第九人民医院</w:t>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  址：</w:t>
      </w:r>
      <w:r>
        <w:rPr>
          <w:rFonts w:hint="eastAsia" w:ascii="宋体" w:hAnsi="宋体" w:eastAsia="宋体" w:cs="宋体"/>
          <w:color w:val="000000" w:themeColor="text1"/>
          <w:spacing w:val="6"/>
          <w:kern w:val="0"/>
          <w:szCs w:val="21"/>
          <w:lang w:val="en-US" w:eastAsia="zh-CN"/>
          <w14:textFill>
            <w14:solidFill>
              <w14:schemeClr w14:val="tx1"/>
            </w14:solidFill>
          </w14:textFill>
        </w:rPr>
        <w:t>郑州市沙口路25号</w:t>
      </w:r>
    </w:p>
    <w:p>
      <w:pPr>
        <w:autoSpaceDE w:val="0"/>
        <w:autoSpaceDN w:val="0"/>
        <w:adjustRightInd w:val="0"/>
        <w:spacing w:line="360" w:lineRule="auto"/>
        <w:ind w:firstLine="444" w:firstLineChars="200"/>
        <w:jc w:val="left"/>
        <w:rPr>
          <w:rFonts w:hint="default" w:ascii="宋体" w:hAnsi="宋体" w:eastAsia="宋体" w:cs="宋体"/>
          <w:color w:val="000000" w:themeColor="text1"/>
          <w:spacing w:val="6"/>
          <w:kern w:val="0"/>
          <w:szCs w:val="21"/>
          <w:lang w:val="en-US"/>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w:t>
      </w:r>
      <w:r>
        <w:rPr>
          <w:rFonts w:hint="eastAsia" w:ascii="宋体" w:hAnsi="宋体" w:eastAsia="宋体" w:cs="宋体"/>
          <w:color w:val="000000" w:themeColor="text1"/>
          <w:spacing w:val="6"/>
          <w:kern w:val="0"/>
          <w:szCs w:val="21"/>
          <w:lang w:val="en-US" w:eastAsia="zh-CN"/>
          <w14:textFill>
            <w14:solidFill>
              <w14:schemeClr w14:val="tx1"/>
            </w14:solidFill>
          </w14:textFill>
        </w:rPr>
        <w:t>陆潇</w:t>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w:t>
      </w:r>
      <w:r>
        <w:rPr>
          <w:rFonts w:hint="eastAsia" w:ascii="宋体" w:hAnsi="宋体" w:eastAsia="宋体" w:cs="宋体"/>
          <w:color w:val="000000" w:themeColor="text1"/>
          <w:spacing w:val="6"/>
          <w:kern w:val="0"/>
          <w:szCs w:val="21"/>
          <w:lang w:val="en-US" w:eastAsia="zh-CN"/>
          <w14:textFill>
            <w14:solidFill>
              <w14:schemeClr w14:val="tx1"/>
            </w14:solidFill>
          </w14:textFill>
        </w:rPr>
        <w:t>0371-58678657</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采购代理机构：河南省机电设备国际招标有限公司</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地址：郑州市管城区黄河南路与商都路交汇处西南角财信大厦14-15层</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电话：0371-65949196</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项目联系方式</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项目联系人：张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p>
    <w:p>
      <w:pPr>
        <w:autoSpaceDE w:val="0"/>
        <w:autoSpaceDN w:val="0"/>
        <w:adjustRightInd w:val="0"/>
        <w:spacing w:line="360" w:lineRule="auto"/>
        <w:ind w:firstLine="444" w:firstLineChars="200"/>
        <w:jc w:val="left"/>
        <w:rPr>
          <w:rFonts w:ascii="宋体" w:hAnsi="宋体" w:eastAsia="宋体" w:cs="宋体"/>
          <w:color w:val="000000" w:themeColor="text1"/>
          <w:kern w:val="0"/>
          <w:szCs w:val="21"/>
          <w14:textFill>
            <w14:solidFill>
              <w14:schemeClr w14:val="tx1"/>
            </w14:solidFill>
          </w14:textFill>
        </w:rPr>
        <w:sectPr>
          <w:headerReference r:id="rId6" w:type="default"/>
          <w:footerReference r:id="rId7" w:type="default"/>
          <w:pgSz w:w="11920" w:h="16850"/>
          <w:pgMar w:top="1360" w:right="1100" w:bottom="1220" w:left="1100" w:header="0" w:footer="1009" w:gutter="0"/>
          <w:pgNumType w:fmt="numberInDash" w:start="1"/>
          <w:cols w:space="720" w:num="1"/>
        </w:sectPr>
      </w:pPr>
      <w:r>
        <w:rPr>
          <w:rFonts w:hint="eastAsia" w:ascii="宋体" w:hAnsi="宋体" w:eastAsia="宋体" w:cs="宋体"/>
          <w:color w:val="000000" w:themeColor="text1"/>
          <w:spacing w:val="6"/>
          <w:kern w:val="0"/>
          <w:szCs w:val="21"/>
          <w14:textFill>
            <w14:solidFill>
              <w14:schemeClr w14:val="tx1"/>
            </w14:solidFill>
          </w14:textFill>
        </w:rPr>
        <w:t>电话：</w:t>
      </w:r>
      <w:r>
        <w:rPr>
          <w:rFonts w:hint="eastAsia" w:ascii="宋体" w:hAnsi="宋体" w:eastAsia="宋体" w:cs="宋体"/>
          <w:color w:val="000000" w:themeColor="text1"/>
          <w:kern w:val="0"/>
          <w:szCs w:val="21"/>
          <w14:textFill>
            <w14:solidFill>
              <w14:schemeClr w14:val="tx1"/>
            </w14:solidFill>
          </w14:textFill>
        </w:rPr>
        <w:t>0371-65949196</w:t>
      </w:r>
    </w:p>
    <w:p>
      <w:pPr>
        <w:kinsoku w:val="0"/>
        <w:overflowPunct w:val="0"/>
        <w:autoSpaceDE w:val="0"/>
        <w:autoSpaceDN w:val="0"/>
        <w:adjustRightInd w:val="0"/>
        <w:spacing w:line="395" w:lineRule="exact"/>
        <w:ind w:left="2308"/>
        <w:jc w:val="left"/>
        <w:outlineLvl w:val="0"/>
        <w:rPr>
          <w:rFonts w:ascii="宋体" w:hAnsi="Times New Roman" w:eastAsia="宋体" w:cs="宋体"/>
          <w:color w:val="000000" w:themeColor="text1"/>
          <w:kern w:val="0"/>
          <w:sz w:val="32"/>
          <w:szCs w:val="32"/>
          <w14:textFill>
            <w14:solidFill>
              <w14:schemeClr w14:val="tx1"/>
            </w14:solidFill>
          </w14:textFill>
        </w:rPr>
      </w:pPr>
      <w:bookmarkStart w:id="40" w:name="_Toc16773"/>
      <w:bookmarkStart w:id="41" w:name="_Toc28656"/>
      <w:bookmarkStart w:id="42" w:name="_Toc6169"/>
      <w:r>
        <w:rPr>
          <w:rFonts w:hint="eastAsia" w:ascii="宋体" w:hAnsi="Times New Roman" w:eastAsia="宋体" w:cs="宋体"/>
          <w:b/>
          <w:bCs/>
          <w:color w:val="000000" w:themeColor="text1"/>
          <w:spacing w:val="2"/>
          <w:kern w:val="0"/>
          <w:sz w:val="32"/>
          <w:szCs w:val="32"/>
          <w14:textFill>
            <w14:solidFill>
              <w14:schemeClr w14:val="tx1"/>
            </w14:solidFill>
          </w14:textFill>
        </w:rPr>
        <w:t>第二章</w:t>
      </w:r>
      <w:r>
        <w:rPr>
          <w:rFonts w:ascii="宋体" w:hAnsi="Times New Roman" w:eastAsia="宋体" w:cs="宋体"/>
          <w:b/>
          <w:bCs/>
          <w:color w:val="000000" w:themeColor="text1"/>
          <w:spacing w:val="-11"/>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供应商须知供应商须知前附表</w:t>
      </w:r>
      <w:bookmarkEnd w:id="40"/>
      <w:bookmarkEnd w:id="41"/>
      <w:bookmarkEnd w:id="42"/>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0"/>
          <w:szCs w:val="20"/>
          <w14:textFill>
            <w14:solidFill>
              <w14:schemeClr w14:val="tx1"/>
            </w14:solidFill>
          </w14:textFill>
        </w:rPr>
      </w:pPr>
    </w:p>
    <w:p>
      <w:pPr>
        <w:kinsoku w:val="0"/>
        <w:overflowPunct w:val="0"/>
        <w:autoSpaceDE w:val="0"/>
        <w:autoSpaceDN w:val="0"/>
        <w:adjustRightInd w:val="0"/>
        <w:spacing w:before="6"/>
        <w:jc w:val="left"/>
        <w:rPr>
          <w:rFonts w:ascii="Times New Roman" w:hAnsi="Times New Roman" w:eastAsia="宋体" w:cs="Times New Roman"/>
          <w:b/>
          <w:bCs/>
          <w:color w:val="000000" w:themeColor="text1"/>
          <w:kern w:val="0"/>
          <w:sz w:val="10"/>
          <w:szCs w:val="10"/>
          <w14:textFill>
            <w14:solidFill>
              <w14:schemeClr w14:val="tx1"/>
            </w14:solidFill>
          </w14:textFill>
        </w:rPr>
      </w:pPr>
    </w:p>
    <w:tbl>
      <w:tblPr>
        <w:tblStyle w:val="18"/>
        <w:tblW w:w="0" w:type="auto"/>
        <w:jc w:val="center"/>
        <w:tblLayout w:type="fixed"/>
        <w:tblCellMar>
          <w:top w:w="0" w:type="dxa"/>
          <w:left w:w="0" w:type="dxa"/>
          <w:bottom w:w="0" w:type="dxa"/>
          <w:right w:w="0" w:type="dxa"/>
        </w:tblCellMar>
      </w:tblPr>
      <w:tblGrid>
        <w:gridCol w:w="1029"/>
        <w:gridCol w:w="1703"/>
        <w:gridCol w:w="6786"/>
      </w:tblGrid>
      <w:tr>
        <w:tblPrEx>
          <w:tblCellMar>
            <w:top w:w="0" w:type="dxa"/>
            <w:left w:w="0" w:type="dxa"/>
            <w:bottom w:w="0" w:type="dxa"/>
            <w:right w:w="0" w:type="dxa"/>
          </w:tblCellMar>
        </w:tblPrEx>
        <w:trPr>
          <w:trHeight w:val="624" w:hRule="exact"/>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51"/>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条款号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36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条款名称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17"/>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编列内容 </w:t>
            </w:r>
          </w:p>
        </w:tc>
      </w:tr>
      <w:tr>
        <w:tblPrEx>
          <w:tblCellMar>
            <w:top w:w="0" w:type="dxa"/>
            <w:left w:w="0" w:type="dxa"/>
            <w:bottom w:w="0" w:type="dxa"/>
            <w:right w:w="0" w:type="dxa"/>
          </w:tblCellMar>
        </w:tblPrEx>
        <w:trPr>
          <w:trHeight w:val="156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r>
              <w:rPr>
                <w:rFonts w:hint="eastAsia" w:ascii="宋体" w:hAnsi="宋体" w:eastAsia="宋体" w:cs="宋体"/>
                <w:color w:val="000000" w:themeColor="text1"/>
                <w:kern w:val="0"/>
                <w:szCs w:val="21"/>
                <w:lang w:eastAsia="zh-CN"/>
                <w14:textFill>
                  <w14:solidFill>
                    <w14:schemeClr w14:val="tx1"/>
                  </w14:solidFill>
                </w14:textFill>
              </w:rPr>
              <w:t>郑州市第九人民医院</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w:t>
            </w:r>
            <w:r>
              <w:rPr>
                <w:rFonts w:hint="eastAsia" w:ascii="宋体" w:hAnsi="宋体" w:eastAsia="宋体" w:cs="宋体"/>
                <w:color w:val="000000" w:themeColor="text1"/>
                <w:kern w:val="0"/>
                <w:szCs w:val="21"/>
                <w:lang w:val="en-US" w:eastAsia="zh-CN"/>
                <w14:textFill>
                  <w14:solidFill>
                    <w14:schemeClr w14:val="tx1"/>
                  </w14:solidFill>
                </w14:textFill>
              </w:rPr>
              <w:t>郑州市沙口路25号</w:t>
            </w:r>
          </w:p>
          <w:p>
            <w:pPr>
              <w:autoSpaceDE w:val="0"/>
              <w:autoSpaceDN w:val="0"/>
              <w:adjustRightInd w:val="0"/>
              <w:spacing w:line="390" w:lineRule="exact"/>
              <w:jc w:val="left"/>
              <w:rPr>
                <w:rFonts w:hint="default"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联系人：</w:t>
            </w:r>
            <w:r>
              <w:rPr>
                <w:rFonts w:hint="eastAsia" w:ascii="宋体" w:hAnsi="宋体" w:eastAsia="宋体" w:cs="宋体"/>
                <w:color w:val="000000" w:themeColor="text1"/>
                <w:kern w:val="0"/>
                <w:szCs w:val="21"/>
                <w:lang w:val="en-US" w:eastAsia="zh-CN"/>
                <w14:textFill>
                  <w14:solidFill>
                    <w14:schemeClr w14:val="tx1"/>
                  </w14:solidFill>
                </w14:textFill>
              </w:rPr>
              <w:t>陆潇</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w:t>
            </w:r>
            <w:r>
              <w:rPr>
                <w:rFonts w:hint="eastAsia" w:ascii="宋体" w:hAnsi="宋体" w:eastAsia="宋体" w:cs="宋体"/>
                <w:color w:val="000000" w:themeColor="text1"/>
                <w:kern w:val="0"/>
                <w:szCs w:val="21"/>
                <w:lang w:val="en-US" w:eastAsia="zh-CN"/>
                <w14:textFill>
                  <w14:solidFill>
                    <w14:schemeClr w14:val="tx1"/>
                  </w14:solidFill>
                </w14:textFill>
              </w:rPr>
              <w:t>0371-58678657</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1981"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采购代理机构</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代理机构：河南省机电设备国际招标有限公司 </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w:t>
            </w:r>
            <w:r>
              <w:rPr>
                <w:rFonts w:hint="eastAsia" w:ascii="宋体" w:hAnsi="宋体" w:eastAsia="宋体" w:cs="宋体"/>
                <w:color w:val="000000" w:themeColor="text1"/>
                <w:spacing w:val="6"/>
                <w:kern w:val="0"/>
                <w:szCs w:val="21"/>
                <w14:textFill>
                  <w14:solidFill>
                    <w14:schemeClr w14:val="tx1"/>
                  </w14:solidFill>
                </w14:textFill>
              </w:rPr>
              <w:t>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w:t>
            </w:r>
            <w:r>
              <w:rPr>
                <w:rFonts w:hint="eastAsia" w:ascii="宋体" w:hAnsi="宋体" w:eastAsia="宋体" w:cs="宋体"/>
                <w:color w:val="000000" w:themeColor="text1"/>
                <w:spacing w:val="6"/>
                <w:kern w:val="0"/>
                <w:szCs w:val="21"/>
                <w14:textFill>
                  <w14:solidFill>
                    <w14:schemeClr w14:val="tx1"/>
                  </w14:solidFill>
                </w14:textFill>
              </w:rPr>
              <w:t>0371-65949196</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址：郑州市管城区黄河南路与商都路交汇处西南角财信大厦14-15层</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邮    箱：</w:t>
            </w:r>
            <w:r>
              <w:rPr>
                <w:rFonts w:hint="eastAsia" w:ascii="宋体" w:hAnsi="宋体" w:cs="宋体"/>
                <w:color w:val="000000" w:themeColor="text1"/>
                <w:spacing w:val="6"/>
                <w:kern w:val="0"/>
                <w:szCs w:val="21"/>
                <w:lang w:val="en-US" w:eastAsia="zh-CN"/>
                <w14:textFill>
                  <w14:solidFill>
                    <w14:schemeClr w14:val="tx1"/>
                  </w14:solidFill>
                </w14:textFill>
              </w:rPr>
              <w:t>zhaobiao04@163.com</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5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tc>
      </w:tr>
      <w:tr>
        <w:tblPrEx>
          <w:tblCellMar>
            <w:top w:w="0" w:type="dxa"/>
            <w:left w:w="0" w:type="dxa"/>
            <w:bottom w:w="0" w:type="dxa"/>
            <w:right w:w="0" w:type="dxa"/>
          </w:tblCellMar>
        </w:tblPrEx>
        <w:trPr>
          <w:trHeight w:val="50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highlight w:val="none"/>
              </w:rPr>
              <w:t>采购编号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default" w:ascii="宋体" w:hAnsi="宋体" w:eastAsia="宋体" w:cs="宋体"/>
                <w:color w:val="auto"/>
                <w:kern w:val="0"/>
                <w:szCs w:val="21"/>
                <w:lang w:val="en-US" w:eastAsia="zh-CN"/>
              </w:rPr>
            </w:pPr>
            <w:r>
              <w:rPr>
                <w:rFonts w:hint="eastAsia" w:ascii="宋体" w:hAnsi="宋体" w:eastAsia="宋体" w:cs="宋体"/>
                <w:color w:val="auto"/>
                <w:spacing w:val="6"/>
                <w:kern w:val="0"/>
                <w:szCs w:val="21"/>
                <w:highlight w:val="none"/>
                <w:lang w:val="en-US" w:eastAsia="zh-CN"/>
              </w:rPr>
              <w:t>郑财招标采购-2023-278</w:t>
            </w:r>
          </w:p>
        </w:tc>
      </w:tr>
      <w:tr>
        <w:tblPrEx>
          <w:tblCellMar>
            <w:top w:w="0" w:type="dxa"/>
            <w:left w:w="0" w:type="dxa"/>
            <w:bottom w:w="0" w:type="dxa"/>
            <w:right w:w="0" w:type="dxa"/>
          </w:tblCellMar>
        </w:tblPrEx>
        <w:trPr>
          <w:trHeight w:val="7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1.3.3</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招标内容</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eastAsia="zh-CN"/>
              </w:rPr>
              <w:t>郑州市第九人民医院</w:t>
            </w:r>
            <w:r>
              <w:rPr>
                <w:rFonts w:hint="eastAsia" w:ascii="宋体" w:hAnsi="宋体" w:eastAsia="宋体" w:cs="宋体"/>
                <w:color w:val="auto"/>
                <w:kern w:val="0"/>
                <w:szCs w:val="21"/>
                <w:highlight w:val="none"/>
                <w:lang w:val="en-US"/>
              </w:rPr>
              <w:t>所需的设备采购、安装、调试、运行及相关伴随服务和质保服务。</w:t>
            </w:r>
          </w:p>
        </w:tc>
      </w:tr>
      <w:tr>
        <w:tblPrEx>
          <w:tblCellMar>
            <w:top w:w="0" w:type="dxa"/>
            <w:left w:w="0" w:type="dxa"/>
            <w:bottom w:w="0" w:type="dxa"/>
            <w:right w:w="0" w:type="dxa"/>
          </w:tblCellMar>
        </w:tblPrEx>
        <w:trPr>
          <w:trHeight w:val="55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1.3.4</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交货期</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90日历天</w:t>
            </w:r>
          </w:p>
        </w:tc>
      </w:tr>
      <w:tr>
        <w:tblPrEx>
          <w:tblCellMar>
            <w:top w:w="0" w:type="dxa"/>
            <w:left w:w="0" w:type="dxa"/>
            <w:bottom w:w="0" w:type="dxa"/>
            <w:right w:w="0" w:type="dxa"/>
          </w:tblCellMar>
        </w:tblPrEx>
        <w:trPr>
          <w:trHeight w:val="418"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1.3.5</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lang w:eastAsia="zh-CN"/>
                <w14:textFill>
                  <w14:solidFill>
                    <w14:schemeClr w14:val="tx1"/>
                  </w14:solidFill>
                </w14:textFill>
              </w:rPr>
              <w:t>郑州市第九人民医院</w:t>
            </w:r>
            <w:r>
              <w:rPr>
                <w:rFonts w:hint="eastAsia" w:ascii="宋体" w:hAnsi="宋体" w:eastAsia="宋体" w:cs="宋体"/>
                <w:color w:val="000000" w:themeColor="text1"/>
                <w:spacing w:val="6"/>
                <w:kern w:val="0"/>
                <w:szCs w:val="21"/>
                <w14:textFill>
                  <w14:solidFill>
                    <w14:schemeClr w14:val="tx1"/>
                  </w14:solidFill>
                </w14:textFill>
              </w:rPr>
              <w:t>指定地点</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1.3.6</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质保期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3年</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1.3.7</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质量</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合格</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标段</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本项目分为七个标段</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供货商资格要求</w:t>
            </w:r>
          </w:p>
        </w:tc>
        <w:tc>
          <w:tcPr>
            <w:tcW w:w="6786" w:type="dxa"/>
            <w:tcBorders>
              <w:top w:val="single" w:color="000000" w:sz="4" w:space="0"/>
              <w:left w:val="single" w:color="000000" w:sz="4" w:space="0"/>
              <w:bottom w:val="single" w:color="000000" w:sz="4" w:space="0"/>
              <w:right w:val="single" w:color="000000" w:sz="4" w:space="0"/>
            </w:tcBorders>
          </w:tcPr>
          <w:p>
            <w:pPr>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3.1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p>
          <w:p>
            <w:pPr>
              <w:wordWrap w:val="0"/>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3.2投标产品须符合中华人民共和国国务院令第739号《医疗器械监督管理条例》相关规定，应具有有效期内的医疗器械注册证或医疗器械产品备案凭证。</w:t>
            </w:r>
          </w:p>
          <w:p>
            <w:pPr>
              <w:wordWrap w:val="0"/>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24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tc>
      </w:tr>
      <w:tr>
        <w:tblPrEx>
          <w:tblCellMar>
            <w:top w:w="0" w:type="dxa"/>
            <w:left w:w="0" w:type="dxa"/>
            <w:bottom w:w="0" w:type="dxa"/>
            <w:right w:w="0" w:type="dxa"/>
          </w:tblCellMar>
        </w:tblPrEx>
        <w:trPr>
          <w:trHeight w:val="84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是否接受</w:t>
            </w:r>
          </w:p>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联合体投标</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本项目不接受联合体投标。</w:t>
            </w:r>
          </w:p>
        </w:tc>
      </w:tr>
      <w:tr>
        <w:tblPrEx>
          <w:tblCellMar>
            <w:top w:w="0" w:type="dxa"/>
            <w:left w:w="0" w:type="dxa"/>
            <w:bottom w:w="0" w:type="dxa"/>
            <w:right w:w="0" w:type="dxa"/>
          </w:tblCellMar>
        </w:tblPrEx>
        <w:trPr>
          <w:trHeight w:val="152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法律适用</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tblPrEx>
          <w:tblCellMar>
            <w:top w:w="0" w:type="dxa"/>
            <w:left w:w="0" w:type="dxa"/>
            <w:bottom w:w="0" w:type="dxa"/>
            <w:right w:w="0" w:type="dxa"/>
          </w:tblCellMar>
        </w:tblPrEx>
        <w:trPr>
          <w:trHeight w:val="416"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53"/>
              <w:jc w:val="left"/>
              <w:rPr>
                <w:rFonts w:hint="eastAsia" w:ascii="宋体" w:hAnsi="宋体" w:eastAsia="宋体" w:cs="宋体"/>
                <w:color w:val="auto"/>
                <w:kern w:val="0"/>
                <w:szCs w:val="21"/>
              </w:rPr>
            </w:pPr>
            <w:r>
              <w:rPr>
                <w:rFonts w:hint="eastAsia" w:ascii="宋体" w:hAnsi="宋体" w:eastAsia="宋体" w:cs="宋体"/>
                <w:color w:val="auto"/>
                <w:kern w:val="0"/>
                <w:szCs w:val="21"/>
              </w:rPr>
              <w:t>1.6.2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政府采购政策</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1、执行《政府采购促进中小企业发展管理办法》（财库〔2020〕46号）；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2、执行《关于进一步加大政府采购支持中小企业力度的通知》（财库〔2022〕19号）；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3、执行《河南省财政厅关于进一步做好政府采购支持中小企业发展有关事项的通知》（豫财购〔2022〕5号）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4、执行《财政部 司法部关于政府采购支持监狱企业发展有关问题的通知》（财库〔2014〕68号）；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5、执行《财政部 民政部 中国残疾人联合会关于促进残疾人就业政府采购政策的通知》（财库〔2017〕141号）。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6、执行《关于调整优化节能产品、环境标志产品政府采购执行机制的通知》（财库〔2019〕9号）。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7、执行《关于印发节能产品政府采购品目清单的通知》（财库〔2019〕19号）；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8、执行《关于印发环境标志产品政府采购品目清单的通知》（财库〔2019〕18号）。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根据要求，投标产品中如有属于“节能清单”中标记“</w:t>
            </w: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”产品的，必须提供经过“机构名录”中的认证机构出具的“节能产品认证证书”。</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lang w:val="en-US" w:eastAsia="zh-CN"/>
                <w14:textFill>
                  <w14:solidFill>
                    <w14:schemeClr w14:val="tx1"/>
                  </w14:solidFill>
                </w14:textFill>
              </w:rPr>
              <w:t>9、</w:t>
            </w:r>
            <w:r>
              <w:rPr>
                <w:rFonts w:hint="eastAsia" w:ascii="宋体" w:hAnsi="宋体" w:eastAsia="宋体" w:cs="宋体"/>
                <w:color w:val="auto"/>
                <w:spacing w:val="2"/>
                <w:kern w:val="0"/>
                <w:szCs w:val="21"/>
              </w:rPr>
              <w:t>根据《关于信息安全产品实施政府采购的通知》财库[2010]48号和国家质量监督检验检疫总局、国家认证认可监督管理委员会《关于调整信息安全产品强制性认证实施要求的公告》2009年第33号的规定，投标人所投产品</w:t>
            </w:r>
            <w:r>
              <w:rPr>
                <w:rFonts w:hint="eastAsia" w:ascii="宋体" w:hAnsi="宋体" w:eastAsia="宋体" w:cs="宋体"/>
                <w:color w:val="auto"/>
                <w:spacing w:val="2"/>
                <w:kern w:val="0"/>
                <w:szCs w:val="21"/>
                <w:lang w:val="en-US" w:eastAsia="zh-CN"/>
              </w:rPr>
              <w:t>若有</w:t>
            </w:r>
            <w:r>
              <w:rPr>
                <w:rFonts w:hint="eastAsia" w:ascii="宋体" w:hAnsi="宋体" w:eastAsia="宋体" w:cs="宋体"/>
                <w:color w:val="auto"/>
                <w:spacing w:val="2"/>
                <w:kern w:val="0"/>
                <w:szCs w:val="21"/>
              </w:rPr>
              <w:t>经国家认证的信息安全产品，</w:t>
            </w:r>
            <w:r>
              <w:rPr>
                <w:rFonts w:hint="eastAsia" w:ascii="宋体" w:hAnsi="宋体" w:eastAsia="宋体" w:cs="宋体"/>
                <w:color w:val="auto"/>
                <w:spacing w:val="2"/>
                <w:kern w:val="0"/>
                <w:szCs w:val="21"/>
                <w:lang w:val="en-US" w:eastAsia="zh-CN"/>
              </w:rPr>
              <w:t>需</w:t>
            </w:r>
            <w:r>
              <w:rPr>
                <w:rFonts w:hint="eastAsia" w:ascii="宋体" w:hAnsi="宋体" w:eastAsia="宋体" w:cs="宋体"/>
                <w:color w:val="auto"/>
                <w:spacing w:val="2"/>
                <w:kern w:val="0"/>
                <w:szCs w:val="21"/>
              </w:rPr>
              <w:t>提供由中国信息安全认证中心按国家标准认证颁发的有效认证证书。</w:t>
            </w:r>
          </w:p>
          <w:p>
            <w:pPr>
              <w:spacing w:line="360" w:lineRule="auto"/>
              <w:jc w:val="left"/>
              <w:rPr>
                <w:rFonts w:hint="eastAsia" w:ascii="宋体" w:hAnsi="宋体" w:eastAsia="宋体" w:cs="宋体"/>
                <w:color w:val="FF0000"/>
                <w:spacing w:val="2"/>
                <w:kern w:val="0"/>
                <w:szCs w:val="21"/>
              </w:rPr>
            </w:pPr>
            <w:r>
              <w:rPr>
                <w:rFonts w:hint="eastAsia" w:ascii="宋体" w:hAnsi="宋体" w:eastAsia="宋体" w:cs="宋体"/>
                <w:color w:val="000000" w:themeColor="text1"/>
                <w:spacing w:val="2"/>
                <w:kern w:val="0"/>
                <w:szCs w:val="21"/>
                <w:lang w:val="en-US" w:eastAsia="zh-CN"/>
                <w14:textFill>
                  <w14:solidFill>
                    <w14:schemeClr w14:val="tx1"/>
                  </w14:solidFill>
                </w14:textFill>
              </w:rPr>
              <w:t>10、</w:t>
            </w:r>
            <w:r>
              <w:rPr>
                <w:rFonts w:hint="eastAsia" w:ascii="宋体" w:hAnsi="宋体" w:eastAsia="宋体" w:cs="宋体"/>
                <w:color w:val="000000" w:themeColor="text1"/>
                <w:spacing w:val="2"/>
                <w:kern w:val="0"/>
                <w:szCs w:val="21"/>
                <w14:textFill>
                  <w14:solidFill>
                    <w14:schemeClr w14:val="tx1"/>
                  </w14:solidFill>
                </w14:textFill>
              </w:rPr>
              <w:t>投标产品已列入《市场监管总局关于优化强制性产品认证目录的公告》【2020年第18号】的产品必须提供通过国家3C认证的有关证明材料。</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1.10.1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实质性要求</w:t>
            </w:r>
          </w:p>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和提交</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right="24"/>
              <w:jc w:val="left"/>
              <w:rPr>
                <w:rFonts w:hint="eastAsia" w:ascii="宋体" w:hAnsi="宋体" w:eastAsia="宋体" w:cs="宋体"/>
                <w:bCs/>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 xml:space="preserve">以下内容为采购文件的实质性要求和条件，供应商存在下列情况之一的，投标无效：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（1） 投标文件未按采购文件要求签署或盖章的，或无法定代表人签字，或签字人无法定代表人有效授权的；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（2） 不具备采购文件中规定的资格要求，采购人或采购代理机构资格审查不合格的；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（3） 报价不唯一，出现有选择的报价或替代方案的；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（4） 报价超过采购文件中规定的预算金额或者最高限价的；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（5） 投标有效期不足的；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（6） 交货期不满足采购文件要求的；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（7） 质保期不满足采购文件要求的；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（8） 付款条件不满足采购文件要求的；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（9） 投标文件含有采购人不能接受的附加条件的；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（11） 法律、法规和采购文件规定的其他无效情形。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（12）不同供应商的电子投标（响应）文件上传计算机的网卡MAC地址、CPU序列号和硬盘序列号等硬件信息相同的；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（13）不同供应商的投标（响应）文件由同一电子设备编制、打印加密或者上传；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（14）不同供应商的投标（响应）文件由同一电子设备打印、复印；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（15）不同供应商的投标（响应）文件由同一人送达或者分发，或者不同供应商联系人为同一人或不同联系人的联系电话一致的；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（16）不同供应商的投标（响应）文件的内容存在两处以上细节错误一致；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（17）不同供应商的法定代表人、委托代理人、项目经理、项目负责人等由同一个单位缴纳社会保险或者领取报酬的；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（18）不同供应商投标（响应）文件中法定代表人或者负责人签字出自同一人之手；</w:t>
            </w:r>
          </w:p>
          <w:p>
            <w:pPr>
              <w:kinsoku w:val="0"/>
              <w:overflowPunct w:val="0"/>
              <w:autoSpaceDE w:val="0"/>
              <w:autoSpaceDN w:val="0"/>
              <w:adjustRightInd w:val="0"/>
              <w:spacing w:line="360" w:lineRule="auto"/>
              <w:ind w:right="2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（19）其它涉嫌串通的情形。</w:t>
            </w:r>
            <w:r>
              <w:rPr>
                <w:rFonts w:hint="eastAsia" w:ascii="宋体" w:hAnsi="宋体" w:eastAsia="宋体" w:cs="宋体"/>
                <w:bCs/>
                <w:color w:val="000000" w:themeColor="text1"/>
                <w:kern w:val="0"/>
                <w:szCs w:val="21"/>
                <w14:textFill>
                  <w14:solidFill>
                    <w14:schemeClr w14:val="tx1"/>
                  </w14:solidFill>
                </w14:textFill>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投标语言</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left="10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供应商提交的投标文件以及供应商与招标方就有关投标的所有来往函电均应使用中文书写。供应商提供的外文资料应附有相应中文译本，并以中文译本为准。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计量单位</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ind w:firstLine="89" w:firstLineChars="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16"/>
                <w:kern w:val="0"/>
                <w:szCs w:val="21"/>
                <w14:textFill>
                  <w14:solidFill>
                    <w14:schemeClr w14:val="tx1"/>
                  </w14:solidFill>
                </w14:textFill>
              </w:rPr>
              <w:t>除在采购文件的技术规格中另有规定外，计量单位应使用中华人民</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spacing w:val="-12"/>
                <w:kern w:val="0"/>
                <w:szCs w:val="21"/>
                <w14:textFill>
                  <w14:solidFill>
                    <w14:schemeClr w14:val="tx1"/>
                  </w14:solidFill>
                </w14:textFill>
              </w:rPr>
              <w:t>共和国法定计量单位。</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根据采购文件规定的供货、服务和责任范围，供应商应对投标内容进行总报价。供应商提供的投标报价</w:t>
            </w:r>
            <w:r>
              <w:rPr>
                <w:rFonts w:hint="eastAsia" w:ascii="宋体" w:hAnsi="宋体" w:eastAsia="宋体" w:cs="宋体"/>
                <w:color w:val="000000" w:themeColor="text1"/>
                <w:kern w:val="0"/>
                <w:szCs w:val="21"/>
                <w14:textFill>
                  <w14:solidFill>
                    <w14:schemeClr w14:val="tx1"/>
                  </w14:solidFill>
                </w14:textFill>
              </w:rPr>
              <w:t>包括但不限于此次设备采购、安装、调试与试运行、检测、验收和质量保修</w:t>
            </w:r>
            <w:r>
              <w:rPr>
                <w:rFonts w:hint="eastAsia" w:ascii="宋体" w:hAnsi="宋体" w:eastAsia="宋体" w:cs="宋体"/>
                <w:color w:val="000000" w:themeColor="text1"/>
                <w:spacing w:val="-3"/>
                <w:kern w:val="0"/>
                <w:szCs w:val="21"/>
                <w14:textFill>
                  <w14:solidFill>
                    <w14:schemeClr w14:val="tx1"/>
                  </w14:solidFill>
                </w14:textFill>
              </w:rPr>
              <w:t>等及其他伴随服务。供</w:t>
            </w:r>
            <w:r>
              <w:rPr>
                <w:rFonts w:hint="eastAsia" w:ascii="宋体" w:hAnsi="宋体" w:eastAsia="宋体" w:cs="宋体"/>
                <w:color w:val="000000" w:themeColor="text1"/>
                <w:spacing w:val="-110"/>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应商未单独列明的分项价格将视该项目的费用已包含在其他分项</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中，合同执行中不另行支付。对采购文件中未详细列明的，但为</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保证项目正常运行所需要的所有附件、零部件等费用均</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计入投标总价中。</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投标货币</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人民币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00" w:lineRule="auto"/>
              <w:ind w:right="12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项目预算及招 标控制价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本项目预算价及招标控制价</w:t>
            </w:r>
            <w:r>
              <w:rPr>
                <w:rFonts w:hint="eastAsia" w:ascii="宋体" w:hAnsi="宋体" w:eastAsia="宋体" w:cs="宋体"/>
                <w:b/>
                <w:color w:val="000000" w:themeColor="text1"/>
                <w:kern w:val="0"/>
                <w:szCs w:val="21"/>
                <w:lang w:eastAsia="zh-CN"/>
                <w14:textFill>
                  <w14:solidFill>
                    <w14:schemeClr w14:val="tx1"/>
                  </w14:solidFill>
                </w14:textFill>
              </w:rPr>
              <w:t>：</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耳鼻喉图文工作站</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r>
              <w:rPr>
                <w:rFonts w:hint="eastAsia" w:ascii="宋体" w:hAnsi="宋体" w:eastAsia="宋体" w:cs="宋体"/>
                <w:color w:val="000000" w:themeColor="text1"/>
                <w:kern w:val="0"/>
                <w:szCs w:val="21"/>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便携式彩色多普勒超声系统</w:t>
            </w:r>
            <w:r>
              <w:rPr>
                <w:rFonts w:hint="eastAsia" w:ascii="宋体" w:hAnsi="宋体" w:eastAsia="宋体" w:cs="宋体"/>
                <w:color w:val="000000" w:themeColor="text1"/>
                <w:kern w:val="0"/>
                <w:szCs w:val="21"/>
                <w:lang w:eastAsia="zh-CN"/>
                <w14:textFill>
                  <w14:solidFill>
                    <w14:schemeClr w14:val="tx1"/>
                  </w14:solidFill>
                </w14:textFill>
              </w:rPr>
              <w:t>：</w:t>
            </w:r>
            <w:r>
              <w:rPr>
                <w:rFonts w:hint="default" w:ascii="宋体" w:hAnsi="宋体" w:eastAsia="宋体" w:cs="宋体"/>
                <w:color w:val="000000" w:themeColor="text1"/>
                <w:kern w:val="0"/>
                <w:szCs w:val="21"/>
                <w:lang w:val="en-US" w:eastAsia="zh-CN"/>
                <w14:textFill>
                  <w14:solidFill>
                    <w14:schemeClr w14:val="tx1"/>
                  </w14:solidFill>
                </w14:textFill>
              </w:rPr>
              <w:t>980000</w:t>
            </w:r>
            <w:r>
              <w:rPr>
                <w:rFonts w:hint="eastAsia" w:ascii="宋体" w:hAnsi="宋体" w:eastAsia="宋体" w:cs="宋体"/>
                <w:color w:val="000000" w:themeColor="text1"/>
                <w:kern w:val="0"/>
                <w:szCs w:val="21"/>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眼</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表综合分析仪：</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450000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心肺转流离心系统（ECMO）：</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1500000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静息代谢测试仪：</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350000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麻醉机：</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200000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电动移位机：</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350000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供应商投标报价超出预算价及招标控制价的按无效标处理</w:t>
            </w:r>
            <w:r>
              <w:rPr>
                <w:rFonts w:hint="eastAsia" w:ascii="宋体" w:hAnsi="宋体" w:eastAsia="宋体" w:cs="宋体"/>
                <w:color w:val="000000" w:themeColor="text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投标有效期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auto"/>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90日历天</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投标保证金</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本项目不需要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21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3.7.2 </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12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资格证明材料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color w:val="auto"/>
              </w:rPr>
            </w:pPr>
            <w:r>
              <w:rPr>
                <w:rFonts w:hint="eastAsia"/>
                <w:color w:val="auto"/>
              </w:rPr>
              <w:t>参加本项目政府采购活动的供应商应具备政府采购法二十二条和本项目采 购文件规定的条件，应当提供以下要求的证明材料，未按要求提供或提供 不全的按无效标处理。</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color w:val="auto"/>
              </w:rPr>
            </w:pPr>
            <w:r>
              <w:rPr>
                <w:rFonts w:hint="eastAsia"/>
                <w:color w:val="auto"/>
                <w:lang w:eastAsia="zh-CN"/>
              </w:rPr>
              <w:t>一、</w:t>
            </w:r>
            <w:r>
              <w:rPr>
                <w:rFonts w:hint="eastAsia"/>
                <w:color w:val="auto"/>
              </w:rPr>
              <w:t xml:space="preserve">资格申明（提供资格声明）；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二、</w:t>
            </w:r>
            <w:r>
              <w:rPr>
                <w:rFonts w:hint="eastAsia"/>
              </w:rPr>
              <w:t xml:space="preserve">供应商符合《中华人民共和国政府采购法》第二十二条的要求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以上（1）（2）（3）（4）（5）条款提供承诺书，格式自拟。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三、</w:t>
            </w:r>
            <w:r>
              <w:rPr>
                <w:rFonts w:hint="eastAsia"/>
                <w:lang w:val="en-US" w:eastAsia="zh-CN"/>
              </w:rPr>
              <w:t>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r>
              <w:rPr>
                <w:rFonts w:hint="eastAsia"/>
              </w:rPr>
              <w:t>。</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lang w:eastAsia="zh-CN"/>
              </w:rPr>
            </w:pPr>
            <w:r>
              <w:rPr>
                <w:rFonts w:hint="eastAsia"/>
                <w:lang w:val="en-US" w:eastAsia="zh-CN"/>
              </w:rPr>
              <w:t>四、投标产品须符合中华人民共和国国务院令第739号《医疗器械监督管理条例》相关规定，应具有有效期内的医疗器械注册证或医疗器械产品备案凭证。</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lang w:val="en-US" w:eastAsia="zh-CN"/>
              </w:rPr>
            </w:pPr>
            <w:r>
              <w:rPr>
                <w:rFonts w:hint="eastAsia"/>
                <w:lang w:val="en-US" w:eastAsia="zh-CN"/>
              </w:rPr>
              <w:t>五、</w:t>
            </w:r>
            <w:r>
              <w:rPr>
                <w:rFonts w:hint="eastAsia"/>
              </w:rPr>
              <w:t>单位负责人为同一人或者存在直接控股、管理关系的不同供应商， 不得参加同一合同项下</w:t>
            </w:r>
            <w:r>
              <w:rPr>
                <w:rFonts w:hint="eastAsia"/>
                <w:lang w:eastAsia="zh-CN"/>
              </w:rPr>
              <w:t>同一标段</w:t>
            </w:r>
            <w:r>
              <w:rPr>
                <w:rFonts w:hint="eastAsia"/>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rPr>
              <w:t>】 【以上各项要求中，如有供</w:t>
            </w:r>
            <w:r>
              <w:rPr>
                <w:rFonts w:hint="eastAsia"/>
                <w:lang w:val="en-US" w:eastAsia="zh-CN"/>
              </w:rPr>
              <w:t>应商成立时限不足要求时限的，由供应商根据自身成立时间提供证明资料】。</w:t>
            </w:r>
          </w:p>
          <w:p>
            <w:pPr>
              <w:numPr>
                <w:ilvl w:val="-1"/>
                <w:numId w:val="0"/>
              </w:numPr>
              <w:kinsoku/>
              <w:wordWrap w:val="0"/>
              <w:overflowPunct/>
              <w:autoSpaceDE w:val="0"/>
              <w:autoSpaceDN w:val="0"/>
              <w:adjustRightInd w:val="0"/>
              <w:spacing w:line="360" w:lineRule="auto"/>
              <w:ind w:left="0" w:leftChars="0" w:firstLine="0" w:firstLineChars="0"/>
              <w:jc w:val="left"/>
              <w:rPr>
                <w:rFonts w:hint="default"/>
                <w:lang w:val="en-US" w:eastAsia="zh-CN"/>
              </w:rPr>
            </w:pPr>
            <w:r>
              <w:rPr>
                <w:rFonts w:hint="eastAsia"/>
                <w:lang w:val="en-US" w:eastAsia="zh-CN"/>
              </w:rPr>
              <w:t>六、根据《关于在政府采购活动中查询及使用信用记录有关问题的通知》(财库[2016]125号) 和豫财购[2016]15号的规定，对列入失信被执行人、重大税收违法失信主体、政府采购严重违法失信行为记录名单的企业，拒绝参与本项目政府采购活动（查询渠道：“信用中国”网站（www.creditchina.gov.cn）查询：列入失信被执行人、重大税收违法失信主体、中国政府采购网（www.ccgp.gov.cn）：政府采购严重违法失信行为记录名单）注：采购代理机构在开标当天将对所有参与本项目投标的供应商的信用情况（失信被执行人、重大税收违法失信主体、政府采购严重违法失信行为记录名单）进行查询、打印留存。若在开标当天查询到供应商有相关负面信息的，则该供应商为无效供应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3.9.3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投标文件其他要求</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3"/>
              </w:num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投标文件份数：</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①纸质版:不提供;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②加密的电子投标文件1份（*.ZZTF 格式）。加密的电子投标文件是指通过郑州市公共资源交易中心网站（</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http</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s</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://zzggzy.zhengzhou.gov.cn/</w:t>
            </w:r>
            <w:r>
              <w:rPr>
                <w:rFonts w:hint="eastAsia" w:ascii="宋体" w:hAnsi="宋体" w:eastAsia="宋体" w:cs="宋体"/>
                <w:color w:val="000000" w:themeColor="text1"/>
                <w:spacing w:val="6"/>
                <w:kern w:val="0"/>
                <w:szCs w:val="21"/>
                <w14:textFill>
                  <w14:solidFill>
                    <w14:schemeClr w14:val="tx1"/>
                  </w14:solidFill>
                </w14:textFill>
              </w:rPr>
              <w:t xml:space="preserve">）提供的投标文件制作工具软件，制作生成的加密版投标文件（*.ZZTF格式）；未在投标截止时间前上传的，采购人不予受理。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（二）签字或盖章要求：</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所有要求供应商加盖公章的地方都应用供应商单位的 CA 密匙盖电子签章；所有要求法定代表人或其委托代理人个人电子签字或签字的地方都应用法定代表人或其委托代理人的CA密匙盖电子签章或签字，如供应商的法定代表人或委托代理人未办理CA密匙的，供应商也可将法定代表人或其委托代理人签字或盖章的地方用法定代表人或委托代理人签字或盖章后的扫描图片替换到相应格式中。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关于投标文件中的“个人电子签章或签字”，供应商法定代表人或委托代理人无论何种形式的签章或签字均可（包含直接用CA密匙电子签章或人工签字扫描上传或其他形式的个人电子签章或签字）</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4.2.1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color w:val="auto"/>
                <w:kern w:val="0"/>
                <w:szCs w:val="21"/>
                <w:highlight w:val="none"/>
              </w:rPr>
              <w:t xml:space="preserve">投标截止时间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b/>
                <w:bCs/>
                <w:color w:val="auto"/>
                <w:kern w:val="0"/>
                <w:szCs w:val="21"/>
                <w:highlight w:val="none"/>
              </w:rPr>
              <w:t>202</w:t>
            </w:r>
            <w:r>
              <w:rPr>
                <w:rFonts w:hint="eastAsia"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rPr>
              <w:t>年</w:t>
            </w:r>
            <w:r>
              <w:rPr>
                <w:rFonts w:hint="eastAsia" w:ascii="宋体" w:hAnsi="宋体" w:eastAsia="宋体" w:cs="宋体"/>
                <w:b/>
                <w:bCs/>
                <w:color w:val="auto"/>
                <w:kern w:val="0"/>
                <w:szCs w:val="21"/>
                <w:highlight w:val="none"/>
                <w:lang w:val="en-US" w:eastAsia="zh-CN"/>
              </w:rPr>
              <w:t>11</w:t>
            </w:r>
            <w:r>
              <w:rPr>
                <w:rFonts w:hint="eastAsia" w:ascii="宋体" w:hAnsi="宋体" w:eastAsia="宋体" w:cs="宋体"/>
                <w:b/>
                <w:bCs/>
                <w:color w:val="auto"/>
                <w:kern w:val="0"/>
                <w:szCs w:val="21"/>
                <w:highlight w:val="none"/>
              </w:rPr>
              <w:t>月</w:t>
            </w:r>
            <w:r>
              <w:rPr>
                <w:rFonts w:hint="eastAsia" w:ascii="宋体" w:hAnsi="宋体" w:eastAsia="宋体" w:cs="宋体"/>
                <w:b/>
                <w:bCs/>
                <w:color w:val="auto"/>
                <w:kern w:val="0"/>
                <w:szCs w:val="21"/>
                <w:highlight w:val="none"/>
                <w:lang w:val="en-US" w:eastAsia="zh-CN"/>
              </w:rPr>
              <w:t>29</w:t>
            </w:r>
            <w:r>
              <w:rPr>
                <w:rFonts w:hint="eastAsia" w:ascii="宋体" w:hAnsi="宋体" w:eastAsia="宋体" w:cs="宋体"/>
                <w:b/>
                <w:bCs/>
                <w:color w:val="auto"/>
                <w:kern w:val="0"/>
                <w:szCs w:val="21"/>
                <w:highlight w:val="none"/>
              </w:rPr>
              <w:t>日10:00（北京时间）</w:t>
            </w:r>
            <w:r>
              <w:rPr>
                <w:rFonts w:hint="eastAsia" w:ascii="宋体" w:hAnsi="宋体" w:eastAsia="宋体" w:cs="宋体"/>
                <w:b/>
                <w:bCs/>
                <w:color w:val="auto"/>
                <w:w w:val="99"/>
                <w:kern w:val="0"/>
                <w:szCs w:val="21"/>
                <w:highlight w:val="none"/>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投标文件</w:t>
            </w:r>
          </w:p>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递交地点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郑州市公共资源交易中心门户网站远程开标大厅（http</w:t>
            </w:r>
            <w:r>
              <w:rPr>
                <w:rFonts w:hint="eastAsia" w:ascii="宋体" w:hAnsi="宋体" w:eastAsia="宋体" w:cs="宋体"/>
                <w:color w:val="auto"/>
                <w:kern w:val="0"/>
                <w:szCs w:val="21"/>
                <w:lang w:val="en-US" w:eastAsia="zh-CN"/>
              </w:rPr>
              <w:t>s</w:t>
            </w:r>
            <w:r>
              <w:rPr>
                <w:rFonts w:hint="eastAsia" w:ascii="宋体" w:hAnsi="宋体" w:eastAsia="宋体" w:cs="宋体"/>
                <w:color w:val="auto"/>
                <w:kern w:val="0"/>
                <w:szCs w:val="21"/>
              </w:rPr>
              <w:t>://zzggzy.zhengzhou.gov.cn/BidOpening）</w:t>
            </w:r>
          </w:p>
        </w:tc>
      </w:tr>
      <w:tr>
        <w:tblPrEx>
          <w:tblCellMar>
            <w:top w:w="0" w:type="dxa"/>
            <w:left w:w="0" w:type="dxa"/>
            <w:bottom w:w="0" w:type="dxa"/>
            <w:right w:w="0" w:type="dxa"/>
          </w:tblCellMar>
        </w:tblPrEx>
        <w:trPr>
          <w:trHeight w:val="90"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5.1.1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开标时间：同投标截止时间</w:t>
            </w:r>
          </w:p>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开标地点：郑州市公共资源交易中心门户网站远程开标大厅（http</w:t>
            </w:r>
            <w:r>
              <w:rPr>
                <w:rFonts w:hint="eastAsia" w:ascii="宋体" w:hAnsi="宋体" w:eastAsia="宋体" w:cs="宋体"/>
                <w:color w:val="000000" w:themeColor="text1"/>
                <w:kern w:val="0"/>
                <w:szCs w:val="21"/>
                <w:lang w:val="en-US" w:eastAsia="zh-CN"/>
                <w14:textFill>
                  <w14:solidFill>
                    <w14:schemeClr w14:val="tx1"/>
                  </w14:solidFill>
                </w14:textFill>
              </w:rPr>
              <w:t>s</w:t>
            </w:r>
            <w:r>
              <w:rPr>
                <w:rFonts w:hint="eastAsia" w:ascii="宋体" w:hAnsi="宋体" w:eastAsia="宋体" w:cs="宋体"/>
                <w:color w:val="000000" w:themeColor="text1"/>
                <w:kern w:val="0"/>
                <w:szCs w:val="21"/>
                <w14:textFill>
                  <w14:solidFill>
                    <w14:schemeClr w14:val="tx1"/>
                  </w14:solidFill>
                </w14:textFill>
              </w:rPr>
              <w:t xml:space="preserve">://zzggzy.zhengzhou.gov.cn/BidOpening）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5.2</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资格审查</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rPr>
              <w:t>采购人或采购代理机构</w:t>
            </w:r>
            <w:r>
              <w:rPr>
                <w:rFonts w:hint="eastAsia" w:ascii="宋体" w:hAnsi="宋体" w:eastAsia="宋体" w:cs="宋体"/>
                <w:color w:val="000000" w:themeColor="text1"/>
                <w:spacing w:val="-8"/>
                <w:kern w:val="0"/>
                <w:szCs w:val="21"/>
                <w14:textFill>
                  <w14:solidFill>
                    <w14:schemeClr w14:val="tx1"/>
                  </w14:solidFill>
                </w14:textFill>
              </w:rPr>
              <w:t>对供应商的资格进行审查。</w:t>
            </w:r>
            <w:r>
              <w:rPr>
                <w:rFonts w:hint="eastAsia" w:ascii="宋体" w:hAnsi="宋体" w:eastAsia="宋体" w:cs="宋体"/>
                <w:color w:val="000000" w:themeColor="text1"/>
                <w:spacing w:val="-97"/>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资格审查内容及标准见采购文件。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5.3.1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评标委员会</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rPr>
                <w:rFonts w:hint="eastAsia" w:ascii="宋体" w:hAnsi="宋体" w:eastAsia="宋体" w:cs="宋体"/>
                <w:color w:val="auto"/>
                <w:kern w:val="0"/>
                <w:szCs w:val="21"/>
                <w:lang w:val="en-US" w:eastAsia="zh-CN"/>
              </w:rPr>
            </w:pPr>
            <w:r>
              <w:rPr>
                <w:rFonts w:hint="eastAsia" w:ascii="宋体" w:hAnsi="宋体" w:eastAsia="宋体" w:cs="宋体"/>
                <w:color w:val="auto"/>
                <w:spacing w:val="-4"/>
                <w:kern w:val="0"/>
                <w:szCs w:val="21"/>
              </w:rPr>
              <w:t>采购人将根据招标采购设备的特点依法组建</w:t>
            </w:r>
            <w:r>
              <w:rPr>
                <w:rFonts w:hint="eastAsia" w:ascii="宋体" w:hAnsi="宋体" w:eastAsia="宋体" w:cs="宋体"/>
                <w:color w:val="auto"/>
                <w:spacing w:val="-4"/>
                <w:kern w:val="0"/>
                <w:szCs w:val="21"/>
                <w:lang w:val="en-US" w:eastAsia="zh-CN"/>
              </w:rPr>
              <w:t>5</w:t>
            </w:r>
            <w:r>
              <w:rPr>
                <w:rFonts w:hint="eastAsia" w:ascii="宋体" w:hAnsi="宋体" w:eastAsia="宋体" w:cs="宋体"/>
                <w:color w:val="auto"/>
                <w:spacing w:val="-4"/>
                <w:kern w:val="0"/>
                <w:szCs w:val="21"/>
              </w:rPr>
              <w:t>人评标委员会，</w:t>
            </w:r>
            <w:r>
              <w:rPr>
                <w:rFonts w:hint="eastAsia" w:ascii="宋体" w:hAnsi="宋体" w:eastAsia="宋体" w:cs="宋体"/>
                <w:color w:val="auto"/>
                <w:kern w:val="0"/>
                <w:szCs w:val="21"/>
              </w:rPr>
              <w:t>其中</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val="en-US" w:eastAsia="zh-CN"/>
              </w:rPr>
              <w:t>4人，采购人代表1人，</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eastAsia="zh-CN"/>
              </w:rPr>
              <w:t>由河南省政府采购评审专家库中随机抽取</w:t>
            </w:r>
            <w:r>
              <w:rPr>
                <w:rFonts w:hint="eastAsia" w:ascii="宋体" w:hAnsi="宋体" w:eastAsia="宋体" w:cs="宋体"/>
                <w:color w:val="auto"/>
                <w:kern w:val="0"/>
                <w:szCs w:val="21"/>
                <w:lang w:val="en-US" w:eastAsia="zh-CN"/>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评标方法</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综合评分法</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5.3.4</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525" w:firstLineChars="2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同品牌</w:t>
            </w:r>
          </w:p>
          <w:p>
            <w:pPr>
              <w:kinsoku w:val="0"/>
              <w:overflowPunct w:val="0"/>
              <w:autoSpaceDE w:val="0"/>
              <w:autoSpaceDN w:val="0"/>
              <w:adjustRightInd w:val="0"/>
              <w:spacing w:before="1" w:line="360" w:lineRule="exact"/>
              <w:ind w:hanging="6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产品评审</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出现多个供应商提供相同品牌产品的，按以下原则进行评审：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（1）单一产品采购项目，提供相同品牌产品且通过资格审查、符合性审查的不同供应商参加同一合同项下投标的，按一家供应</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商计算，评审后得分最高的同品牌供应商获得中标人推荐资格；</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评审得分相同的，投标报价低的供应商获得中标人推荐资格；投</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标报价也相同的，采取随机抽取方式确定一家供应商获得中标人</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推荐资格，其他同品牌供应商不作为中标候选人。</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非单一产品采购项目，采购人将根据采购项目技术构成、产品价格比重等合理确定核心产品，确定的核心产品见招标文件。多家供应商提供的核心产品品牌相同，且通过资格审查、符合性审查的不同供应商参加同一合同项下投标的，按一家供应商计算，评审后得分最高的同品牌供应商获得中标人推荐资格；评审得分相同的，投标报价低的供应商获得中标人推荐资格；投标报价也相同的，采取随机抽取方式确定一家供应商获得中标人推荐资格，其他同品牌供应商不作为中标候选人。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招标公告</w:t>
            </w:r>
          </w:p>
          <w:p>
            <w:pPr>
              <w:kinsoku w:val="0"/>
              <w:overflowPunct w:val="0"/>
              <w:autoSpaceDE w:val="0"/>
              <w:autoSpaceDN w:val="0"/>
              <w:adjustRightInd w:val="0"/>
              <w:spacing w:before="1"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发布媒介</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《河南省政府采购网》、《郑州市公共资源交易中心网》</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6.6.1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签订合同</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采购人应当自中标通知书发出之日起2个工作日内，按照采购文件和中标人投标文件的规定，与中标人签订书面合同。所签订的合</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同不得对采购文件确定的事项和中标人投标文件作实质性修改。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7"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接收质疑函</w:t>
            </w:r>
          </w:p>
          <w:p>
            <w:pPr>
              <w:kinsoku w:val="0"/>
              <w:overflowPunct w:val="0"/>
              <w:autoSpaceDE w:val="0"/>
              <w:autoSpaceDN w:val="0"/>
              <w:adjustRightInd w:val="0"/>
              <w:spacing w:before="4" w:line="360" w:lineRule="exact"/>
              <w:ind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的方式</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供应商应在法定质疑期内以书面形式向采购人、采购代理机</w:t>
            </w:r>
            <w:r>
              <w:rPr>
                <w:rFonts w:hint="eastAsia" w:ascii="宋体" w:hAnsi="宋体" w:eastAsia="宋体" w:cs="宋体"/>
                <w:color w:val="000000" w:themeColor="text1"/>
                <w:spacing w:val="1"/>
                <w:kern w:val="0"/>
                <w:szCs w:val="21"/>
                <w14:textFill>
                  <w14:solidFill>
                    <w14:schemeClr w14:val="tx1"/>
                  </w14:solidFill>
                </w14:textFill>
              </w:rPr>
              <w:t>构</w:t>
            </w:r>
            <w:r>
              <w:rPr>
                <w:rFonts w:hint="eastAsia" w:ascii="宋体" w:hAnsi="宋体" w:eastAsia="宋体" w:cs="宋体"/>
                <w:color w:val="000000" w:themeColor="text1"/>
                <w:kern w:val="0"/>
                <w:szCs w:val="21"/>
                <w14:textFill>
                  <w14:solidFill>
                    <w14:schemeClr w14:val="tx1"/>
                  </w14:solidFill>
                </w14:textFill>
              </w:rPr>
              <w:t>递交质疑函原件（不接受邮寄、电报</w:t>
            </w:r>
            <w:r>
              <w:rPr>
                <w:rFonts w:hint="eastAsia" w:ascii="宋体" w:hAnsi="宋体" w:eastAsia="宋体" w:cs="宋体"/>
                <w:color w:val="000000" w:themeColor="text1"/>
                <w:spacing w:val="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电传、传真、电子数据交换和电子邮件）</w:t>
            </w:r>
            <w:r>
              <w:rPr>
                <w:rFonts w:hint="eastAsia" w:ascii="宋体" w:hAnsi="宋体" w:eastAsia="宋体" w:cs="宋体"/>
                <w:color w:val="000000" w:themeColor="text1"/>
                <w:spacing w:val="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质疑函接收</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联系事宜</w:t>
            </w:r>
          </w:p>
        </w:tc>
        <w:tc>
          <w:tcPr>
            <w:tcW w:w="6786" w:type="dxa"/>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代理机构：河南省机电设备国际招标有限公司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地址：郑州市管城区黄河南路与商都路交汇处西南角财信大厦14-15层</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联系人：张照明、王恺</w:t>
            </w:r>
            <w:r>
              <w:rPr>
                <w:rFonts w:hint="eastAsia" w:ascii="宋体" w:hAnsi="宋体" w:eastAsia="宋体" w:cs="宋体"/>
                <w:color w:val="000000" w:themeColor="text1"/>
                <w:kern w:val="0"/>
                <w:szCs w:val="21"/>
                <w14:textFill>
                  <w14:solidFill>
                    <w14:schemeClr w14:val="tx1"/>
                  </w14:solidFill>
                </w14:textFill>
              </w:rPr>
              <w:tab/>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电话：0371-65949196</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电子邮箱：zhaobiao04@163.com</w:t>
            </w:r>
          </w:p>
        </w:tc>
      </w:tr>
      <w:tr>
        <w:tblPrEx>
          <w:tblCellMar>
            <w:top w:w="0" w:type="dxa"/>
            <w:left w:w="0" w:type="dxa"/>
            <w:bottom w:w="0" w:type="dxa"/>
            <w:right w:w="0" w:type="dxa"/>
          </w:tblCellMar>
        </w:tblPrEx>
        <w:trPr>
          <w:trHeight w:val="740" w:hRule="atLeast"/>
          <w:jc w:val="center"/>
        </w:trPr>
        <w:tc>
          <w:tcPr>
            <w:tcW w:w="1029" w:type="dxa"/>
            <w:vMerge w:val="restart"/>
            <w:tcBorders>
              <w:top w:val="single" w:color="auto" w:sz="4" w:space="0"/>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tc>
        <w:tc>
          <w:tcPr>
            <w:tcW w:w="1703" w:type="dxa"/>
            <w:tcBorders>
              <w:top w:val="single" w:color="000000" w:sz="4" w:space="0"/>
              <w:left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招标代理费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招标代理服务费由中标人承担。参考河南省招标投标协会（豫招协[2023]</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szCs w:val="21"/>
                <w:highlight w:val="none"/>
              </w:rPr>
              <w:t>002号）文规定的计费方式，收取招标代理服务费。</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360" w:lineRule="auto"/>
              <w:jc w:val="center"/>
              <w:rPr>
                <w:rFonts w:hint="eastAsia" w:ascii="宋体" w:hAnsi="宋体"/>
                <w:color w:val="auto"/>
                <w:szCs w:val="21"/>
                <w:highlight w:val="none"/>
              </w:rPr>
            </w:pPr>
            <w:r>
              <w:rPr>
                <w:rFonts w:hint="eastAsia" w:ascii="宋体" w:hAnsi="宋体"/>
                <w:color w:val="auto"/>
                <w:szCs w:val="21"/>
                <w:highlight w:val="none"/>
              </w:rPr>
              <w:t>付款方式</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color w:val="auto"/>
                <w:szCs w:val="21"/>
                <w:highlight w:val="none"/>
              </w:rPr>
            </w:pPr>
            <w:r>
              <w:rPr>
                <w:rFonts w:hint="eastAsia" w:ascii="宋体" w:hAnsi="宋体"/>
                <w:color w:val="auto"/>
                <w:szCs w:val="21"/>
                <w:highlight w:val="none"/>
              </w:rPr>
              <w:t>付款方式为合同签订后，设备到货验收合格后付设备总货款的95%，设备安装调试验收合格、正常使用满一年后甲方向乙方无息支付总货款5%。</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履约验收</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根据验收申请，甲方组织相关人员进行正式验收，也可 以根据实际需要增加出厂检验、安装调试检验等多种验收环节，特殊情况下可以组织第三方共同验收。</w:t>
            </w:r>
          </w:p>
        </w:tc>
      </w:tr>
      <w:tr>
        <w:tblPrEx>
          <w:tblCellMar>
            <w:top w:w="0" w:type="dxa"/>
            <w:left w:w="0" w:type="dxa"/>
            <w:bottom w:w="0" w:type="dxa"/>
            <w:right w:w="0" w:type="dxa"/>
          </w:tblCellMar>
        </w:tblPrEx>
        <w:trPr>
          <w:jc w:val="center"/>
        </w:trPr>
        <w:tc>
          <w:tcPr>
            <w:tcW w:w="1029" w:type="dxa"/>
            <w:vMerge w:val="continue"/>
            <w:tcBorders>
              <w:left w:val="single" w:color="auto" w:sz="4" w:space="0"/>
              <w:bottom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行业</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spacing w:val="0"/>
                <w:kern w:val="0"/>
                <w:szCs w:val="21"/>
                <w:lang w:val="en-US" w:eastAsia="zh-CN"/>
                <w14:textFill>
                  <w14:solidFill>
                    <w14:schemeClr w14:val="tx1"/>
                  </w14:solidFill>
                </w14:textFill>
              </w:rPr>
            </w:pPr>
            <w:r>
              <w:rPr>
                <w:rFonts w:hint="eastAsia" w:ascii="宋体" w:hAnsi="宋体" w:eastAsia="宋体" w:cs="宋体"/>
                <w:color w:val="000000" w:themeColor="text1"/>
                <w:spacing w:val="-3"/>
                <w:kern w:val="0"/>
                <w:szCs w:val="21"/>
                <w:lang w:eastAsia="zh-CN"/>
                <w14:textFill>
                  <w14:solidFill>
                    <w14:schemeClr w14:val="tx1"/>
                  </w14:solidFill>
                </w14:textFill>
              </w:rPr>
              <w:t>本次</w:t>
            </w:r>
            <w:r>
              <w:rPr>
                <w:rFonts w:hint="eastAsia" w:ascii="宋体" w:hAnsi="宋体" w:eastAsia="宋体" w:cs="宋体"/>
                <w:color w:val="000000" w:themeColor="text1"/>
                <w:spacing w:val="-3"/>
                <w:kern w:val="0"/>
                <w:szCs w:val="21"/>
                <w14:textFill>
                  <w14:solidFill>
                    <w14:schemeClr w14:val="tx1"/>
                  </w14:solidFill>
                </w14:textFill>
              </w:rPr>
              <w:t>采购标的对应的中小企业划分标准所属行业均为工业。</w:t>
            </w:r>
          </w:p>
        </w:tc>
      </w:tr>
    </w:tbl>
    <w:p>
      <w:pPr>
        <w:autoSpaceDE w:val="0"/>
        <w:autoSpaceDN w:val="0"/>
        <w:adjustRightInd w:val="0"/>
        <w:spacing w:line="360" w:lineRule="exact"/>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440" w:right="940" w:bottom="1220" w:left="1100" w:header="0" w:footer="1009" w:gutter="0"/>
          <w:pgNumType w:fmt="numberInDash"/>
          <w:cols w:space="720" w:num="1"/>
        </w:sect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43" w:name="_Toc240"/>
      <w:bookmarkStart w:id="44" w:name="_Toc23294"/>
      <w:bookmarkStart w:id="45" w:name="_Toc8474"/>
      <w:bookmarkStart w:id="46" w:name="_Toc9716"/>
      <w:bookmarkStart w:id="47" w:name="_Toc28774"/>
      <w:bookmarkStart w:id="48" w:name="_Toc17887121"/>
      <w:bookmarkStart w:id="49" w:name="_Toc5960094"/>
      <w:r>
        <w:rPr>
          <w:rFonts w:hint="eastAsia" w:ascii="Times New Roman" w:hAnsi="宋体" w:eastAsia="宋体" w:cs="Times New Roman"/>
          <w:color w:val="000000" w:themeColor="text1"/>
          <w:kern w:val="0"/>
          <w:szCs w:val="21"/>
          <w14:textFill>
            <w14:solidFill>
              <w14:schemeClr w14:val="tx1"/>
            </w14:solidFill>
          </w14:textFill>
        </w:rPr>
        <w:t>附件 1：</w:t>
      </w:r>
      <w:bookmarkEnd w:id="43"/>
      <w:bookmarkEnd w:id="44"/>
      <w:bookmarkEnd w:id="45"/>
      <w:bookmarkEnd w:id="46"/>
      <w:r>
        <w:rPr>
          <w:rFonts w:hint="eastAsia"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郑州市政府采购合同融资政策告知函各供应商：欢迎贵公司参与郑州市政府采购活动！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50" w:name="_Toc24035"/>
      <w:bookmarkStart w:id="51" w:name="_Toc23551"/>
      <w:bookmarkStart w:id="52" w:name="_Toc2686"/>
      <w:bookmarkStart w:id="53" w:name="_Toc30008"/>
      <w:r>
        <w:rPr>
          <w:rFonts w:hint="eastAsia" w:ascii="Times New Roman" w:hAnsi="宋体" w:eastAsia="宋体" w:cs="Times New Roman"/>
          <w:color w:val="000000" w:themeColor="text1"/>
          <w:kern w:val="0"/>
          <w:szCs w:val="21"/>
          <w14:textFill>
            <w14:solidFill>
              <w14:schemeClr w14:val="tx1"/>
            </w14:solidFill>
          </w14:textFill>
        </w:rPr>
        <w:t>附件2</w:t>
      </w:r>
      <w:bookmarkEnd w:id="50"/>
      <w:bookmarkEnd w:id="51"/>
      <w:bookmarkEnd w:id="52"/>
      <w:bookmarkEnd w:id="53"/>
    </w:p>
    <w:p>
      <w:pPr>
        <w:pStyle w:val="15"/>
        <w:spacing w:line="360" w:lineRule="auto"/>
        <w:ind w:firstLine="420" w:firstLineChars="20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中小微企业划分标准</w:t>
      </w:r>
    </w:p>
    <w:p>
      <w:pPr>
        <w:widowControl/>
        <w:spacing w:line="330" w:lineRule="atLeast"/>
        <w:jc w:val="center"/>
        <w:rPr>
          <w:rFonts w:ascii="宋体" w:hAnsi="宋体" w:cs="宋体"/>
          <w:color w:val="000000" w:themeColor="text1"/>
          <w:kern w:val="0"/>
          <w:sz w:val="36"/>
          <w:szCs w:val="32"/>
          <w14:textFill>
            <w14:solidFill>
              <w14:schemeClr w14:val="tx1"/>
            </w14:solidFill>
          </w14:textFill>
        </w:rPr>
      </w:pPr>
      <w:r>
        <w:rPr>
          <w:rFonts w:hint="eastAsia" w:ascii="宋体" w:hAnsi="宋体" w:cs="宋体"/>
          <w:color w:val="000000" w:themeColor="text1"/>
          <w:kern w:val="0"/>
          <w:sz w:val="36"/>
          <w:szCs w:val="32"/>
          <w14:textFill>
            <w14:solidFill>
              <w14:schemeClr w14:val="tx1"/>
            </w14:solidFill>
          </w14:textFill>
        </w:rPr>
        <w:t>统计上大中小微型企业划分标准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宋体" w:hAnsi="宋体" w:cs="宋体"/>
                <w:b/>
                <w:bCs/>
                <w:color w:val="000000" w:themeColor="text1"/>
                <w:kern w:val="0"/>
                <w:sz w:val="18"/>
                <w:szCs w:val="21"/>
                <w14:textFill>
                  <w14:solidFill>
                    <w14:schemeClr w14:val="tx1"/>
                  </w14:solidFill>
                </w14:textFill>
              </w:rPr>
            </w:pPr>
            <w:r>
              <w:rPr>
                <w:rFonts w:hint="eastAsia" w:ascii="宋体" w:hAnsi="宋体" w:cs="宋体"/>
                <w:b/>
                <w:bCs/>
                <w:color w:val="000000" w:themeColor="text1"/>
                <w:kern w:val="0"/>
                <w:sz w:val="18"/>
                <w:szCs w:val="21"/>
                <w14:textFill>
                  <w14:solidFill>
                    <w14:schemeClr w14:val="tx1"/>
                  </w14:solidFill>
                </w14:textFill>
              </w:rPr>
              <w:t>行业名称</w:t>
            </w:r>
          </w:p>
        </w:tc>
        <w:tc>
          <w:tcPr>
            <w:tcW w:w="136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指标名称</w:t>
            </w:r>
          </w:p>
        </w:tc>
        <w:tc>
          <w:tcPr>
            <w:tcW w:w="70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计量</w:t>
            </w:r>
          </w:p>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c>
          <w:tcPr>
            <w:tcW w:w="1125"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大型</w:t>
            </w:r>
          </w:p>
        </w:tc>
        <w:tc>
          <w:tcPr>
            <w:tcW w:w="1701"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中型</w:t>
            </w:r>
          </w:p>
        </w:tc>
        <w:tc>
          <w:tcPr>
            <w:tcW w:w="1426"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小型</w:t>
            </w:r>
          </w:p>
        </w:tc>
        <w:tc>
          <w:tcPr>
            <w:tcW w:w="992"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农、林、牧、渔业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50≤Y＜500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工业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2000≤Y＜40000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建筑业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6000≤Y＜80000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300≤Y＜6000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300≤Z＜5000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批发业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5≤X＜20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5000≤Y＜40000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零售业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50≤X＜300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10≤X＜50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100≤Y＜500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交通运输业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200≤Y＜3000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仓储业*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邮政业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住宿业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餐饮业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信息传输业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1000≤Y＜100000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spacing w:val="-12"/>
                <w:kern w:val="0"/>
                <w:sz w:val="18"/>
                <w:szCs w:val="18"/>
                <w14:textFill>
                  <w14:solidFill>
                    <w14:schemeClr w14:val="tx1"/>
                  </w14:solidFill>
                </w14:textFill>
              </w:rPr>
            </w:pPr>
            <w:r>
              <w:rPr>
                <w:rFonts w:hint="eastAsia" w:ascii="宋体" w:hAnsi="宋体" w:cs="宋体"/>
                <w:color w:val="000000" w:themeColor="text1"/>
                <w:spacing w:val="-12"/>
                <w:kern w:val="0"/>
                <w:sz w:val="18"/>
                <w:szCs w:val="18"/>
                <w14:textFill>
                  <w14:solidFill>
                    <w14:schemeClr w14:val="tx1"/>
                  </w14:solidFill>
                </w14:textFill>
              </w:rPr>
              <w:t>软件和信息技术服</w:t>
            </w:r>
            <w:r>
              <w:rPr>
                <w:rFonts w:hint="eastAsia" w:ascii="宋体" w:hAnsi="宋体" w:cs="宋体"/>
                <w:color w:val="000000" w:themeColor="text1"/>
                <w:kern w:val="0"/>
                <w:sz w:val="18"/>
                <w:szCs w:val="18"/>
                <w14:textFill>
                  <w14:solidFill>
                    <w14:schemeClr w14:val="tx1"/>
                  </w14:solidFill>
                </w14:textFill>
              </w:rPr>
              <w:t>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spacing w:val="-12"/>
                <w:kern w:val="0"/>
                <w:sz w:val="18"/>
                <w:szCs w:val="18"/>
                <w14:textFill>
                  <w14:solidFill>
                    <w14:schemeClr w14:val="tx1"/>
                  </w14:solidFill>
                </w14:textFill>
              </w:rPr>
            </w:pP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房地产开发经营</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1000≤Y＜200000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2000≤Z＜5000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物业管理</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1000≤Y＜5000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租赁和商务服务业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8000≤Z＜120000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100≤Z＜8000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其他未列明行业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bl>
    <w:p>
      <w:pPr>
        <w:widowControl/>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说明：</w:t>
      </w:r>
    </w:p>
    <w:p>
      <w:pPr>
        <w:spacing w:line="360" w:lineRule="auto"/>
        <w:rPr>
          <w:rFonts w:ascii="宋体" w:hAnsi="宋体" w:cs="宋体"/>
          <w:color w:val="auto"/>
          <w:spacing w:val="8"/>
          <w:kern w:val="0"/>
          <w:szCs w:val="21"/>
        </w:rPr>
      </w:pPr>
      <w:r>
        <w:rPr>
          <w:rFonts w:hint="eastAsia" w:ascii="宋体" w:hAnsi="宋体" w:cs="宋体"/>
          <w:color w:val="auto"/>
          <w:spacing w:val="8"/>
          <w:kern w:val="0"/>
          <w:szCs w:val="21"/>
        </w:rPr>
        <w:t>　　1.大型、中型和小型企业须同时满足所列指标的下限，否则下划一档；微型企业只须满足所列指标中的一项即可。</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17"/>
        <w:rPr>
          <w:color w:val="000000" w:themeColor="text1"/>
          <w14:textFill>
            <w14:solidFill>
              <w14:schemeClr w14:val="tx1"/>
            </w14:solidFill>
          </w14:textFill>
        </w:rPr>
      </w:pPr>
    </w:p>
    <w:p>
      <w:pPr>
        <w:pStyle w:val="37"/>
        <w:ind w:firstLine="480"/>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6"/>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kinsoku w:val="0"/>
        <w:overflowPunct w:val="0"/>
        <w:autoSpaceDE w:val="0"/>
        <w:autoSpaceDN w:val="0"/>
        <w:adjustRightInd w:val="0"/>
        <w:spacing w:line="360" w:lineRule="auto"/>
        <w:jc w:val="left"/>
        <w:outlineLvl w:val="1"/>
        <w:rPr>
          <w:rFonts w:ascii="Times New Roman" w:hAnsi="宋体" w:eastAsia="宋体" w:cs="Times New Roman"/>
          <w:b/>
          <w:color w:val="000000" w:themeColor="text1"/>
          <w:kern w:val="0"/>
          <w:szCs w:val="21"/>
          <w14:textFill>
            <w14:solidFill>
              <w14:schemeClr w14:val="tx1"/>
            </w14:solidFill>
          </w14:textFill>
        </w:rPr>
      </w:pPr>
      <w:r>
        <w:rPr>
          <w:rFonts w:hint="eastAsia" w:ascii="Times New Roman" w:hAnsi="宋体" w:eastAsia="宋体" w:cs="Times New Roman"/>
          <w:b/>
          <w:color w:val="000000" w:themeColor="text1"/>
          <w:kern w:val="0"/>
          <w:szCs w:val="21"/>
          <w14:textFill>
            <w14:solidFill>
              <w14:schemeClr w14:val="tx1"/>
            </w14:solidFill>
          </w14:textFill>
        </w:rPr>
        <w:t>一、说明</w:t>
      </w:r>
      <w:bookmarkEnd w:id="47"/>
      <w:bookmarkEnd w:id="48"/>
      <w:bookmarkEnd w:id="49"/>
      <w:r>
        <w:rPr>
          <w:rFonts w:ascii="Times New Roman" w:hAnsi="宋体" w:eastAsia="宋体" w:cs="Times New Roman"/>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适用范围</w:t>
      </w:r>
    </w:p>
    <w:p>
      <w:pPr>
        <w:autoSpaceDE w:val="0"/>
        <w:autoSpaceDN w:val="0"/>
        <w:adjustRightInd w:val="0"/>
        <w:snapToGrid w:val="0"/>
        <w:spacing w:line="360" w:lineRule="auto"/>
        <w:ind w:firstLine="420" w:firstLine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本采购文件仅适用于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Times New Roman"/>
          <w:color w:val="000000" w:themeColor="text1"/>
          <w:kern w:val="0"/>
          <w:szCs w:val="21"/>
          <w14:textFill>
            <w14:solidFill>
              <w14:schemeClr w14:val="tx1"/>
            </w14:solidFill>
          </w14:textFill>
        </w:rPr>
        <w:t>。</w:t>
      </w:r>
      <w:r>
        <w:rPr>
          <w:rFonts w:ascii="宋体"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1.2 </w:t>
      </w:r>
      <w:r>
        <w:rPr>
          <w:rFonts w:hint="eastAsia" w:ascii="Times New Roman" w:hAnsi="宋体" w:eastAsia="宋体" w:cs="Times New Roman"/>
          <w:color w:val="000000" w:themeColor="text1"/>
          <w:kern w:val="0"/>
          <w:szCs w:val="21"/>
          <w14:textFill>
            <w14:solidFill>
              <w14:schemeClr w14:val="tx1"/>
            </w14:solidFill>
          </w14:textFill>
        </w:rPr>
        <w:t>定义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1.2.1 政府采购监督管理部门：郑州市财政局政府采购监督管理办公室。 </w:t>
      </w:r>
    </w:p>
    <w:p>
      <w:pPr>
        <w:wordWrap w:val="0"/>
        <w:topLinePunct/>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1.2.2 采购人：“供应商须知前附表”中所述的、依法进行政府采购的国家机关、事业单位、团体组织。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1.2.3 采购代理机构：在中华人民共和国财政部和河南省财政厅备案的采购代理机</w:t>
      </w:r>
      <w:r>
        <w:rPr>
          <w:rFonts w:hint="eastAsia" w:ascii="Times New Roman" w:hAnsi="宋体" w:eastAsia="宋体" w:cs="Times New Roman"/>
          <w:color w:val="000000" w:themeColor="text1"/>
          <w:spacing w:val="-15"/>
          <w:kern w:val="0"/>
          <w:szCs w:val="21"/>
          <w14:textFill>
            <w14:solidFill>
              <w14:schemeClr w14:val="tx1"/>
            </w14:solidFill>
          </w14:textFill>
        </w:rPr>
        <w:t>构，受</w:t>
      </w:r>
      <w:r>
        <w:rPr>
          <w:rFonts w:hint="eastAsia" w:ascii="Times New Roman" w:hAnsi="宋体" w:eastAsia="宋体" w:cs="Times New Roman"/>
          <w:color w:val="000000" w:themeColor="text1"/>
          <w:kern w:val="0"/>
          <w:szCs w:val="21"/>
          <w14:textFill>
            <w14:solidFill>
              <w14:schemeClr w14:val="tx1"/>
            </w14:solidFill>
          </w14:textFill>
        </w:rPr>
        <w:t>采购人委托组织招标活动，在招标过程中负有相应义务和责任的社会中介组织。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1.2.4 </w:t>
      </w:r>
      <w:r>
        <w:rPr>
          <w:rFonts w:hint="eastAsia" w:ascii="Times New Roman" w:hAnsi="宋体" w:eastAsia="宋体" w:cs="Times New Roman"/>
          <w:color w:val="000000" w:themeColor="text1"/>
          <w:spacing w:val="-15"/>
          <w:kern w:val="0"/>
          <w:szCs w:val="21"/>
          <w14:textFill>
            <w14:solidFill>
              <w14:schemeClr w14:val="tx1"/>
            </w14:solidFill>
          </w14:textFill>
        </w:rPr>
        <w:t>供</w:t>
      </w:r>
      <w:r>
        <w:rPr>
          <w:rFonts w:ascii="Times New Roman" w:hAnsi="宋体" w:eastAsia="宋体" w:cs="Times New Roman"/>
          <w:color w:val="000000" w:themeColor="text1"/>
          <w:spacing w:val="-11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应商：是指响应招标、参加投标竞争的法人、其他组织或者自然人。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1.2.5 中标人：接到并接受中标通知，最终被授予合同的供应商。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 </w:t>
      </w:r>
      <w:r>
        <w:rPr>
          <w:rFonts w:hint="eastAsia" w:ascii="Times New Roman" w:hAnsi="宋体" w:eastAsia="宋体" w:cs="Times New Roman"/>
          <w:color w:val="000000" w:themeColor="text1"/>
          <w:kern w:val="0"/>
          <w:szCs w:val="21"/>
          <w14:textFill>
            <w14:solidFill>
              <w14:schemeClr w14:val="tx1"/>
            </w14:solidFill>
          </w14:textFill>
        </w:rPr>
        <w:t>招标项目概况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1 项目名称：见供应商须知前附表。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1.3.2</w:t>
      </w:r>
      <w:r>
        <w:rPr>
          <w:rFonts w:hint="eastAsia" w:ascii="Times New Roman" w:hAnsi="宋体" w:eastAsia="宋体" w:cs="Times New Roman"/>
          <w:color w:val="000000" w:themeColor="text1"/>
          <w:kern w:val="0"/>
          <w:szCs w:val="21"/>
          <w14:textFill>
            <w14:solidFill>
              <w14:schemeClr w14:val="tx1"/>
            </w14:solidFill>
          </w14:textFill>
        </w:rPr>
        <w:t xml:space="preserve"> 采购编号：见供应商须知前附表。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1.3.3</w:t>
      </w:r>
      <w:r>
        <w:rPr>
          <w:rFonts w:hint="eastAsia" w:ascii="Times New Roman" w:hAnsi="宋体" w:eastAsia="宋体" w:cs="Times New Roman"/>
          <w:color w:val="000000" w:themeColor="text1"/>
          <w:kern w:val="0"/>
          <w:szCs w:val="21"/>
          <w14:textFill>
            <w14:solidFill>
              <w14:schemeClr w14:val="tx1"/>
            </w14:solidFill>
          </w14:textFill>
        </w:rPr>
        <w:t xml:space="preserve"> 招标内容：见供应商须知前附表。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4</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交货期：见供应商须知前附表。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1.3.5 </w:t>
      </w:r>
      <w:r>
        <w:rPr>
          <w:rFonts w:hint="eastAsia" w:ascii="Times New Roman" w:hAnsi="宋体" w:eastAsia="宋体" w:cs="Times New Roman"/>
          <w:color w:val="000000" w:themeColor="text1"/>
          <w:kern w:val="0"/>
          <w:szCs w:val="21"/>
          <w14:textFill>
            <w14:solidFill>
              <w14:schemeClr w14:val="tx1"/>
            </w14:solidFill>
          </w14:textFill>
        </w:rPr>
        <w:t>交货地点：见供应商须知前附表。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1.3.6 </w:t>
      </w:r>
      <w:r>
        <w:rPr>
          <w:rFonts w:hint="eastAsia" w:ascii="Times New Roman" w:hAnsi="宋体" w:eastAsia="宋体" w:cs="Times New Roman"/>
          <w:color w:val="000000" w:themeColor="text1"/>
          <w:kern w:val="0"/>
          <w:szCs w:val="21"/>
          <w14:textFill>
            <w14:solidFill>
              <w14:schemeClr w14:val="tx1"/>
            </w14:solidFill>
          </w14:textFill>
        </w:rPr>
        <w:t>质保期：见供应商须知前附表。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质量：见供应商须知前附表。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eastAsia="宋体"/>
          <w:color w:val="000000" w:themeColor="text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1.3.8 标段：见供应商须知前附表。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1.4 </w:t>
      </w:r>
      <w:r>
        <w:rPr>
          <w:rFonts w:hint="eastAsia" w:ascii="Times New Roman" w:hAnsi="宋体" w:eastAsia="宋体" w:cs="Times New Roman"/>
          <w:color w:val="000000" w:themeColor="text1"/>
          <w:kern w:val="0"/>
          <w:szCs w:val="21"/>
          <w14:textFill>
            <w14:solidFill>
              <w14:schemeClr w14:val="tx1"/>
            </w14:solidFill>
          </w14:textFill>
        </w:rPr>
        <w:t>供应商资格要求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1.4.1</w:t>
      </w:r>
      <w:r>
        <w:rPr>
          <w:rFonts w:hint="eastAsia" w:ascii="Times New Roman" w:hAnsi="宋体" w:eastAsia="宋体" w:cs="Times New Roman"/>
          <w:color w:val="000000" w:themeColor="text1"/>
          <w:kern w:val="0"/>
          <w:szCs w:val="21"/>
          <w14:textFill>
            <w14:solidFill>
              <w14:schemeClr w14:val="tx1"/>
            </w14:solidFill>
          </w14:textFill>
        </w:rPr>
        <w:t xml:space="preserve"> 供应商应具备承担本招标项目项目的资格条件、能力和信誉，合格供应商的资格条件：见供应商须知前附表。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1.4.2</w:t>
      </w:r>
      <w:r>
        <w:rPr>
          <w:rFonts w:hint="eastAsia" w:ascii="Times New Roman" w:hAnsi="宋体" w:eastAsia="宋体" w:cs="Times New Roman"/>
          <w:color w:val="000000" w:themeColor="text1"/>
          <w:kern w:val="0"/>
          <w:szCs w:val="21"/>
          <w14:textFill>
            <w14:solidFill>
              <w14:schemeClr w14:val="tx1"/>
            </w14:solidFill>
          </w14:textFill>
        </w:rPr>
        <w:t xml:space="preserve"> 联合体投标：见供应商须知前附表。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1.5 </w:t>
      </w:r>
      <w:r>
        <w:rPr>
          <w:rFonts w:hint="eastAsia" w:ascii="Times New Roman" w:hAnsi="宋体" w:eastAsia="宋体" w:cs="Times New Roman"/>
          <w:color w:val="000000" w:themeColor="text1"/>
          <w:kern w:val="0"/>
          <w:szCs w:val="21"/>
          <w14:textFill>
            <w14:solidFill>
              <w14:schemeClr w14:val="tx1"/>
            </w14:solidFill>
          </w14:textFill>
        </w:rPr>
        <w:t>合格的货物和服务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1.6 </w:t>
      </w:r>
      <w:r>
        <w:rPr>
          <w:rFonts w:hint="eastAsia" w:ascii="Times New Roman" w:hAnsi="宋体" w:eastAsia="宋体" w:cs="Times New Roman"/>
          <w:color w:val="000000" w:themeColor="text1"/>
          <w:kern w:val="0"/>
          <w:szCs w:val="21"/>
          <w14:textFill>
            <w14:solidFill>
              <w14:schemeClr w14:val="tx1"/>
            </w14:solidFill>
          </w14:textFill>
        </w:rPr>
        <w:t>适用法律及政府采购政策落实</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hint="eastAsia" w:ascii="Times New Roman" w:hAnsi="宋体" w:eastAsia="宋体" w:cs="Times New Roman"/>
          <w:color w:val="000000" w:themeColor="text1"/>
          <w:kern w:val="0"/>
          <w:szCs w:val="21"/>
          <w14:textFill>
            <w14:solidFill>
              <w14:schemeClr w14:val="tx1"/>
            </w14:solidFill>
          </w14:textFill>
        </w:rPr>
        <w:t xml:space="preserve">1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适用法律：见供应商须知前附表。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1.6.2</w:t>
      </w:r>
      <w:r>
        <w:rPr>
          <w:rFonts w:hint="eastAsia" w:ascii="Times New Roman" w:hAnsi="宋体" w:eastAsia="宋体" w:cs="Times New Roman"/>
          <w:color w:val="000000" w:themeColor="text1"/>
          <w:kern w:val="0"/>
          <w:szCs w:val="21"/>
          <w14:textFill>
            <w14:solidFill>
              <w14:schemeClr w14:val="tx1"/>
            </w14:solidFill>
          </w14:textFill>
        </w:rPr>
        <w:t xml:space="preserve"> 政府采购政策：见供应商须知前附表。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1.7 </w:t>
      </w:r>
      <w:r>
        <w:rPr>
          <w:rFonts w:hint="eastAsia" w:ascii="Times New Roman" w:hAnsi="宋体" w:eastAsia="宋体" w:cs="Times New Roman"/>
          <w:color w:val="000000" w:themeColor="text1"/>
          <w:kern w:val="0"/>
          <w:szCs w:val="21"/>
          <w14:textFill>
            <w14:solidFill>
              <w14:schemeClr w14:val="tx1"/>
            </w14:solidFill>
          </w14:textFill>
        </w:rPr>
        <w:t>投标费用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供应商应承担其参与本次投标所涉及的一切费用。不论投标结果如何，采购人或代理机构无义务亦无责任承担这些费用。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1.8 </w:t>
      </w:r>
      <w:r>
        <w:rPr>
          <w:rFonts w:hint="eastAsia" w:ascii="Times New Roman" w:hAnsi="宋体" w:eastAsia="宋体" w:cs="Times New Roman"/>
          <w:color w:val="000000" w:themeColor="text1"/>
          <w:kern w:val="0"/>
          <w:szCs w:val="21"/>
          <w14:textFill>
            <w14:solidFill>
              <w14:schemeClr w14:val="tx1"/>
            </w14:solidFill>
          </w14:textFill>
        </w:rPr>
        <w:t>保密</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参与招投标活动的各方应对采购文件和投标文件中的商业和技术等秘密保密，否则应承担相应的法律责任。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1.9 </w:t>
      </w:r>
      <w:r>
        <w:rPr>
          <w:rFonts w:hint="eastAsia" w:ascii="Times New Roman" w:hAnsi="宋体" w:eastAsia="宋体" w:cs="Times New Roman"/>
          <w:color w:val="000000" w:themeColor="text1"/>
          <w:kern w:val="0"/>
          <w:szCs w:val="21"/>
          <w14:textFill>
            <w14:solidFill>
              <w14:schemeClr w14:val="tx1"/>
            </w14:solidFill>
          </w14:textFill>
        </w:rPr>
        <w:t>知识产权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1.1</w:t>
      </w:r>
      <w:r>
        <w:rPr>
          <w:rFonts w:hint="eastAsia" w:ascii="Times New Roman" w:hAnsi="宋体" w:eastAsia="宋体" w:cs="Times New Roman"/>
          <w:bCs/>
          <w:color w:val="000000" w:themeColor="text1"/>
          <w:kern w:val="0"/>
          <w:szCs w:val="21"/>
          <w14:textFill>
            <w14:solidFill>
              <w14:schemeClr w14:val="tx1"/>
            </w14:solidFill>
          </w14:textFill>
        </w:rPr>
        <w:t>0响应和偏差</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投标文件应当对采购文件的实质性要求和条件作出满足性或更有利于采购人的</w:t>
      </w:r>
      <w:r>
        <w:rPr>
          <w:rFonts w:hint="eastAsia" w:ascii="Times New Roman" w:hAnsi="宋体" w:eastAsia="宋体" w:cs="Times New Roman"/>
          <w:color w:val="000000" w:themeColor="text1"/>
          <w:spacing w:val="-11"/>
          <w:kern w:val="0"/>
          <w:szCs w:val="21"/>
          <w14:textFill>
            <w14:solidFill>
              <w14:schemeClr w14:val="tx1"/>
            </w14:solidFill>
          </w14:textFill>
        </w:rPr>
        <w:t>响应，否则，供应商的投标将被按无效标处理。实质性要求和条件见供应商须知前附表。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供应商应根据采购文件的要求提供投标设备技术性能指标的详细描述、技术支持</w:t>
      </w:r>
      <w:r>
        <w:rPr>
          <w:rFonts w:hint="eastAsia" w:ascii="Times New Roman" w:hAnsi="宋体" w:eastAsia="宋体" w:cs="Times New Roman"/>
          <w:color w:val="000000" w:themeColor="text1"/>
          <w:kern w:val="0"/>
          <w:szCs w:val="21"/>
          <w14:textFill>
            <w14:solidFill>
              <w14:schemeClr w14:val="tx1"/>
            </w14:solidFill>
          </w14:textFill>
        </w:rPr>
        <w:t>资料及技术服务和质保期服务计划等内容以对采购文件作出响应。</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1.10.3 投标文件中应针对采购文件列明的技术要求提供技术支持资料。技术资料以制造商公开</w:t>
      </w:r>
      <w:r>
        <w:rPr>
          <w:rFonts w:hint="eastAsia" w:ascii="Times New Roman" w:hAnsi="宋体" w:eastAsia="宋体" w:cs="Times New Roman"/>
          <w:color w:val="000000" w:themeColor="text1"/>
          <w:spacing w:val="-10"/>
          <w:kern w:val="0"/>
          <w:szCs w:val="21"/>
          <w14:textFill>
            <w14:solidFill>
              <w14:schemeClr w14:val="tx1"/>
            </w14:solidFill>
          </w14:textFill>
        </w:rPr>
        <w:t>发布的印刷资料，或检测机构出具的检测报告或采购文件允许的其他形式为准，不符合前述要</w:t>
      </w:r>
      <w:r>
        <w:rPr>
          <w:rFonts w:hint="eastAsia" w:ascii="Times New Roman" w:hAnsi="宋体" w:eastAsia="宋体" w:cs="Times New Roman"/>
          <w:color w:val="000000" w:themeColor="text1"/>
          <w:kern w:val="0"/>
          <w:szCs w:val="21"/>
          <w14:textFill>
            <w14:solidFill>
              <w14:schemeClr w14:val="tx1"/>
            </w14:solidFill>
          </w14:textFill>
        </w:rPr>
        <w:t>求的，视为无技术支持资料。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投标文件对采购文件的全部偏差，均应在投标文件的商务或技术偏离表中列明，除列明的内容外，视为供应商响应采购文件的全部要求。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54" w:name="_Toc17887122"/>
      <w:bookmarkStart w:id="55" w:name="_Toc5960095"/>
      <w:bookmarkStart w:id="56" w:name="_Toc21907"/>
      <w:r>
        <w:rPr>
          <w:rFonts w:hint="eastAsia" w:ascii="宋体" w:hAnsi="宋体" w:eastAsia="宋体" w:cs="宋体"/>
          <w:b/>
          <w:bCs/>
          <w:color w:val="000000" w:themeColor="text1"/>
          <w:kern w:val="0"/>
          <w:szCs w:val="21"/>
          <w14:textFill>
            <w14:solidFill>
              <w14:schemeClr w14:val="tx1"/>
            </w14:solidFill>
          </w14:textFill>
        </w:rPr>
        <w:t>二、采购文件</w:t>
      </w:r>
      <w:bookmarkEnd w:id="54"/>
      <w:bookmarkEnd w:id="55"/>
      <w:bookmarkEnd w:id="56"/>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2.1</w:t>
      </w:r>
      <w:r>
        <w:rPr>
          <w:rFonts w:hint="eastAsia" w:ascii="宋体" w:hAnsi="宋体" w:eastAsia="宋体" w:cs="宋体"/>
          <w:bCs/>
          <w:color w:val="000000" w:themeColor="text1"/>
          <w:kern w:val="0"/>
          <w:szCs w:val="21"/>
          <w14:textFill>
            <w14:solidFill>
              <w14:schemeClr w14:val="tx1"/>
            </w14:solidFill>
          </w14:textFill>
        </w:rPr>
        <w:t xml:space="preserve"> 采购文件构成</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2.1.1</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采购文件用以阐明所需设备及服务、招标投标程序和合同条款等内容。采购文件由下述部分组成：</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招标公告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供应商须知</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评标方法及标准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合同条款</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5</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技术标准和要求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投标文件格式</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602"/>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ascii="Times New Roman" w:hAnsi="宋体" w:eastAsia="宋体" w:cs="Times New Roman"/>
          <w:color w:val="000000" w:themeColor="text1"/>
          <w:spacing w:val="-2"/>
          <w:kern w:val="0"/>
          <w:szCs w:val="21"/>
          <w14:textFill>
            <w14:solidFill>
              <w14:schemeClr w14:val="tx1"/>
            </w14:solidFill>
          </w14:textFill>
        </w:rPr>
        <w:t>7</w:t>
      </w: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本项目采购文件的澄清、答复、修改、补充内容（如有的话）</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3"/>
          <w:kern w:val="0"/>
          <w:szCs w:val="21"/>
          <w14:textFill>
            <w14:solidFill>
              <w14:schemeClr w14:val="tx1"/>
            </w14:solidFill>
          </w14:textFill>
        </w:rPr>
        <w:t>根据本章第</w:t>
      </w:r>
      <w:r>
        <w:rPr>
          <w:rFonts w:ascii="Times New Roman" w:hAnsi="宋体" w:eastAsia="宋体" w:cs="Times New Roman"/>
          <w:color w:val="000000" w:themeColor="text1"/>
          <w:spacing w:val="-13"/>
          <w:kern w:val="0"/>
          <w:szCs w:val="21"/>
          <w14:textFill>
            <w14:solidFill>
              <w14:schemeClr w14:val="tx1"/>
            </w14:solidFill>
          </w14:textFill>
        </w:rPr>
        <w:t>2.2</w:t>
      </w:r>
      <w:r>
        <w:rPr>
          <w:rFonts w:hint="eastAsia" w:ascii="Times New Roman" w:hAnsi="宋体" w:eastAsia="宋体" w:cs="Times New Roman"/>
          <w:color w:val="000000" w:themeColor="text1"/>
          <w:spacing w:val="-13"/>
          <w:kern w:val="0"/>
          <w:szCs w:val="21"/>
          <w14:textFill>
            <w14:solidFill>
              <w14:schemeClr w14:val="tx1"/>
            </w14:solidFill>
          </w14:textFill>
        </w:rPr>
        <w:t>款对采购文件所作的澄清、修改，构成采购文件的组成部分。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2.1.2</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除非有特殊要求，采购文件不单独提供招标设备使用地的自然环境、气候条件、</w:t>
      </w:r>
      <w:r>
        <w:rPr>
          <w:rFonts w:hint="eastAsia" w:ascii="Times New Roman" w:hAnsi="宋体" w:eastAsia="宋体" w:cs="Times New Roman"/>
          <w:color w:val="000000" w:themeColor="text1"/>
          <w:spacing w:val="-10"/>
          <w:kern w:val="0"/>
          <w:szCs w:val="21"/>
          <w14:textFill>
            <w14:solidFill>
              <w14:schemeClr w14:val="tx1"/>
            </w14:solidFill>
          </w14:textFill>
        </w:rPr>
        <w:t>公用设施等情况，供应商被视为熟悉上述与履行合同有关的一切情况。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2.1.3</w:t>
      </w:r>
      <w:r>
        <w:rPr>
          <w:rFonts w:hint="eastAsia" w:ascii="Times New Roman" w:hAnsi="宋体" w:eastAsia="宋体" w:cs="Times New Roman"/>
          <w:color w:val="000000" w:themeColor="text1"/>
          <w:kern w:val="0"/>
          <w:szCs w:val="21"/>
          <w14:textFill>
            <w14:solidFill>
              <w14:schemeClr w14:val="tx1"/>
            </w14:solidFill>
          </w14:textFill>
        </w:rPr>
        <w:t xml:space="preserve"> 供应商应清楚采购文件应该直接从招标公告公布的途径获得，根据复制的采购文件</w:t>
      </w:r>
      <w:r>
        <w:rPr>
          <w:rFonts w:hint="eastAsia" w:ascii="Times New Roman" w:hAnsi="宋体" w:eastAsia="宋体" w:cs="Times New Roman"/>
          <w:color w:val="000000" w:themeColor="text1"/>
          <w:spacing w:val="-4"/>
          <w:kern w:val="0"/>
          <w:szCs w:val="21"/>
          <w14:textFill>
            <w14:solidFill>
              <w14:schemeClr w14:val="tx1"/>
            </w14:solidFill>
          </w14:textFill>
        </w:rPr>
        <w:t>编制的投标文件将被拒收。</w:t>
      </w:r>
      <w:r>
        <w:rPr>
          <w:rFonts w:ascii="Times New Roman" w:hAnsi="宋体"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2.1.4</w:t>
      </w:r>
      <w:r>
        <w:rPr>
          <w:rFonts w:hint="eastAsia" w:ascii="Times New Roman" w:hAnsi="宋体" w:eastAsia="宋体" w:cs="Times New Roman"/>
          <w:color w:val="000000" w:themeColor="text1"/>
          <w:kern w:val="0"/>
          <w:szCs w:val="21"/>
          <w14:textFill>
            <w14:solidFill>
              <w14:schemeClr w14:val="tx1"/>
            </w14:solidFill>
          </w14:textFill>
        </w:rPr>
        <w:t xml:space="preserve"> 本采购文件以采购方（采购人或采购代理机构）通过采购人或代理机构发出的电子采购文件为准，不提供纸质版采购文件。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 </w:t>
      </w:r>
      <w:r>
        <w:rPr>
          <w:rFonts w:hint="eastAsia" w:ascii="Times New Roman" w:hAnsi="宋体" w:eastAsia="宋体" w:cs="Times New Roman"/>
          <w:bCs/>
          <w:color w:val="000000" w:themeColor="text1"/>
          <w:kern w:val="0"/>
          <w:szCs w:val="21"/>
          <w14:textFill>
            <w14:solidFill>
              <w14:schemeClr w14:val="tx1"/>
            </w14:solidFill>
          </w14:textFill>
        </w:rPr>
        <w:t>采购文件的澄清或者修改</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供应商应仔细阅读和检查采购文件的全部内容。如有疑问，须在收到采购文件之</w:t>
      </w:r>
      <w:r>
        <w:rPr>
          <w:rFonts w:hint="eastAsia" w:ascii="Times New Roman" w:hAnsi="宋体" w:eastAsia="宋体" w:cs="Times New Roman"/>
          <w:color w:val="000000" w:themeColor="text1"/>
          <w:spacing w:val="-4"/>
          <w:kern w:val="0"/>
          <w:szCs w:val="21"/>
          <w14:textFill>
            <w14:solidFill>
              <w14:schemeClr w14:val="tx1"/>
            </w14:solidFill>
          </w14:textFill>
        </w:rPr>
        <w:t>日或者采购文件公告期限届满之日起七个工作日内以纸质方式向代理机构提出，要求采购人对招</w:t>
      </w:r>
      <w:r>
        <w:rPr>
          <w:rFonts w:ascii="Times New Roman" w:hAnsi="宋体" w:eastAsia="宋体" w:cs="Times New Roman"/>
          <w:color w:val="000000" w:themeColor="text1"/>
          <w:spacing w:val="-104"/>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标文件予以澄清。采购人和采购代理机构对潜在供应商在规定期限内提交的疑问将视情况予</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以答复。在规定的时间内未提出疑问的，将被视为完全理解并接受采购文件的全部内容。</w:t>
      </w:r>
      <w:r>
        <w:rPr>
          <w:rFonts w:ascii="Times New Roman" w:hAnsi="宋体" w:eastAsia="宋体" w:cs="Times New Roman"/>
          <w:color w:val="000000" w:themeColor="text1"/>
          <w:spacing w:val="-7"/>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2.2.2 除非采购人认为确有必要答复，否则，采购人有权拒绝回复供应商在本章第</w:t>
      </w: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项规定的时间后的任何澄清要求。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2.2.3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采购人或者采购代理机构可以对已发出的采购文件进行必要的澄清或者修改，</w:t>
      </w:r>
      <w:r>
        <w:rPr>
          <w:rFonts w:hint="eastAsia" w:ascii="Times New Roman" w:hAnsi="宋体" w:eastAsia="宋体" w:cs="Times New Roman"/>
          <w:color w:val="000000" w:themeColor="text1"/>
          <w:spacing w:val="-7"/>
          <w:kern w:val="0"/>
          <w:szCs w:val="21"/>
          <w14:textFill>
            <w14:solidFill>
              <w14:schemeClr w14:val="tx1"/>
            </w14:solidFill>
          </w14:textFill>
        </w:rPr>
        <w:t>但不得改变采购标的和资格条件。澄清或者修改的内容为采购文件的组成部分。澄清或者修</w:t>
      </w:r>
      <w:r>
        <w:rPr>
          <w:rFonts w:ascii="Times New Roman" w:hAnsi="宋体" w:eastAsia="宋体" w:cs="Times New Roman"/>
          <w:color w:val="000000" w:themeColor="text1"/>
          <w:spacing w:val="-102"/>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改的内容可能影响投标文件编制的，采购人或者采购代理机构在投标截止时间至少</w:t>
      </w:r>
      <w:r>
        <w:rPr>
          <w:rFonts w:ascii="Times New Roman" w:hAnsi="宋体" w:eastAsia="宋体" w:cs="Times New Roman"/>
          <w:color w:val="000000" w:themeColor="text1"/>
          <w:spacing w:val="-11"/>
          <w:kern w:val="0"/>
          <w:szCs w:val="21"/>
          <w14:textFill>
            <w14:solidFill>
              <w14:schemeClr w14:val="tx1"/>
            </w14:solidFill>
          </w14:textFill>
        </w:rPr>
        <w:t>15</w:t>
      </w:r>
      <w:r>
        <w:rPr>
          <w:rFonts w:hint="eastAsia" w:ascii="Times New Roman" w:hAnsi="宋体" w:eastAsia="宋体" w:cs="Times New Roman"/>
          <w:color w:val="000000" w:themeColor="text1"/>
          <w:spacing w:val="-11"/>
          <w:kern w:val="0"/>
          <w:szCs w:val="21"/>
          <w14:textFill>
            <w14:solidFill>
              <w14:schemeClr w14:val="tx1"/>
            </w14:solidFill>
          </w14:textFill>
        </w:rPr>
        <w:t>日前，通</w:t>
      </w:r>
      <w:r>
        <w:rPr>
          <w:rFonts w:ascii="Times New Roman" w:hAnsi="宋体" w:eastAsia="宋体" w:cs="Times New Roman"/>
          <w:color w:val="000000" w:themeColor="text1"/>
          <w:spacing w:val="-1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知所有获取采购文件的潜在供应商；不足</w:t>
      </w:r>
      <w:r>
        <w:rPr>
          <w:rFonts w:ascii="Times New Roman" w:hAnsi="宋体" w:eastAsia="宋体" w:cs="Times New Roman"/>
          <w:color w:val="000000" w:themeColor="text1"/>
          <w:spacing w:val="-9"/>
          <w:kern w:val="0"/>
          <w:szCs w:val="21"/>
          <w14:textFill>
            <w14:solidFill>
              <w14:schemeClr w14:val="tx1"/>
            </w14:solidFill>
          </w14:textFill>
        </w:rPr>
        <w:t>15</w:t>
      </w:r>
      <w:r>
        <w:rPr>
          <w:rFonts w:hint="eastAsia" w:ascii="Times New Roman" w:hAnsi="宋体" w:eastAsia="宋体" w:cs="Times New Roman"/>
          <w:color w:val="000000" w:themeColor="text1"/>
          <w:spacing w:val="-9"/>
          <w:kern w:val="0"/>
          <w:szCs w:val="21"/>
          <w14:textFill>
            <w14:solidFill>
              <w14:schemeClr w14:val="tx1"/>
            </w14:solidFill>
          </w14:textFill>
        </w:rPr>
        <w:t>日的，顺延提交投标文件的截止时间。</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2.2.4</w:t>
      </w:r>
      <w:r>
        <w:rPr>
          <w:rFonts w:ascii="Times New Roman" w:hAnsi="宋体" w:eastAsia="宋体" w:cs="Times New Roman"/>
          <w:color w:val="000000" w:themeColor="text1"/>
          <w:spacing w:val="2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采购文件的澄清或者修改将通过代理机构发布的“答疑文件”告知供应商，</w:t>
      </w:r>
      <w:r>
        <w:rPr>
          <w:rFonts w:hint="eastAsia" w:ascii="Times New Roman" w:hAnsi="宋体" w:eastAsia="宋体" w:cs="Times New Roman"/>
          <w:color w:val="000000" w:themeColor="text1"/>
          <w:spacing w:val="-6"/>
          <w:kern w:val="0"/>
          <w:szCs w:val="21"/>
          <w14:textFill>
            <w14:solidFill>
              <w14:schemeClr w14:val="tx1"/>
            </w14:solidFill>
          </w14:textFill>
        </w:rPr>
        <w:t>发布给所有领取采购文件的供应商，但不指明澄清问</w:t>
      </w:r>
      <w:r>
        <w:rPr>
          <w:rFonts w:hint="eastAsia" w:ascii="Times New Roman" w:hAnsi="宋体" w:eastAsia="宋体" w:cs="Times New Roman"/>
          <w:color w:val="000000" w:themeColor="text1"/>
          <w:spacing w:val="-12"/>
          <w:kern w:val="0"/>
          <w:szCs w:val="21"/>
          <w14:textFill>
            <w14:solidFill>
              <w14:schemeClr w14:val="tx1"/>
            </w14:solidFill>
          </w14:textFill>
        </w:rPr>
        <w:t>题的来源。</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2.3</w:t>
      </w:r>
      <w:r>
        <w:rPr>
          <w:rFonts w:ascii="Times New Roman" w:hAnsi="宋体" w:eastAsia="宋体" w:cs="Times New Roman"/>
          <w:bCs/>
          <w:color w:val="000000" w:themeColor="text1"/>
          <w:spacing w:val="-7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投标截止时间的推迟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采购人可以视采购具体情况，推迟投标截止时间和开标时间，但至少应当在采购文件</w:t>
      </w:r>
      <w:r>
        <w:rPr>
          <w:rFonts w:hint="eastAsia" w:ascii="Times New Roman" w:hAnsi="宋体" w:eastAsia="宋体" w:cs="Times New Roman"/>
          <w:color w:val="000000" w:themeColor="text1"/>
          <w:spacing w:val="-4"/>
          <w:kern w:val="0"/>
          <w:szCs w:val="21"/>
          <w14:textFill>
            <w14:solidFill>
              <w14:schemeClr w14:val="tx1"/>
            </w14:solidFill>
          </w14:textFill>
        </w:rPr>
        <w:t>要求提交投标文件的截止时间三日前，将变更时间通知所有采购文件收受人，并在财政部门</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指定的政府采购信息发布媒体上发布变更公告。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57" w:name="_Toc28143"/>
      <w:bookmarkStart w:id="58" w:name="_Toc5960096"/>
      <w:bookmarkStart w:id="59" w:name="_Toc17887123"/>
      <w:r>
        <w:rPr>
          <w:rFonts w:hint="eastAsia" w:ascii="宋体" w:hAnsi="宋体" w:eastAsia="宋体" w:cs="宋体"/>
          <w:b/>
          <w:bCs/>
          <w:color w:val="000000" w:themeColor="text1"/>
          <w:kern w:val="0"/>
          <w:szCs w:val="21"/>
          <w14:textFill>
            <w14:solidFill>
              <w14:schemeClr w14:val="tx1"/>
            </w14:solidFill>
          </w14:textFill>
        </w:rPr>
        <w:t>三、投标文件的编制</w:t>
      </w:r>
      <w:bookmarkEnd w:id="57"/>
      <w:bookmarkEnd w:id="58"/>
      <w:bookmarkEnd w:id="59"/>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3.1</w:t>
      </w:r>
      <w:r>
        <w:rPr>
          <w:rFonts w:ascii="宋体" w:hAnsi="宋体" w:eastAsia="宋体" w:cs="宋体"/>
          <w:bCs/>
          <w:color w:val="000000" w:themeColor="text1"/>
          <w:spacing w:val="-2"/>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投标语言</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供应商提交的投标文件以及供应商与招标方就有关投标的所有来往函电均应使用中文</w:t>
      </w:r>
      <w:r>
        <w:rPr>
          <w:rFonts w:hint="eastAsia" w:ascii="Times New Roman" w:hAnsi="宋体" w:eastAsia="宋体" w:cs="Times New Roman"/>
          <w:color w:val="000000" w:themeColor="text1"/>
          <w:kern w:val="0"/>
          <w:szCs w:val="21"/>
          <w14:textFill>
            <w14:solidFill>
              <w14:schemeClr w14:val="tx1"/>
            </w14:solidFill>
          </w14:textFill>
        </w:rPr>
        <w:t>书写。供应商提供的外文资料应附有相应中文译本，并以中文译本为准。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3.2</w:t>
      </w:r>
      <w:r>
        <w:rPr>
          <w:rFonts w:ascii="Times New Roman" w:hAnsi="宋体" w:eastAsia="宋体" w:cs="Times New Roman"/>
          <w:bCs/>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计量单位</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除在采购文件的技术规格中另有规定外，计量单位应使用中华人民共和国法定计量单</w:t>
      </w:r>
      <w:r>
        <w:rPr>
          <w:rFonts w:hint="eastAsia" w:ascii="Times New Roman" w:hAnsi="宋体" w:eastAsia="宋体" w:cs="Times New Roman"/>
          <w:color w:val="000000" w:themeColor="text1"/>
          <w:kern w:val="0"/>
          <w:szCs w:val="21"/>
          <w14:textFill>
            <w14:solidFill>
              <w14:schemeClr w14:val="tx1"/>
            </w14:solidFill>
          </w14:textFill>
        </w:rPr>
        <w:t>位。</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3.3</w:t>
      </w:r>
      <w:r>
        <w:rPr>
          <w:rFonts w:ascii="宋体" w:hAnsi="宋体" w:eastAsia="宋体" w:cs="宋体"/>
          <w:bCs/>
          <w:color w:val="000000" w:themeColor="text1"/>
          <w:spacing w:val="-6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投标文件的组成</w:t>
      </w:r>
      <w:r>
        <w:rPr>
          <w:rFonts w:ascii="宋体" w:hAnsi="宋体" w:eastAsia="宋体" w:cs="宋体"/>
          <w:bCs/>
          <w:color w:val="000000" w:themeColor="text1"/>
          <w:w w:val="99"/>
          <w:kern w:val="0"/>
          <w:szCs w:val="21"/>
          <w14:textFill>
            <w14:solidFill>
              <w14:schemeClr w14:val="tx1"/>
            </w14:solidFill>
          </w14:textFill>
        </w:rPr>
        <w:t xml:space="preserve"> </w:t>
      </w:r>
    </w:p>
    <w:p>
      <w:pPr>
        <w:tabs>
          <w:tab w:val="left" w:pos="570"/>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3.3.1</w:t>
      </w:r>
      <w:r>
        <w:rPr>
          <w:rFonts w:hint="eastAsia" w:ascii="Times New Roman" w:hAnsi="宋体" w:eastAsia="宋体" w:cs="Times New Roman"/>
          <w:color w:val="000000" w:themeColor="text1"/>
          <w:spacing w:val="6"/>
          <w:kern w:val="0"/>
          <w:szCs w:val="21"/>
          <w14:textFill>
            <w14:solidFill>
              <w14:schemeClr w14:val="tx1"/>
            </w14:solidFill>
          </w14:textFill>
        </w:rPr>
        <w:t>供应商应仔细阅读采购文件的所有内容，按采购文件的要求编制投标文件；</w:t>
      </w:r>
      <w:r>
        <w:rPr>
          <w:rFonts w:hint="eastAsia" w:ascii="Times New Roman" w:hAnsi="宋体" w:eastAsia="宋体" w:cs="Times New Roman"/>
          <w:color w:val="000000" w:themeColor="text1"/>
          <w:spacing w:val="-4"/>
          <w:kern w:val="0"/>
          <w:szCs w:val="21"/>
          <w14:textFill>
            <w14:solidFill>
              <w14:schemeClr w14:val="tx1"/>
            </w14:solidFill>
          </w14:textFill>
        </w:rPr>
        <w:t>供应商应保证所提供的全部资料的真实性、准确性、有效性，并使其投标对采购文件的实质</w:t>
      </w:r>
      <w:r>
        <w:rPr>
          <w:rFonts w:ascii="Times New Roman" w:hAnsi="宋体" w:eastAsia="宋体" w:cs="Times New Roman"/>
          <w:color w:val="000000" w:themeColor="text1"/>
          <w:spacing w:val="-10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性要求做出完全的响应，否则，其投标可能被拒绝。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3.3.2</w:t>
      </w:r>
      <w:r>
        <w:rPr>
          <w:rFonts w:ascii="Times New Roman" w:hAnsi="宋体" w:eastAsia="宋体" w:cs="Times New Roman"/>
          <w:color w:val="000000" w:themeColor="text1"/>
          <w:spacing w:val="-5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投标文件中包含下列内容（以下格式供参考）：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default"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第一部分</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商务部分格式</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val="en-US" w:eastAsia="zh-CN"/>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一、法定代表人身份证明</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三、投标函及投标函附录</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四、投标报价明细表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spacing w:val="-28"/>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五、商务条款偏差表</w:t>
      </w:r>
      <w:r>
        <w:rPr>
          <w:rFonts w:ascii="Times New Roman" w:hAnsi="宋体" w:eastAsia="宋体" w:cs="Times New Roman"/>
          <w:color w:val="000000" w:themeColor="text1"/>
          <w:spacing w:val="-2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六、资格证明文件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七、供应商综合能力证明文件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八、供应商反商业贿赂承诺书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lang w:eastAsia="zh-CN"/>
          <w14:textFill>
            <w14:solidFill>
              <w14:schemeClr w14:val="tx1"/>
            </w14:solidFill>
          </w14:textFill>
        </w:rPr>
        <w:t>九</w:t>
      </w:r>
      <w:r>
        <w:rPr>
          <w:rFonts w:hint="eastAsia" w:ascii="Times New Roman" w:hAnsi="宋体" w:eastAsia="宋体" w:cs="Times New Roman"/>
          <w:color w:val="000000" w:themeColor="text1"/>
          <w:kern w:val="0"/>
          <w:szCs w:val="21"/>
          <w14:textFill>
            <w14:solidFill>
              <w14:schemeClr w14:val="tx1"/>
            </w14:solidFill>
          </w14:textFill>
        </w:rPr>
        <w:t>、中小微企业声明函（</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十、监狱企业证明材料（如有）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一</w:t>
      </w:r>
      <w:r>
        <w:rPr>
          <w:rFonts w:hint="eastAsia" w:ascii="Times New Roman" w:hAnsi="宋体" w:eastAsia="宋体" w:cs="Times New Roman"/>
          <w:color w:val="000000" w:themeColor="text1"/>
          <w:kern w:val="0"/>
          <w:szCs w:val="21"/>
          <w14:textFill>
            <w14:solidFill>
              <w14:schemeClr w14:val="tx1"/>
            </w14:solidFill>
          </w14:textFill>
        </w:rPr>
        <w:t>、残疾人福利性单位声明函（如有）</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bookmarkStart w:id="60" w:name="_Hlk88446805"/>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二</w:t>
      </w:r>
      <w:r>
        <w:rPr>
          <w:rFonts w:hint="eastAsia" w:ascii="Times New Roman" w:hAnsi="宋体" w:eastAsia="宋体" w:cs="Times New Roman"/>
          <w:color w:val="000000" w:themeColor="text1"/>
          <w:kern w:val="0"/>
          <w:szCs w:val="21"/>
          <w14:textFill>
            <w14:solidFill>
              <w14:schemeClr w14:val="tx1"/>
            </w14:solidFill>
          </w14:textFill>
        </w:rPr>
        <w:t>、节能产品、环境标志产品明细表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第二部分</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技术部分格式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三</w:t>
      </w:r>
      <w:r>
        <w:rPr>
          <w:rFonts w:hint="eastAsia" w:ascii="Times New Roman" w:hAnsi="宋体" w:eastAsia="宋体" w:cs="Times New Roman"/>
          <w:color w:val="000000" w:themeColor="text1"/>
          <w:kern w:val="0"/>
          <w:szCs w:val="21"/>
          <w14:textFill>
            <w14:solidFill>
              <w14:schemeClr w14:val="tx1"/>
            </w14:solidFill>
          </w14:textFill>
        </w:rPr>
        <w:t>、技术支持资料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四</w:t>
      </w:r>
      <w:r>
        <w:rPr>
          <w:rFonts w:hint="eastAsia" w:ascii="Times New Roman" w:hAnsi="宋体" w:eastAsia="宋体" w:cs="Times New Roman"/>
          <w:color w:val="000000" w:themeColor="text1"/>
          <w:kern w:val="0"/>
          <w:szCs w:val="21"/>
          <w14:textFill>
            <w14:solidFill>
              <w14:schemeClr w14:val="tx1"/>
            </w14:solidFill>
          </w14:textFill>
        </w:rPr>
        <w:t>、技术偏离表</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五</w:t>
      </w:r>
      <w:r>
        <w:rPr>
          <w:rFonts w:hint="eastAsia" w:ascii="Times New Roman" w:hAnsi="宋体" w:eastAsia="宋体" w:cs="Times New Roman"/>
          <w:color w:val="000000" w:themeColor="text1"/>
          <w:kern w:val="0"/>
          <w:szCs w:val="21"/>
          <w14:textFill>
            <w14:solidFill>
              <w14:schemeClr w14:val="tx1"/>
            </w14:solidFill>
          </w14:textFill>
        </w:rPr>
        <w:t>、供应商认为需要加以说明的其他内容</w:t>
      </w:r>
    </w:p>
    <w:bookmarkEnd w:id="60"/>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3.4</w:t>
      </w:r>
      <w:r>
        <w:rPr>
          <w:rFonts w:hint="eastAsia" w:ascii="宋体" w:hAnsi="宋体" w:eastAsia="宋体" w:cs="宋体"/>
          <w:bCs/>
          <w:color w:val="000000" w:themeColor="text1"/>
          <w:kern w:val="0"/>
          <w:szCs w:val="21"/>
          <w14:textFill>
            <w14:solidFill>
              <w14:schemeClr w14:val="tx1"/>
            </w14:solidFill>
          </w14:textFill>
        </w:rPr>
        <w:t>投标报价</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spacing w:val="-13"/>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3.4.1</w:t>
      </w:r>
      <w:r>
        <w:rPr>
          <w:rFonts w:hint="eastAsia" w:ascii="Times New Roman" w:hAnsi="宋体" w:eastAsia="宋体" w:cs="Times New Roman"/>
          <w:color w:val="000000" w:themeColor="text1"/>
          <w:spacing w:val="-5"/>
          <w:kern w:val="0"/>
          <w:szCs w:val="21"/>
          <w14:textFill>
            <w14:solidFill>
              <w14:schemeClr w14:val="tx1"/>
            </w14:solidFill>
          </w14:textFill>
        </w:rPr>
        <w:t>根据采购文件规定的供货和责任范围，供应商应对投标产品进行总报价。供应商</w:t>
      </w:r>
      <w:r>
        <w:rPr>
          <w:rFonts w:hint="eastAsia" w:ascii="Times New Roman" w:hAnsi="宋体" w:eastAsia="宋体" w:cs="Times New Roman"/>
          <w:color w:val="000000" w:themeColor="text1"/>
          <w:spacing w:val="-11"/>
          <w:kern w:val="0"/>
          <w:szCs w:val="21"/>
          <w14:textFill>
            <w14:solidFill>
              <w14:schemeClr w14:val="tx1"/>
            </w14:solidFill>
          </w14:textFill>
        </w:rPr>
        <w:t>提供的投标报价应为目的地交货价格，总报价应包括项目合同项下成交供应商提供技术、制</w:t>
      </w:r>
      <w:r>
        <w:rPr>
          <w:rFonts w:ascii="Times New Roman" w:hAnsi="宋体" w:eastAsia="宋体" w:cs="Times New Roman"/>
          <w:color w:val="000000" w:themeColor="text1"/>
          <w:spacing w:val="-99"/>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造、运输及保险、装卸、安装、调试、验收检测费、技术服务、培训服务、售后服务、税金等的全部责任和义务。供应商未单独列明的分项价格将视该项目的费用已包含在其他分项中，合同执行中不另行支付。对采购文件中未详细</w:t>
      </w:r>
      <w:r>
        <w:rPr>
          <w:rFonts w:hint="eastAsia" w:ascii="宋体" w:hAnsi="宋体" w:eastAsia="宋体" w:cs="Times New Roman"/>
          <w:color w:val="000000" w:themeColor="text1"/>
          <w:spacing w:val="-11"/>
          <w:kern w:val="0"/>
          <w:szCs w:val="21"/>
          <w14:textFill>
            <w14:solidFill>
              <w14:schemeClr w14:val="tx1"/>
            </w14:solidFill>
          </w14:textFill>
        </w:rPr>
        <w:t>列明的</w:t>
      </w:r>
      <w:r>
        <w:rPr>
          <w:rFonts w:hint="eastAsia" w:ascii="Times New Roman" w:hAnsi="宋体" w:eastAsia="宋体" w:cs="Times New Roman"/>
          <w:color w:val="000000" w:themeColor="text1"/>
          <w:spacing w:val="-11"/>
          <w:kern w:val="0"/>
          <w:szCs w:val="21"/>
          <w14:textFill>
            <w14:solidFill>
              <w14:schemeClr w14:val="tx1"/>
            </w14:solidFill>
          </w14:textFill>
        </w:rPr>
        <w:t>，</w:t>
      </w:r>
      <w:r>
        <w:rPr>
          <w:rFonts w:hint="eastAsia" w:ascii="Times New Roman" w:hAnsi="宋体" w:eastAsia="宋体" w:cs="Times New Roman"/>
          <w:color w:val="000000" w:themeColor="text1"/>
          <w:spacing w:val="-13"/>
          <w:kern w:val="0"/>
          <w:szCs w:val="21"/>
          <w14:textFill>
            <w14:solidFill>
              <w14:schemeClr w14:val="tx1"/>
            </w14:solidFill>
          </w14:textFill>
        </w:rPr>
        <w:t>但为保证项目正常运行所需要的所有附件、零部件等费用均计入投标总价中。</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w:t>
      </w:r>
      <w:r>
        <w:rPr>
          <w:rFonts w:hint="eastAsia" w:ascii="Times New Roman" w:hAnsi="宋体" w:eastAsia="宋体" w:cs="Times New Roman"/>
          <w:color w:val="000000" w:themeColor="text1"/>
          <w:spacing w:val="-5"/>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除非供应商须知前附表另有规定，供应商提</w:t>
      </w:r>
      <w:r>
        <w:rPr>
          <w:rFonts w:ascii="Times New Roman" w:hAnsi="宋体" w:eastAsia="宋体" w:cs="Times New Roman"/>
          <w:color w:val="000000" w:themeColor="text1"/>
          <w:spacing w:val="-115"/>
          <w:kern w:val="0"/>
          <w:szCs w:val="21"/>
          <w14:textFill>
            <w14:solidFill>
              <w14:schemeClr w14:val="tx1"/>
            </w14:solidFill>
          </w14:textFill>
        </w:rPr>
        <w:t xml:space="preserve"> </w:t>
      </w:r>
      <w:r>
        <w:rPr>
          <w:rFonts w:hint="eastAsia" w:ascii="Times New Roman" w:hAnsi="宋体" w:eastAsia="宋体" w:cs="Times New Roman"/>
          <w:color w:val="000000" w:themeColor="text1"/>
          <w:spacing w:val="-14"/>
          <w:kern w:val="0"/>
          <w:szCs w:val="21"/>
          <w14:textFill>
            <w14:solidFill>
              <w14:schemeClr w14:val="tx1"/>
            </w14:solidFill>
          </w14:textFill>
        </w:rPr>
        <w:t>供的所有货物和服务均采用人民币报价。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4.3</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供应商根据上述规定所作分项报价的目的只是为了评标时对投标文件进行比较的方便，但并不限制采购人订立合同的权力。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3.4.4</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除非采购文件另有规定，每一标包只允许有一个最终报价，任何有选择的报价或替代方案将导致投标无效。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3.4.5</w:t>
      </w:r>
      <w:r>
        <w:rPr>
          <w:rFonts w:ascii="Times New Roman" w:hAnsi="宋体" w:eastAsia="宋体" w:cs="Times New Roman"/>
          <w:color w:val="000000" w:themeColor="text1"/>
          <w:spacing w:val="-39"/>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供应商应充分了解该项目的总体情况以及影响投标报价的其他要素，供应商不</w:t>
      </w:r>
      <w:r>
        <w:rPr>
          <w:rFonts w:hint="eastAsia" w:ascii="Times New Roman" w:hAnsi="宋体" w:eastAsia="宋体" w:cs="Times New Roman"/>
          <w:color w:val="000000" w:themeColor="text1"/>
          <w:spacing w:val="-4"/>
          <w:kern w:val="0"/>
          <w:szCs w:val="21"/>
          <w14:textFill>
            <w14:solidFill>
              <w14:schemeClr w14:val="tx1"/>
            </w14:solidFill>
          </w14:textFill>
        </w:rPr>
        <w:t>得以任何理由在开标后对投标报价予以修改，报价在投标有效期内是固定的，不因任何原因</w:t>
      </w:r>
      <w:r>
        <w:rPr>
          <w:rFonts w:hint="eastAsia" w:ascii="Times New Roman" w:hAnsi="宋体" w:eastAsia="宋体" w:cs="Times New Roman"/>
          <w:color w:val="000000" w:themeColor="text1"/>
          <w:spacing w:val="-10"/>
          <w:kern w:val="0"/>
          <w:szCs w:val="21"/>
          <w14:textFill>
            <w14:solidFill>
              <w14:schemeClr w14:val="tx1"/>
            </w14:solidFill>
          </w14:textFill>
        </w:rPr>
        <w:t>而改变。任何包含价格调整要求和条件的投标，将被视为非实质性响应投标而予以拒绝。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3.4.6 </w:t>
      </w:r>
      <w:r>
        <w:rPr>
          <w:rFonts w:hint="eastAsia" w:ascii="Times New Roman" w:hAnsi="宋体" w:eastAsia="宋体" w:cs="Times New Roman"/>
          <w:color w:val="000000" w:themeColor="text1"/>
          <w:kern w:val="0"/>
          <w:szCs w:val="21"/>
          <w14:textFill>
            <w14:solidFill>
              <w14:schemeClr w14:val="tx1"/>
            </w14:solidFill>
          </w14:textFill>
        </w:rPr>
        <w:t>供应商应完整地填写采购文件中提供的投标函、投标函附录和投标报价明细表，如系统配置需增加设备应单独列出。投标报价为各分项报价金额之和，投标报价与分项报价的合价不一致的，应以各分项合价累计数为准，修正投标报价；如分项报价中存在缺</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漏项，则视为缺漏项价格已包含在其他分项报价之中。供应商在投标截止时间前修改投标函中的投标报价总额，应同时修改投标文件“投标报价明细表”中的相应报价。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3.4.7</w:t>
      </w:r>
      <w:r>
        <w:rPr>
          <w:rFonts w:hint="eastAsia" w:ascii="Times New Roman" w:hAnsi="宋体" w:eastAsia="宋体" w:cs="Times New Roman"/>
          <w:color w:val="000000" w:themeColor="text1"/>
          <w:spacing w:val="2"/>
          <w:kern w:val="0"/>
          <w:szCs w:val="21"/>
          <w14:textFill>
            <w14:solidFill>
              <w14:schemeClr w14:val="tx1"/>
            </w14:solidFill>
          </w14:textFill>
        </w:rPr>
        <w:t>质保期内、外备品备件和易耗品由供应商免费供应给采购</w:t>
      </w:r>
      <w:r>
        <w:rPr>
          <w:rFonts w:hint="eastAsia" w:ascii="Times New Roman" w:hAnsi="宋体" w:eastAsia="宋体" w:cs="Times New Roman"/>
          <w:color w:val="000000" w:themeColor="text1"/>
          <w:kern w:val="0"/>
          <w:szCs w:val="21"/>
          <w14:textFill>
            <w14:solidFill>
              <w14:schemeClr w14:val="tx1"/>
            </w14:solidFill>
          </w14:textFill>
        </w:rPr>
        <w:t>人，由供应商承担所有由此发生的所有费用。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3.4.8</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本项目预算金额及最高限价：见供应商须知前附表。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3.5</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投标有效期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3.5.1</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除供应商须知前附表另有规定外，投标有效期为9</w:t>
      </w:r>
      <w:r>
        <w:rPr>
          <w:rFonts w:ascii="Times New Roman" w:hAnsi="宋体" w:eastAsia="宋体" w:cs="Times New Roman"/>
          <w:color w:val="000000" w:themeColor="text1"/>
          <w:kern w:val="0"/>
          <w:szCs w:val="21"/>
          <w14:textFill>
            <w14:solidFill>
              <w14:schemeClr w14:val="tx1"/>
            </w14:solidFill>
          </w14:textFill>
        </w:rPr>
        <w:t>0</w:t>
      </w:r>
      <w:r>
        <w:rPr>
          <w:rFonts w:hint="eastAsia" w:ascii="Times New Roman" w:hAnsi="宋体" w:eastAsia="宋体" w:cs="Times New Roman"/>
          <w:color w:val="000000" w:themeColor="text1"/>
          <w:kern w:val="0"/>
          <w:szCs w:val="21"/>
          <w14:textFill>
            <w14:solidFill>
              <w14:schemeClr w14:val="tx1"/>
            </w14:solidFill>
          </w14:textFill>
        </w:rPr>
        <w:t>日历天。</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7"/>
          <w:kern w:val="0"/>
          <w:szCs w:val="21"/>
          <w14:textFill>
            <w14:solidFill>
              <w14:schemeClr w14:val="tx1"/>
            </w14:solidFill>
          </w14:textFill>
        </w:rPr>
        <w:t>在投标有效期内，供应商撤销投标文件的，应承担采购文件和法律规定的责任。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出现特殊情况需要延长投标有效期的，采购人以书面形式通知所有供应商延长投</w:t>
      </w:r>
      <w:r>
        <w:rPr>
          <w:rFonts w:hint="eastAsia" w:ascii="Times New Roman" w:hAnsi="宋体" w:eastAsia="宋体" w:cs="Times New Roman"/>
          <w:color w:val="000000" w:themeColor="text1"/>
          <w:spacing w:val="-10"/>
          <w:kern w:val="0"/>
          <w:szCs w:val="21"/>
          <w14:textFill>
            <w14:solidFill>
              <w14:schemeClr w14:val="tx1"/>
            </w14:solidFill>
          </w14:textFill>
        </w:rPr>
        <w:t>标有效期。供应商应予以书面答复，同意延长的，但不得</w:t>
      </w:r>
      <w:r>
        <w:rPr>
          <w:rFonts w:hint="eastAsia" w:ascii="Times New Roman" w:hAnsi="宋体" w:eastAsia="宋体" w:cs="Times New Roman"/>
          <w:color w:val="000000" w:themeColor="text1"/>
          <w:spacing w:val="-4"/>
          <w:kern w:val="0"/>
          <w:szCs w:val="21"/>
          <w14:textFill>
            <w14:solidFill>
              <w14:schemeClr w14:val="tx1"/>
            </w14:solidFill>
          </w14:textFill>
        </w:rPr>
        <w:t>要求或被允许修改其投标文件；供应商拒绝延长的，其投标失效</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3.6</w:t>
      </w:r>
      <w:r>
        <w:rPr>
          <w:rFonts w:ascii="Times New Roman" w:hAnsi="宋体" w:eastAsia="宋体" w:cs="Times New Roman"/>
          <w:bCs/>
          <w:color w:val="000000" w:themeColor="text1"/>
          <w:spacing w:val="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投标保证金</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本项目不需投标保证金。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3.7</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供应商资格证明材料</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3.7.1</w:t>
      </w:r>
      <w:r>
        <w:rPr>
          <w:rFonts w:ascii="Times New Roman" w:hAnsi="宋体" w:eastAsia="宋体" w:cs="Times New Roman"/>
          <w:color w:val="000000" w:themeColor="text1"/>
          <w:spacing w:val="-2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供应商应按采购文件的规定提供相应的资格证明材料，附入投标文件中，以证明其有资格进行投标和有能力履行合同。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3.7.2 </w:t>
      </w:r>
      <w:r>
        <w:rPr>
          <w:rFonts w:hint="eastAsia" w:ascii="Times New Roman" w:hAnsi="宋体" w:eastAsia="宋体" w:cs="Times New Roman"/>
          <w:color w:val="000000" w:themeColor="text1"/>
          <w:kern w:val="0"/>
          <w:szCs w:val="21"/>
          <w14:textFill>
            <w14:solidFill>
              <w14:schemeClr w14:val="tx1"/>
            </w14:solidFill>
          </w14:textFill>
        </w:rPr>
        <w:t>供应商须提供的资格证明材料：见供应商须知前附表。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3.8</w:t>
      </w:r>
      <w:r>
        <w:rPr>
          <w:rFonts w:ascii="宋体" w:hAnsi="宋体" w:eastAsia="宋体" w:cs="宋体"/>
          <w:bCs/>
          <w:color w:val="000000" w:themeColor="text1"/>
          <w:spacing w:val="4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证明投标货物符合采购文件技术要求的文件</w:t>
      </w:r>
      <w:r>
        <w:rPr>
          <w:rFonts w:ascii="宋体" w:hAnsi="宋体" w:eastAsia="宋体" w:cs="宋体"/>
          <w:bCs/>
          <w:color w:val="000000" w:themeColor="text1"/>
          <w:w w:val="99"/>
          <w:kern w:val="0"/>
          <w:szCs w:val="21"/>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（如有）</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3.8.1 供应商应提交证明其拟供货物和服务符合采购文件规定的技术响应文件，作为投标文件的一部分。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3.8.2采购文件中为简述货物品质、基本性能而标示的品牌或型号仅供供应商选择货物在质量、水平上的比照参考，不具有限制性。供应商可提供品质相同或优于同类产品的货物。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3.8.</w:t>
      </w:r>
      <w:r>
        <w:rPr>
          <w:rFonts w:hint="eastAsia"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spacing w:val="-5"/>
          <w:kern w:val="0"/>
          <w:szCs w:val="21"/>
          <w14:textFill>
            <w14:solidFill>
              <w14:schemeClr w14:val="tx1"/>
            </w14:solidFill>
          </w14:textFill>
        </w:rPr>
        <w:t>证明文件可以是文字资料、图纸、彩页和数据</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eastAsia="zh-CN"/>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供应商应对采购文件技术要求逐条应答，并标明与采购文件条文的偏差和例外。对采购文件有具体规格、参数的指标，供应商必须提供其所投货物的具体数值。</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3.9</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投标文件的编制</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3.9.1</w:t>
      </w:r>
      <w:r>
        <w:rPr>
          <w:rFonts w:ascii="Times New Roman" w:hAnsi="宋体" w:eastAsia="宋体" w:cs="Times New Roman"/>
          <w:color w:val="000000" w:themeColor="text1"/>
          <w:spacing w:val="-1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投标文件应按第六章“投标文件格式”进行编写，如有必要，可以增加附页，</w:t>
      </w:r>
      <w:r>
        <w:rPr>
          <w:rFonts w:hint="eastAsia" w:ascii="Times New Roman" w:hAnsi="宋体" w:eastAsia="宋体" w:cs="Times New Roman"/>
          <w:color w:val="000000" w:themeColor="text1"/>
          <w:spacing w:val="-7"/>
          <w:kern w:val="0"/>
          <w:szCs w:val="21"/>
          <w14:textFill>
            <w14:solidFill>
              <w14:schemeClr w14:val="tx1"/>
            </w14:solidFill>
          </w14:textFill>
        </w:rPr>
        <w:t>作为投标文件的组成部分。格式中如供应商投标不涉及的内容，可以不予提供；采购文件未</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提供格式的投标内容，供应商可自行提供。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3.9.2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投标文件应当对采购文件交货期、质保期、投标</w:t>
      </w:r>
      <w:r>
        <w:rPr>
          <w:rFonts w:hint="eastAsia" w:ascii="Times New Roman" w:hAnsi="宋体" w:eastAsia="宋体" w:cs="Times New Roman"/>
          <w:color w:val="000000" w:themeColor="text1"/>
          <w:spacing w:val="-10"/>
          <w:kern w:val="0"/>
          <w:szCs w:val="21"/>
          <w14:textFill>
            <w14:solidFill>
              <w14:schemeClr w14:val="tx1"/>
            </w14:solidFill>
          </w14:textFill>
        </w:rPr>
        <w:t>有效期等实质性内容作出响应。投标文件在满足采购文件实质性要求的基础上，</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可以提出比采购文件要求更有利于采购人的承诺。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3.9.3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投标文件的其他内容详见供应商须知前附表。</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61" w:name="_Toc26529"/>
      <w:bookmarkStart w:id="62" w:name="_Toc5960099"/>
      <w:bookmarkStart w:id="63" w:name="_Toc17887124"/>
      <w:r>
        <w:rPr>
          <w:rFonts w:hint="eastAsia" w:ascii="宋体" w:hAnsi="宋体" w:eastAsia="宋体" w:cs="宋体"/>
          <w:b/>
          <w:bCs/>
          <w:color w:val="000000" w:themeColor="text1"/>
          <w:kern w:val="0"/>
          <w:szCs w:val="21"/>
          <w14:textFill>
            <w14:solidFill>
              <w14:schemeClr w14:val="tx1"/>
            </w14:solidFill>
          </w14:textFill>
        </w:rPr>
        <w:t>四、投标文件的递交</w:t>
      </w:r>
      <w:bookmarkEnd w:id="61"/>
      <w:bookmarkEnd w:id="62"/>
      <w:bookmarkEnd w:id="63"/>
      <w:r>
        <w:rPr>
          <w:rFonts w:ascii="宋体" w:hAnsi="宋体" w:eastAsia="宋体" w:cs="宋体"/>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kern w:val="0"/>
          <w:szCs w:val="21"/>
          <w14:textFill>
            <w14:solidFill>
              <w14:schemeClr w14:val="tx1"/>
            </w14:solidFill>
          </w14:textFill>
        </w:rPr>
      </w:pPr>
      <w:bookmarkStart w:id="64" w:name="_Toc5960100"/>
      <w:bookmarkStart w:id="65" w:name="_Toc5946372"/>
      <w:bookmarkStart w:id="66" w:name="_Toc5955989"/>
      <w:bookmarkStart w:id="67" w:name="_Toc8940"/>
      <w:bookmarkStart w:id="68" w:name="_Toc17887125"/>
      <w:r>
        <w:rPr>
          <w:rFonts w:ascii="Times New Roman" w:hAnsi="宋体" w:eastAsia="宋体" w:cs="Times New Roman"/>
          <w:bCs/>
          <w:color w:val="000000" w:themeColor="text1"/>
          <w:kern w:val="0"/>
          <w:szCs w:val="21"/>
          <w14:textFill>
            <w14:solidFill>
              <w14:schemeClr w14:val="tx1"/>
            </w14:solidFill>
          </w14:textFill>
        </w:rPr>
        <w:t xml:space="preserve">4.1 </w:t>
      </w:r>
      <w:r>
        <w:rPr>
          <w:rFonts w:hint="eastAsia" w:ascii="Times New Roman" w:hAnsi="宋体" w:eastAsia="宋体" w:cs="Times New Roman"/>
          <w:bCs/>
          <w:color w:val="000000" w:themeColor="text1"/>
          <w:kern w:val="0"/>
          <w:szCs w:val="21"/>
          <w14:textFill>
            <w14:solidFill>
              <w14:schemeClr w14:val="tx1"/>
            </w14:solidFill>
          </w14:textFill>
        </w:rPr>
        <w:t>投标文件的递交</w:t>
      </w:r>
      <w:bookmarkEnd w:id="64"/>
      <w:bookmarkEnd w:id="65"/>
      <w:bookmarkEnd w:id="66"/>
      <w:bookmarkEnd w:id="67"/>
      <w:bookmarkEnd w:id="68"/>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69" w:name="_Toc5960101"/>
      <w:bookmarkStart w:id="70" w:name="_Toc26069"/>
      <w:bookmarkStart w:id="71" w:name="_Toc5955990"/>
      <w:bookmarkStart w:id="72" w:name="_Toc17887126"/>
      <w:bookmarkStart w:id="73" w:name="_Toc5946373"/>
      <w:r>
        <w:rPr>
          <w:rFonts w:hint="eastAsia" w:ascii="Times New Roman" w:hAnsi="宋体" w:eastAsia="宋体" w:cs="Times New Roman"/>
          <w:color w:val="000000" w:themeColor="text1"/>
          <w:kern w:val="0"/>
          <w:szCs w:val="21"/>
          <w14:textFill>
            <w14:solidFill>
              <w14:schemeClr w14:val="tx1"/>
            </w14:solidFill>
          </w14:textFill>
        </w:rPr>
        <w:t xml:space="preserve">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郑州市公共资源交易中心联系。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4.2</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投标文件的修改和撤回</w:t>
      </w:r>
      <w:bookmarkEnd w:id="69"/>
      <w:bookmarkEnd w:id="70"/>
      <w:bookmarkEnd w:id="71"/>
      <w:bookmarkEnd w:id="72"/>
      <w:bookmarkEnd w:id="73"/>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bookmarkStart w:id="74" w:name="_Toc13553"/>
      <w:bookmarkStart w:id="75" w:name="_Toc17887127"/>
      <w:bookmarkStart w:id="76" w:name="_Toc5960102"/>
      <w:r>
        <w:rPr>
          <w:rFonts w:hAnsi="宋体"/>
          <w:color w:val="000000" w:themeColor="text1"/>
          <w:sz w:val="21"/>
          <w:szCs w:val="21"/>
          <w14:textFill>
            <w14:solidFill>
              <w14:schemeClr w14:val="tx1"/>
            </w14:solidFill>
          </w14:textFill>
        </w:rPr>
        <w:t>4.2.1</w:t>
      </w:r>
      <w:r>
        <w:rPr>
          <w:rFonts w:hAnsi="宋体"/>
          <w:color w:val="000000" w:themeColor="text1"/>
          <w:spacing w:val="-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供应商（供应商）应当在招标（采购）文件确定的投标截止时间前</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登录远程开标大厅</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在线准时参加开标活动并进行文件解密、答疑澄清等。</w:t>
      </w:r>
      <w:r>
        <w:rPr>
          <w:rFonts w:hAnsi="宋体"/>
          <w:color w:val="000000" w:themeColor="text1"/>
          <w:sz w:val="21"/>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4.2.2 </w:t>
      </w:r>
      <w:r>
        <w:rPr>
          <w:rFonts w:hint="eastAsia" w:hAnsi="宋体"/>
          <w:color w:val="000000" w:themeColor="text1"/>
          <w:sz w:val="21"/>
          <w:szCs w:val="21"/>
          <w14:textFill>
            <w14:solidFill>
              <w14:schemeClr w14:val="tx1"/>
            </w14:solidFill>
          </w14:textFill>
        </w:rPr>
        <w:t>供应商递交投标文件的地点：见供应商须知前附表。</w:t>
      </w:r>
      <w:r>
        <w:rPr>
          <w:rFonts w:hAnsi="宋体"/>
          <w:color w:val="000000" w:themeColor="text1"/>
          <w:sz w:val="21"/>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4.2.3 </w:t>
      </w:r>
      <w:r>
        <w:rPr>
          <w:rFonts w:hint="eastAsia" w:hAnsi="宋体"/>
          <w:color w:val="000000" w:themeColor="text1"/>
          <w:sz w:val="21"/>
          <w:szCs w:val="21"/>
          <w14:textFill>
            <w14:solidFill>
              <w14:schemeClr w14:val="tx1"/>
            </w14:solidFill>
          </w14:textFill>
        </w:rPr>
        <w:t>除供应商须知前附表另有规定外，供应商所递交的投标文件不予退还。</w:t>
      </w:r>
    </w:p>
    <w:p>
      <w:pPr>
        <w:kinsoku w:val="0"/>
        <w:overflowPunct w:val="0"/>
        <w:autoSpaceDE w:val="0"/>
        <w:autoSpaceDN w:val="0"/>
        <w:adjustRightInd w:val="0"/>
        <w:spacing w:line="360" w:lineRule="auto"/>
        <w:ind w:firstLine="420" w:firstLineChars="200"/>
        <w:jc w:val="left"/>
        <w:rPr>
          <w:rFonts w:hAnsi="宋体"/>
          <w:color w:val="000000" w:themeColor="text1"/>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4.2.4 逾期送达的或者未送达指定地点或未解密的投标文件，采购人不予受理。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r>
        <w:rPr>
          <w:rFonts w:hint="eastAsia" w:ascii="Times New Roman" w:hAnsi="宋体" w:eastAsia="宋体" w:cs="Times New Roman"/>
          <w:b/>
          <w:bCs/>
          <w:color w:val="000000" w:themeColor="text1"/>
          <w:kern w:val="0"/>
          <w:szCs w:val="21"/>
          <w14:textFill>
            <w14:solidFill>
              <w14:schemeClr w14:val="tx1"/>
            </w14:solidFill>
          </w14:textFill>
        </w:rPr>
        <w:t>五、开标与评标</w:t>
      </w:r>
      <w:bookmarkEnd w:id="74"/>
      <w:bookmarkEnd w:id="75"/>
      <w:bookmarkEnd w:id="76"/>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5.1</w:t>
      </w:r>
      <w:r>
        <w:rPr>
          <w:rFonts w:hint="eastAsia" w:ascii="Times New Roman" w:hAnsi="宋体" w:eastAsia="宋体" w:cs="Times New Roman"/>
          <w:bCs/>
          <w:color w:val="000000" w:themeColor="text1"/>
          <w:kern w:val="0"/>
          <w:szCs w:val="21"/>
          <w14:textFill>
            <w14:solidFill>
              <w14:schemeClr w14:val="tx1"/>
            </w14:solidFill>
          </w14:textFill>
        </w:rPr>
        <w:t>开标</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bookmarkStart w:id="77" w:name="_Toc5960103"/>
      <w:bookmarkStart w:id="78" w:name="_Toc5946375"/>
      <w:bookmarkStart w:id="79" w:name="_Toc5955992"/>
      <w:bookmarkStart w:id="80" w:name="_Toc23939"/>
      <w:bookmarkStart w:id="81" w:name="_Toc17887128"/>
      <w:r>
        <w:rPr>
          <w:rFonts w:hAnsi="宋体"/>
          <w:color w:val="000000" w:themeColor="text1"/>
          <w:sz w:val="21"/>
          <w:szCs w:val="21"/>
          <w14:textFill>
            <w14:solidFill>
              <w14:schemeClr w14:val="tx1"/>
            </w14:solidFill>
          </w14:textFill>
        </w:rPr>
        <w:t xml:space="preserve">5.1.1 </w:t>
      </w:r>
      <w:r>
        <w:rPr>
          <w:rFonts w:hint="eastAsia" w:hAnsi="宋体"/>
          <w:color w:val="000000" w:themeColor="text1"/>
          <w:sz w:val="21"/>
          <w:szCs w:val="21"/>
          <w14:textFill>
            <w14:solidFill>
              <w14:schemeClr w14:val="tx1"/>
            </w14:solidFill>
          </w14:textFill>
        </w:rPr>
        <w:t>采购人或采购代理机构将在供应商须知前附表规定的时间和地点通过电子交易平台公开开标。开标时，各供应商应在规定时间内对本单位的投标文件进行解密。</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2</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因供应商加密电子投标文件未能成功上传或误传而导致的解密失败</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投标将被拒绝。</w:t>
      </w:r>
      <w:r>
        <w:rPr>
          <w:rFonts w:hAnsi="宋体"/>
          <w:color w:val="000000" w:themeColor="text1"/>
          <w:sz w:val="21"/>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3</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电子投标文件进行解密后进行唱标，公布供应商名称、投标报价、交货期等内容，并记录在案</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供应商代表对开标过程和开标记录有疑义，应当场提出。采购人、采购代理机构对供应商代表提出的询问应当及时处理。</w:t>
      </w:r>
      <w:r>
        <w:rPr>
          <w:rFonts w:hAnsi="宋体"/>
          <w:color w:val="000000" w:themeColor="text1"/>
          <w:sz w:val="21"/>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供应商不足</w:t>
      </w:r>
      <w:r>
        <w:rPr>
          <w:rFonts w:hAnsi="宋体"/>
          <w:color w:val="000000" w:themeColor="text1"/>
          <w:sz w:val="21"/>
          <w:szCs w:val="21"/>
          <w14:textFill>
            <w14:solidFill>
              <w14:schemeClr w14:val="tx1"/>
            </w14:solidFill>
          </w14:textFill>
        </w:rPr>
        <w:t>3</w:t>
      </w:r>
      <w:r>
        <w:rPr>
          <w:rFonts w:hint="eastAsia" w:hAnsi="宋体"/>
          <w:color w:val="000000" w:themeColor="text1"/>
          <w:sz w:val="21"/>
          <w:szCs w:val="21"/>
          <w14:textFill>
            <w14:solidFill>
              <w14:schemeClr w14:val="tx1"/>
            </w14:solidFill>
          </w14:textFill>
        </w:rPr>
        <w:t>家的，不得开标。供应商未参加开标的，视同认可开标结果。</w:t>
      </w:r>
      <w:r>
        <w:rPr>
          <w:rFonts w:hAnsi="宋体"/>
          <w:color w:val="000000" w:themeColor="text1"/>
          <w:sz w:val="21"/>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5.2</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资格审查</w:t>
      </w:r>
      <w:bookmarkEnd w:id="77"/>
      <w:bookmarkEnd w:id="78"/>
      <w:bookmarkEnd w:id="79"/>
      <w:bookmarkEnd w:id="80"/>
      <w:bookmarkEnd w:id="81"/>
      <w:r>
        <w:rPr>
          <w:rFonts w:ascii="Times New Roman" w:hAnsi="宋体" w:eastAsia="宋体" w:cs="Times New Roman"/>
          <w:bCs/>
          <w:color w:val="000000" w:themeColor="text1"/>
          <w:w w:val="99"/>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5.2.1</w:t>
      </w:r>
      <w:r>
        <w:rPr>
          <w:rFonts w:hint="eastAsia" w:ascii="Times New Roman" w:hAnsi="宋体" w:eastAsia="宋体" w:cs="Times New Roman"/>
          <w:color w:val="000000" w:themeColor="text1"/>
          <w:spacing w:val="-9"/>
          <w:kern w:val="0"/>
          <w:szCs w:val="21"/>
          <w:lang w:eastAsia="zh-CN"/>
          <w14:textFill>
            <w14:solidFill>
              <w14:schemeClr w14:val="tx1"/>
            </w14:solidFill>
          </w14:textFill>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Times New Roman" w:hAnsi="宋体" w:eastAsia="宋体" w:cs="Times New Roman"/>
          <w:color w:val="000000" w:themeColor="text1"/>
          <w:spacing w:val="-9"/>
          <w:kern w:val="0"/>
          <w:szCs w:val="21"/>
          <w14:textFill>
            <w14:solidFill>
              <w14:schemeClr w14:val="tx1"/>
            </w14:solidFill>
          </w14:textFill>
        </w:rPr>
        <w:t>供应商的资格</w:t>
      </w:r>
      <w:r>
        <w:rPr>
          <w:rFonts w:hint="eastAsia" w:ascii="Times New Roman" w:hAnsi="宋体" w:eastAsia="宋体" w:cs="Times New Roman"/>
          <w:color w:val="000000" w:themeColor="text1"/>
          <w:kern w:val="0"/>
          <w:szCs w:val="21"/>
          <w14:textFill>
            <w14:solidFill>
              <w14:schemeClr w14:val="tx1"/>
            </w14:solidFill>
          </w14:textFill>
        </w:rPr>
        <w:t>进行审查。</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5.2.2</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资格审查内容及标准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96"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6"/>
          <w:kern w:val="0"/>
          <w:szCs w:val="21"/>
          <w14:textFill>
            <w14:solidFill>
              <w14:schemeClr w14:val="tx1"/>
            </w14:solidFill>
          </w14:textFill>
        </w:rPr>
        <w:t>（</w:t>
      </w:r>
      <w:r>
        <w:rPr>
          <w:rFonts w:ascii="Times New Roman" w:hAnsi="宋体" w:eastAsia="宋体" w:cs="Times New Roman"/>
          <w:color w:val="000000" w:themeColor="text1"/>
          <w:spacing w:val="-6"/>
          <w:kern w:val="0"/>
          <w:szCs w:val="21"/>
          <w14:textFill>
            <w14:solidFill>
              <w14:schemeClr w14:val="tx1"/>
            </w14:solidFill>
          </w14:textFill>
        </w:rPr>
        <w:t>1</w:t>
      </w:r>
      <w:r>
        <w:rPr>
          <w:rFonts w:hint="eastAsia" w:ascii="Times New Roman" w:hAnsi="宋体" w:eastAsia="宋体" w:cs="Times New Roman"/>
          <w:color w:val="000000" w:themeColor="text1"/>
          <w:spacing w:val="-6"/>
          <w:kern w:val="0"/>
          <w:szCs w:val="21"/>
          <w14:textFill>
            <w14:solidFill>
              <w14:schemeClr w14:val="tx1"/>
            </w14:solidFill>
          </w14:textFill>
        </w:rPr>
        <w:t>）资格性检查指依据法律法规和采购文件的规定，对投标文件中的资格证明材料进</w:t>
      </w:r>
      <w:r>
        <w:rPr>
          <w:rFonts w:hint="eastAsia" w:ascii="Times New Roman" w:hAnsi="宋体" w:eastAsia="宋体" w:cs="Times New Roman"/>
          <w:color w:val="000000" w:themeColor="text1"/>
          <w:kern w:val="0"/>
          <w:szCs w:val="21"/>
          <w14:textFill>
            <w14:solidFill>
              <w14:schemeClr w14:val="tx1"/>
            </w14:solidFill>
          </w14:textFill>
        </w:rPr>
        <w:t>行审查，以确定供应商是否具备投标资格。</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供应商须在投标文件中按采购文件要求提供资格证明材料，供应商若没有提供资格证明材料或资格证明材料不全的，其投标将被拒绝，不能进入评标。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2" w:name="_Toc5955993"/>
      <w:bookmarkStart w:id="83" w:name="_Toc5960104"/>
      <w:bookmarkStart w:id="84" w:name="_Toc18891"/>
      <w:bookmarkStart w:id="85" w:name="_Toc5946376"/>
      <w:bookmarkStart w:id="86" w:name="_Toc17887129"/>
      <w:r>
        <w:rPr>
          <w:rFonts w:ascii="Times New Roman" w:hAnsi="宋体" w:eastAsia="宋体" w:cs="Times New Roman"/>
          <w:bCs/>
          <w:color w:val="000000" w:themeColor="text1"/>
          <w:kern w:val="0"/>
          <w:szCs w:val="21"/>
          <w14:textFill>
            <w14:solidFill>
              <w14:schemeClr w14:val="tx1"/>
            </w14:solidFill>
          </w14:textFill>
        </w:rPr>
        <w:t>5.3</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评标</w:t>
      </w:r>
      <w:bookmarkEnd w:id="82"/>
      <w:bookmarkEnd w:id="83"/>
      <w:bookmarkEnd w:id="84"/>
      <w:bookmarkEnd w:id="85"/>
      <w:bookmarkEnd w:id="86"/>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5.3.1</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评标委员会</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auto"/>
          <w:kern w:val="0"/>
          <w:szCs w:val="21"/>
        </w:rPr>
      </w:pPr>
      <w:r>
        <w:rPr>
          <w:rFonts w:hint="eastAsia" w:ascii="Times New Roman" w:hAnsi="宋体" w:eastAsia="宋体" w:cs="Times New Roman"/>
          <w:color w:val="auto"/>
          <w:spacing w:val="3"/>
          <w:kern w:val="0"/>
          <w:szCs w:val="21"/>
        </w:rPr>
        <w:t>（1）采购人将根据招标采购设备的特点依法组建</w:t>
      </w:r>
      <w:r>
        <w:rPr>
          <w:rFonts w:hint="eastAsia" w:ascii="Times New Roman" w:hAnsi="宋体" w:eastAsia="宋体" w:cs="Times New Roman"/>
          <w:color w:val="auto"/>
          <w:spacing w:val="3"/>
          <w:kern w:val="0"/>
          <w:szCs w:val="21"/>
          <w:lang w:val="en-US" w:eastAsia="zh-CN"/>
        </w:rPr>
        <w:t>5</w:t>
      </w:r>
      <w:r>
        <w:rPr>
          <w:rFonts w:hint="eastAsia" w:ascii="Times New Roman" w:hAnsi="宋体" w:eastAsia="宋体" w:cs="Times New Roman"/>
          <w:color w:val="auto"/>
          <w:spacing w:val="3"/>
          <w:kern w:val="0"/>
          <w:szCs w:val="21"/>
        </w:rPr>
        <w:t>人的评标委员会，</w:t>
      </w:r>
      <w:r>
        <w:rPr>
          <w:rFonts w:hint="eastAsia" w:ascii="Times New Roman" w:hAnsi="宋体" w:eastAsia="宋体" w:cs="Times New Roman"/>
          <w:color w:val="auto"/>
          <w:spacing w:val="-10"/>
          <w:kern w:val="0"/>
          <w:szCs w:val="21"/>
        </w:rPr>
        <w:t>其成员由政府</w:t>
      </w:r>
      <w:r>
        <w:rPr>
          <w:rFonts w:hint="eastAsia" w:ascii="Times New Roman" w:hAnsi="宋体" w:eastAsia="宋体" w:cs="Times New Roman"/>
          <w:color w:val="auto"/>
          <w:spacing w:val="-10"/>
          <w:kern w:val="0"/>
          <w:szCs w:val="21"/>
          <w:lang w:eastAsia="zh-CN"/>
        </w:rPr>
        <w:t>组件的</w:t>
      </w:r>
      <w:r>
        <w:rPr>
          <w:rFonts w:hint="eastAsia" w:ascii="Times New Roman" w:hAnsi="宋体" w:eastAsia="宋体" w:cs="Times New Roman"/>
          <w:color w:val="auto"/>
          <w:spacing w:val="-10"/>
          <w:kern w:val="0"/>
          <w:szCs w:val="21"/>
        </w:rPr>
        <w:t>专家库中随机抽取的评审专家和采购人代表</w:t>
      </w:r>
      <w:r>
        <w:rPr>
          <w:rFonts w:hint="eastAsia" w:ascii="Times New Roman" w:hAnsi="宋体" w:eastAsia="宋体" w:cs="Times New Roman"/>
          <w:color w:val="auto"/>
          <w:spacing w:val="-5"/>
          <w:kern w:val="0"/>
          <w:szCs w:val="21"/>
        </w:rPr>
        <w:t>组成，其中评审专家不得少于成员总数的三分之二。</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）评审专家与参加采购活动的供应商存在下列利害关系之一的，应当回避：</w:t>
      </w:r>
      <w:r>
        <w:rPr>
          <w:rFonts w:ascii="Times New Roman" w:hAnsi="宋体" w:eastAsia="宋体" w:cs="Times New Roman"/>
          <w:color w:val="000000" w:themeColor="text1"/>
          <w:spacing w:val="3"/>
          <w:kern w:val="0"/>
          <w:szCs w:val="21"/>
          <w14:textFill>
            <w14:solidFill>
              <w14:schemeClr w14:val="tx1"/>
            </w14:solidFill>
          </w14:textFill>
        </w:rPr>
        <w:t>1</w:t>
      </w:r>
      <w:r>
        <w:rPr>
          <w:rFonts w:hint="eastAsia" w:ascii="Times New Roman" w:hAnsi="宋体" w:eastAsia="宋体" w:cs="Times New Roman"/>
          <w:color w:val="000000" w:themeColor="text1"/>
          <w:spacing w:val="3"/>
          <w:kern w:val="0"/>
          <w:szCs w:val="21"/>
          <w14:textFill>
            <w14:solidFill>
              <w14:schemeClr w14:val="tx1"/>
            </w14:solidFill>
          </w14:textFill>
        </w:rPr>
        <w:t>）参加采购活动前三年内</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与供应商存在劳动关系，或者担任过供应商的董事监事</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（3）与供应商有其他可能影响政府采购活动公平、公正进行的关系。评审专家发现本人与参加采购活动的供应商有利害关系的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应当主动提出回避。采购人或者采购代理机构发</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现评审专家与参加采购活动的供应商有利害关系的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应当要求其回避。</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（4）评标中因评标委员会成员缺席、回避或者健康等特殊原因导致评标委员会组成不符合规定的，采购人或者采</w:t>
      </w:r>
      <w:r>
        <w:rPr>
          <w:rFonts w:hint="eastAsia" w:ascii="Times New Roman" w:hAnsi="宋体" w:eastAsia="宋体" w:cs="Times New Roman"/>
          <w:color w:val="000000" w:themeColor="text1"/>
          <w:spacing w:val="-4"/>
          <w:kern w:val="0"/>
          <w:szCs w:val="21"/>
          <w14:textFill>
            <w14:solidFill>
              <w14:schemeClr w14:val="tx1"/>
            </w14:solidFill>
          </w14:textFill>
        </w:rPr>
        <w:t>购代理机构应当依法补足后继续评标。被更换的评标委员会</w:t>
      </w:r>
      <w:r>
        <w:rPr>
          <w:rFonts w:hint="eastAsia" w:ascii="Times New Roman" w:hAnsi="宋体" w:eastAsia="宋体" w:cs="Times New Roman"/>
          <w:color w:val="000000" w:themeColor="text1"/>
          <w:kern w:val="0"/>
          <w:szCs w:val="21"/>
          <w14:textFill>
            <w14:solidFill>
              <w14:schemeClr w14:val="tx1"/>
            </w14:solidFill>
          </w14:textFill>
        </w:rPr>
        <w:t>成员所作出的评标意见无效。无法及时补足评标委员会成员的，采购人或者采购代理机构</w:t>
      </w:r>
      <w:r>
        <w:rPr>
          <w:rFonts w:hint="eastAsia" w:ascii="Times New Roman" w:hAnsi="宋体" w:eastAsia="宋体" w:cs="Times New Roman"/>
          <w:color w:val="000000" w:themeColor="text1"/>
          <w:spacing w:val="-4"/>
          <w:kern w:val="0"/>
          <w:szCs w:val="21"/>
          <w14:textFill>
            <w14:solidFill>
              <w14:schemeClr w14:val="tx1"/>
            </w14:solidFill>
          </w14:textFill>
        </w:rPr>
        <w:t>应当停止评标活动，封存所有投标文件和开标、评标资料，依法重新组建评标委员会进行评</w:t>
      </w:r>
      <w:r>
        <w:rPr>
          <w:rFonts w:hint="eastAsia" w:ascii="Times New Roman" w:hAnsi="宋体" w:eastAsia="宋体" w:cs="Times New Roman"/>
          <w:color w:val="000000" w:themeColor="text1"/>
          <w:kern w:val="0"/>
          <w:szCs w:val="21"/>
          <w14:textFill>
            <w14:solidFill>
              <w14:schemeClr w14:val="tx1"/>
            </w14:solidFill>
          </w14:textFill>
        </w:rPr>
        <w:t>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5）评标委员会负责具体评标事务，对符合资格的供应商的投标文件进行符合性审查，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5.3.2</w:t>
      </w:r>
      <w:r>
        <w:rPr>
          <w:rFonts w:hint="eastAsia" w:ascii="Times New Roman" w:hAnsi="宋体" w:eastAsia="宋体" w:cs="Times New Roman"/>
          <w:color w:val="000000" w:themeColor="text1"/>
          <w:spacing w:val="3"/>
          <w:kern w:val="0"/>
          <w:szCs w:val="21"/>
          <w14:textFill>
            <w14:solidFill>
              <w14:schemeClr w14:val="tx1"/>
            </w14:solidFill>
          </w14:textFill>
        </w:rPr>
        <w:t xml:space="preserve"> 评标原则</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评标活动遵循公平、公正、科学和择优的原则。</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5.3.3 </w:t>
      </w:r>
      <w:r>
        <w:rPr>
          <w:rFonts w:hint="eastAsia" w:ascii="Times New Roman" w:hAnsi="宋体" w:eastAsia="宋体" w:cs="Times New Roman"/>
          <w:color w:val="000000" w:themeColor="text1"/>
          <w:spacing w:val="3"/>
          <w:kern w:val="0"/>
          <w:szCs w:val="21"/>
          <w14:textFill>
            <w14:solidFill>
              <w14:schemeClr w14:val="tx1"/>
            </w14:solidFill>
          </w14:textFill>
        </w:rPr>
        <w:t>评标方法</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本此招标采用综合评分法，具体内容详见采购文件第三章评标方法和标准。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5.3.4 </w:t>
      </w:r>
      <w:r>
        <w:rPr>
          <w:rFonts w:hint="eastAsia" w:ascii="Times New Roman" w:hAnsi="宋体" w:eastAsia="宋体" w:cs="Times New Roman"/>
          <w:color w:val="000000" w:themeColor="text1"/>
          <w:spacing w:val="3"/>
          <w:kern w:val="0"/>
          <w:szCs w:val="21"/>
          <w14:textFill>
            <w14:solidFill>
              <w14:schemeClr w14:val="tx1"/>
            </w14:solidFill>
          </w14:textFill>
        </w:rPr>
        <w:t>同品牌产品评审出现多个供应商提供相同品牌产品的，评审原则见供应商须知前附表。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5.3.5 </w:t>
      </w:r>
      <w:r>
        <w:rPr>
          <w:rFonts w:hint="eastAsia" w:ascii="Times New Roman" w:hAnsi="宋体" w:eastAsia="宋体" w:cs="Times New Roman"/>
          <w:color w:val="000000" w:themeColor="text1"/>
          <w:spacing w:val="3"/>
          <w:kern w:val="0"/>
          <w:szCs w:val="21"/>
          <w14:textFill>
            <w14:solidFill>
              <w14:schemeClr w14:val="tx1"/>
            </w14:solidFill>
          </w14:textFill>
        </w:rPr>
        <w:t>废标条件</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出现下列情形之一，将导致项目废标即本项目的所有投标被拒绝：</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）符合专业条件的供应商或者对采购文件做实质性响应的供应商不足三家；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）出现影响采购公正的违法、违规行为的；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）供应商的报价均超过了采购预算或最高限价，采购人不能支付的；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）因重大变故，采购任务取消的。</w:t>
      </w:r>
    </w:p>
    <w:p>
      <w:pPr>
        <w:tabs>
          <w:tab w:val="left" w:pos="1235"/>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5.3.6</w:t>
      </w:r>
      <w:r>
        <w:rPr>
          <w:rFonts w:hint="eastAsia" w:ascii="Times New Roman" w:hAnsi="宋体" w:eastAsia="宋体" w:cs="Times New Roman"/>
          <w:color w:val="000000" w:themeColor="text1"/>
          <w:spacing w:val="-2"/>
          <w:kern w:val="0"/>
          <w:szCs w:val="21"/>
          <w14:textFill>
            <w14:solidFill>
              <w14:schemeClr w14:val="tx1"/>
            </w14:solidFill>
          </w14:textFill>
        </w:rPr>
        <w:t>保密原则</w:t>
      </w:r>
      <w:r>
        <w:rPr>
          <w:rFonts w:ascii="Times New Roman" w:hAnsi="宋体" w:eastAsia="宋体" w:cs="Times New Roman"/>
          <w:color w:val="000000" w:themeColor="text1"/>
          <w:spacing w:val="-2"/>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）评标将在严格保密的情况下进行。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）除了依法向政府采购监管部门提供情况外，评标委员会成员及与评标活动有</w:t>
      </w:r>
      <w:r>
        <w:rPr>
          <w:rFonts w:hint="eastAsia" w:ascii="Times New Roman" w:hAnsi="宋体" w:eastAsia="宋体" w:cs="Times New Roman"/>
          <w:color w:val="000000" w:themeColor="text1"/>
          <w:spacing w:val="-7"/>
          <w:kern w:val="0"/>
          <w:szCs w:val="21"/>
          <w14:textFill>
            <w14:solidFill>
              <w14:schemeClr w14:val="tx1"/>
            </w14:solidFill>
          </w14:textFill>
        </w:rPr>
        <w:t>关的工作人员不得泄露有关投标文件的评审和比较、中标候选供应商的推荐以及与评</w:t>
      </w:r>
      <w:r>
        <w:rPr>
          <w:rFonts w:hint="eastAsia" w:ascii="Times New Roman" w:hAnsi="宋体" w:eastAsia="宋体" w:cs="Times New Roman"/>
          <w:color w:val="000000" w:themeColor="text1"/>
          <w:kern w:val="0"/>
          <w:szCs w:val="21"/>
          <w14:textFill>
            <w14:solidFill>
              <w14:schemeClr w14:val="tx1"/>
            </w14:solidFill>
          </w14:textFill>
        </w:rPr>
        <w:t>标有关的其他情况。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供应商试图影响招标采购单位和评标委员会的任何活动，将导致其投标被拒绝，</w:t>
      </w:r>
      <w:r>
        <w:rPr>
          <w:rFonts w:hint="eastAsia" w:ascii="Times New Roman" w:hAnsi="宋体" w:eastAsia="宋体" w:cs="Times New Roman"/>
          <w:color w:val="000000" w:themeColor="text1"/>
          <w:spacing w:val="-5"/>
          <w:kern w:val="0"/>
          <w:szCs w:val="21"/>
          <w14:textFill>
            <w14:solidFill>
              <w14:schemeClr w14:val="tx1"/>
            </w14:solidFill>
          </w14:textFill>
        </w:rPr>
        <w:t>并承担相应的法律责任。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bookmarkStart w:id="87" w:name="_Toc7148"/>
      <w:bookmarkStart w:id="88" w:name="_Toc17887130"/>
      <w:bookmarkStart w:id="89" w:name="_Toc5960105"/>
      <w:r>
        <w:rPr>
          <w:rFonts w:hint="eastAsia" w:ascii="Times New Roman" w:hAnsi="宋体" w:eastAsia="宋体" w:cs="Times New Roman"/>
          <w:b/>
          <w:bCs/>
          <w:color w:val="000000" w:themeColor="text1"/>
          <w:kern w:val="0"/>
          <w:szCs w:val="21"/>
          <w14:textFill>
            <w14:solidFill>
              <w14:schemeClr w14:val="tx1"/>
            </w14:solidFill>
          </w14:textFill>
        </w:rPr>
        <w:t>六、中标和合同</w:t>
      </w:r>
      <w:bookmarkEnd w:id="87"/>
      <w:bookmarkEnd w:id="88"/>
      <w:bookmarkEnd w:id="89"/>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6.1</w:t>
      </w:r>
      <w:r>
        <w:rPr>
          <w:rFonts w:hint="eastAsia" w:ascii="Times New Roman" w:hAnsi="宋体" w:eastAsia="宋体" w:cs="Times New Roman"/>
          <w:bCs/>
          <w:color w:val="000000" w:themeColor="text1"/>
          <w:kern w:val="0"/>
          <w:szCs w:val="21"/>
          <w14:textFill>
            <w14:solidFill>
              <w14:schemeClr w14:val="tx1"/>
            </w14:solidFill>
          </w14:textFill>
        </w:rPr>
        <w:t>确定中标人</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采购代理机构应当在评标结束后</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个工作日内将评标报告送采购人。采购人应当自收到评标报告之日起</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个工作日内，在评标报告确定的中标候选人名单中按顺序确定中标人。采购人在收到评标报告</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个工作日内未按评标报告推荐的中标候选人顺序确定中标人，又不能说明合法理由的，视同按评标报告推荐的顺序确定排名第一的中标候选人为中标人。</w:t>
      </w:r>
    </w:p>
    <w:p>
      <w:pPr>
        <w:kinsoku w:val="0"/>
        <w:overflowPunct w:val="0"/>
        <w:autoSpaceDE w:val="0"/>
        <w:autoSpaceDN w:val="0"/>
        <w:adjustRightInd w:val="0"/>
        <w:spacing w:line="360" w:lineRule="auto"/>
        <w:jc w:val="left"/>
        <w:rPr>
          <w:rFonts w:hint="eastAsia" w:ascii="Times New Roman" w:hAnsi="宋体" w:eastAsia="宋体" w:cs="Times New Roman"/>
          <w:bCs/>
          <w:color w:val="000000" w:themeColor="text1"/>
          <w:w w:val="99"/>
          <w:kern w:val="0"/>
          <w:szCs w:val="21"/>
          <w:lang w:eastAsia="zh-CN"/>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6.2</w:t>
      </w:r>
      <w:r>
        <w:rPr>
          <w:rFonts w:hint="eastAsia"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lang w:eastAsia="zh-CN"/>
          <w14:textFill>
            <w14:solidFill>
              <w14:schemeClr w14:val="tx1"/>
            </w14:solidFill>
          </w14:textFill>
        </w:rPr>
        <w:t>评标结果</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00"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采</w:t>
      </w:r>
      <w:r>
        <w:rPr>
          <w:rFonts w:hint="eastAsia" w:ascii="Times New Roman" w:hAnsi="宋体" w:eastAsia="宋体" w:cs="Times New Roman"/>
          <w:color w:val="000000" w:themeColor="text1"/>
          <w:spacing w:val="3"/>
          <w:kern w:val="0"/>
          <w:szCs w:val="21"/>
          <w14:textFill>
            <w14:solidFill>
              <w14:schemeClr w14:val="tx1"/>
            </w14:solidFill>
          </w14:textFill>
        </w:rPr>
        <w:t>购人或者采购代理机构应自中标人确定之日起</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w:t>
      </w:r>
      <w:r>
        <w:rPr>
          <w:rFonts w:hint="eastAsia" w:ascii="宋体" w:hAnsi="宋体"/>
          <w:szCs w:val="21"/>
          <w:highlight w:val="none"/>
        </w:rPr>
        <w:t>在省级以上财政部门指定的政府采购信息发布媒体上公告</w:t>
      </w:r>
      <w:r>
        <w:rPr>
          <w:rFonts w:hint="eastAsia" w:ascii="宋体" w:hAnsi="宋体"/>
          <w:szCs w:val="21"/>
          <w:highlight w:val="none"/>
          <w:lang w:val="en-US" w:eastAsia="zh-CN"/>
        </w:rPr>
        <w:t>中标</w:t>
      </w:r>
      <w:r>
        <w:rPr>
          <w:rFonts w:hint="eastAsia" w:ascii="宋体" w:hAnsi="宋体"/>
          <w:szCs w:val="21"/>
          <w:highlight w:val="none"/>
        </w:rPr>
        <w:t>结果</w:t>
      </w:r>
      <w:r>
        <w:rPr>
          <w:rFonts w:hint="eastAsia" w:ascii="Times New Roman" w:hAnsi="宋体" w:eastAsia="宋体" w:cs="Times New Roman"/>
          <w:color w:val="000000" w:themeColor="text1"/>
          <w:spacing w:val="3"/>
          <w:kern w:val="0"/>
          <w:szCs w:val="21"/>
          <w14:textFill>
            <w14:solidFill>
              <w14:schemeClr w14:val="tx1"/>
            </w14:solidFill>
          </w14:textFill>
        </w:rPr>
        <w:t>。供应商对</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中标</w:t>
      </w:r>
      <w:r>
        <w:rPr>
          <w:rFonts w:hint="eastAsia" w:ascii="Times New Roman" w:hAnsi="宋体" w:eastAsia="宋体" w:cs="Times New Roman"/>
          <w:color w:val="000000" w:themeColor="text1"/>
          <w:spacing w:val="3"/>
          <w:kern w:val="0"/>
          <w:szCs w:val="21"/>
          <w14:textFill>
            <w14:solidFill>
              <w14:schemeClr w14:val="tx1"/>
            </w14:solidFill>
          </w14:textFill>
        </w:rPr>
        <w:t>结果有异议的，须在中标公告发布之日起</w:t>
      </w:r>
      <w:r>
        <w:rPr>
          <w:rFonts w:ascii="Times New Roman" w:hAnsi="宋体" w:eastAsia="宋体" w:cs="Times New Roman"/>
          <w:color w:val="000000" w:themeColor="text1"/>
          <w:spacing w:val="3"/>
          <w:kern w:val="0"/>
          <w:szCs w:val="21"/>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个工作日内对</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中标</w:t>
      </w:r>
      <w:r>
        <w:rPr>
          <w:rFonts w:hint="eastAsia" w:ascii="Times New Roman" w:hAnsi="宋体" w:eastAsia="宋体" w:cs="Times New Roman"/>
          <w:color w:val="000000" w:themeColor="text1"/>
          <w:spacing w:val="3"/>
          <w:kern w:val="0"/>
          <w:szCs w:val="21"/>
          <w14:textFill>
            <w14:solidFill>
              <w14:schemeClr w14:val="tx1"/>
            </w14:solidFill>
          </w14:textFill>
        </w:rPr>
        <w:t>结果以书面形式提出质疑，质疑应当有明确的请求和必要的证明材料，供应商需对质疑内容的真实性承担责任，逾期提出的质疑，采购人或采购代理机构将不予以受理。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90" w:name="_Toc5946378"/>
      <w:bookmarkStart w:id="91" w:name="_Toc5955995"/>
      <w:bookmarkStart w:id="92" w:name="_Toc17887131"/>
      <w:bookmarkStart w:id="93" w:name="_Toc17873"/>
      <w:bookmarkStart w:id="94" w:name="_Toc5960106"/>
      <w:r>
        <w:rPr>
          <w:rFonts w:ascii="Times New Roman" w:hAnsi="宋体" w:eastAsia="宋体" w:cs="Times New Roman"/>
          <w:bCs/>
          <w:color w:val="000000" w:themeColor="text1"/>
          <w:kern w:val="0"/>
          <w:szCs w:val="21"/>
          <w14:textFill>
            <w14:solidFill>
              <w14:schemeClr w14:val="tx1"/>
            </w14:solidFill>
          </w14:textFill>
        </w:rPr>
        <w:t>6.3</w:t>
      </w:r>
      <w:r>
        <w:rPr>
          <w:rFonts w:hint="eastAsia" w:ascii="Times New Roman" w:hAnsi="宋体" w:eastAsia="宋体" w:cs="Times New Roman"/>
          <w:bCs/>
          <w:color w:val="000000" w:themeColor="text1"/>
          <w:kern w:val="0"/>
          <w:szCs w:val="21"/>
          <w14:textFill>
            <w14:solidFill>
              <w14:schemeClr w14:val="tx1"/>
            </w14:solidFill>
          </w14:textFill>
        </w:rPr>
        <w:t xml:space="preserve"> 接受和拒绝任何或所有投标的权利</w:t>
      </w:r>
      <w:bookmarkEnd w:id="90"/>
      <w:bookmarkEnd w:id="91"/>
      <w:bookmarkEnd w:id="92"/>
      <w:bookmarkEnd w:id="93"/>
      <w:bookmarkEnd w:id="9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95" w:name="_Toc17887132"/>
      <w:bookmarkStart w:id="96" w:name="_Toc5946379"/>
      <w:bookmarkStart w:id="97" w:name="_Toc5955996"/>
      <w:bookmarkStart w:id="98" w:name="_Toc30646"/>
      <w:bookmarkStart w:id="99" w:name="_Toc5960107"/>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4</w:t>
      </w:r>
      <w:r>
        <w:rPr>
          <w:rFonts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中标通知书</w:t>
      </w:r>
      <w:bookmarkEnd w:id="95"/>
      <w:bookmarkEnd w:id="96"/>
      <w:bookmarkEnd w:id="97"/>
      <w:bookmarkEnd w:id="98"/>
      <w:bookmarkEnd w:id="9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10"/>
          <w:kern w:val="0"/>
          <w:szCs w:val="21"/>
          <w14:textFill>
            <w14:solidFill>
              <w14:schemeClr w14:val="tx1"/>
            </w14:solidFill>
          </w14:textFill>
        </w:rPr>
        <w:t>在公告中标结果的同时，采购人或者采购代理机构将向中标人发出中标通知书。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中标通知书发出后，采购人不得违法改变中标结果，中标人无正当理由不得放弃中标。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中标通知书是合同的组成部分。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100" w:name="_Toc5960109"/>
      <w:bookmarkStart w:id="101" w:name="_Toc5955998"/>
      <w:bookmarkStart w:id="102" w:name="_Toc14140"/>
      <w:bookmarkStart w:id="103" w:name="_Toc17887134"/>
      <w:bookmarkStart w:id="104" w:name="_Toc5946381"/>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5 授标时更改招标设备数量的权力</w:t>
      </w:r>
      <w:bookmarkEnd w:id="100"/>
      <w:bookmarkEnd w:id="101"/>
      <w:bookmarkEnd w:id="102"/>
      <w:bookmarkEnd w:id="103"/>
      <w:bookmarkEnd w:id="10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采购人在授予合同时有权对采购文件中规定的设备数量和服务予以增加或减少，</w:t>
      </w:r>
      <w:r>
        <w:rPr>
          <w:rFonts w:hint="eastAsia" w:ascii="Times New Roman" w:hAnsi="宋体" w:eastAsia="宋体" w:cs="Times New Roman"/>
          <w:color w:val="000000" w:themeColor="text1"/>
          <w:spacing w:val="-8"/>
          <w:kern w:val="0"/>
          <w:szCs w:val="21"/>
          <w14:textFill>
            <w14:solidFill>
              <w14:schemeClr w14:val="tx1"/>
            </w14:solidFill>
          </w14:textFill>
        </w:rPr>
        <w:t>或在</w:t>
      </w:r>
      <w:r>
        <w:rPr>
          <w:rFonts w:hint="eastAsia" w:ascii="Times New Roman" w:hAnsi="宋体" w:eastAsia="宋体" w:cs="Times New Roman"/>
          <w:color w:val="000000" w:themeColor="text1"/>
          <w:spacing w:val="2"/>
          <w:kern w:val="0"/>
          <w:szCs w:val="21"/>
          <w14:textFill>
            <w14:solidFill>
              <w14:schemeClr w14:val="tx1"/>
            </w14:solidFill>
          </w14:textFill>
        </w:rPr>
        <w:t>总额不变的情况下对设备品种进行变更，但不得对单价或其它主要条款和条件做实质性改</w:t>
      </w:r>
      <w:r>
        <w:rPr>
          <w:rFonts w:hint="eastAsia" w:ascii="Times New Roman" w:hAnsi="宋体" w:eastAsia="宋体" w:cs="Times New Roman"/>
          <w:color w:val="000000" w:themeColor="text1"/>
          <w:kern w:val="0"/>
          <w:szCs w:val="21"/>
          <w14:textFill>
            <w14:solidFill>
              <w14:schemeClr w14:val="tx1"/>
            </w14:solidFill>
          </w14:textFill>
        </w:rPr>
        <w:t>变。</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05" w:name="_Toc5946382"/>
      <w:bookmarkStart w:id="106" w:name="_Toc17887135"/>
      <w:bookmarkStart w:id="107" w:name="_Toc5960110"/>
      <w:bookmarkStart w:id="108" w:name="_Toc32626"/>
      <w:bookmarkStart w:id="109" w:name="_Toc5955999"/>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6</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签订合同</w:t>
      </w:r>
      <w:bookmarkEnd w:id="105"/>
      <w:bookmarkEnd w:id="106"/>
      <w:bookmarkEnd w:id="107"/>
      <w:bookmarkEnd w:id="108"/>
      <w:bookmarkEnd w:id="10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采购人应当自中标通知书发出之日起2个工作日内，按照采购文件和中标人投标文件</w:t>
      </w:r>
      <w:r>
        <w:rPr>
          <w:rFonts w:hint="eastAsia" w:ascii="Times New Roman" w:hAnsi="宋体" w:eastAsia="宋体" w:cs="Times New Roman"/>
          <w:color w:val="000000" w:themeColor="text1"/>
          <w:spacing w:val="-10"/>
          <w:kern w:val="0"/>
          <w:szCs w:val="21"/>
          <w14:textFill>
            <w14:solidFill>
              <w14:schemeClr w14:val="tx1"/>
            </w14:solidFill>
          </w14:textFill>
        </w:rPr>
        <w:t>的规定，与中标人签订书面合同。所签订的合同不得对采购文件确定的事项和中标人投标文件</w:t>
      </w:r>
      <w:r>
        <w:rPr>
          <w:rFonts w:ascii="Times New Roman" w:hAnsi="宋体" w:eastAsia="宋体" w:cs="Times New Roman"/>
          <w:color w:val="000000" w:themeColor="text1"/>
          <w:spacing w:val="-9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作实质性修改。采购人不得向中标人提出任何不合理的要求作为签订合同的条件。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采购文件、中标人的投标文件及其澄清文件等，均为签订合同的依据。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 xml:space="preserve"> 中标通知书发出后，中标人放弃中标（不可抗力因素除外），须承担相应的法律责任。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中标</w:t>
      </w:r>
      <w:r>
        <w:rPr>
          <w:rFonts w:hint="eastAsia" w:ascii="Times New Roman" w:hAnsi="宋体" w:eastAsia="宋体" w:cs="Times New Roman"/>
          <w:color w:val="000000" w:themeColor="text1"/>
          <w:spacing w:val="-7"/>
          <w:kern w:val="0"/>
          <w:szCs w:val="21"/>
          <w14:textFill>
            <w14:solidFill>
              <w14:schemeClr w14:val="tx1"/>
            </w14:solidFill>
          </w14:textFill>
        </w:rPr>
        <w:t>人拒绝与采购人签订合同的，采购人可以按照评审报告推荐的中标候选人</w:t>
      </w:r>
      <w:r>
        <w:rPr>
          <w:rFonts w:hint="eastAsia" w:ascii="Times New Roman" w:hAnsi="宋体" w:eastAsia="宋体" w:cs="Times New Roman"/>
          <w:color w:val="000000" w:themeColor="text1"/>
          <w:kern w:val="0"/>
          <w:szCs w:val="21"/>
          <w14:textFill>
            <w14:solidFill>
              <w14:schemeClr w14:val="tx1"/>
            </w14:solidFill>
          </w14:textFill>
        </w:rPr>
        <w:t>名</w:t>
      </w:r>
      <w:r>
        <w:rPr>
          <w:rFonts w:hint="eastAsia" w:ascii="Times New Roman" w:hAnsi="宋体" w:eastAsia="宋体" w:cs="Times New Roman"/>
          <w:color w:val="000000" w:themeColor="text1"/>
          <w:spacing w:val="-8"/>
          <w:kern w:val="0"/>
          <w:szCs w:val="21"/>
          <w14:textFill>
            <w14:solidFill>
              <w14:schemeClr w14:val="tx1"/>
            </w14:solidFill>
          </w14:textFill>
        </w:rPr>
        <w:t>单排序，确定下一候选人为中标人，也可以重新开展政府采购活动。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10" w:name="_Toc5960111"/>
      <w:bookmarkStart w:id="111" w:name="_Toc5956000"/>
      <w:bookmarkStart w:id="112" w:name="_Toc17887136"/>
      <w:bookmarkStart w:id="113" w:name="_Toc5946383"/>
      <w:bookmarkStart w:id="114" w:name="_Toc605"/>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7</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纪律和监督</w:t>
      </w:r>
      <w:bookmarkEnd w:id="110"/>
      <w:bookmarkEnd w:id="111"/>
      <w:bookmarkEnd w:id="112"/>
      <w:bookmarkEnd w:id="113"/>
      <w:bookmarkEnd w:id="11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.1 </w:t>
      </w:r>
      <w:r>
        <w:rPr>
          <w:rFonts w:hint="eastAsia" w:ascii="Times New Roman" w:hAnsi="宋体" w:eastAsia="宋体" w:cs="Times New Roman"/>
          <w:color w:val="000000" w:themeColor="text1"/>
          <w:spacing w:val="3"/>
          <w:kern w:val="0"/>
          <w:szCs w:val="21"/>
          <w14:textFill>
            <w14:solidFill>
              <w14:schemeClr w14:val="tx1"/>
            </w14:solidFill>
          </w14:textFill>
        </w:rPr>
        <w:t>对采购人的纪律要求</w:t>
      </w:r>
      <w:r>
        <w:rPr>
          <w:rFonts w:hint="eastAsia" w:ascii="Times New Roman" w:hAnsi="宋体" w:eastAsia="宋体" w:cs="Times New Roman"/>
          <w:color w:val="000000" w:themeColor="text1"/>
          <w:spacing w:val="2"/>
          <w:kern w:val="0"/>
          <w:szCs w:val="21"/>
          <w14:textFill>
            <w14:solidFill>
              <w14:schemeClr w14:val="tx1"/>
            </w14:solidFill>
          </w14:textFill>
        </w:rPr>
        <w:t>采购人不得泄露招标投标活动中应当保密的情况和资料，</w:t>
      </w:r>
      <w:r>
        <w:rPr>
          <w:rFonts w:hint="eastAsia" w:ascii="Times New Roman" w:hAnsi="宋体" w:eastAsia="宋体" w:cs="Times New Roman"/>
          <w:color w:val="000000" w:themeColor="text1"/>
          <w:kern w:val="0"/>
          <w:szCs w:val="21"/>
          <w14:textFill>
            <w14:solidFill>
              <w14:schemeClr w14:val="tx1"/>
            </w14:solidFill>
          </w14:textFill>
        </w:rPr>
        <w:t>不得与供应商串通损害国家利益、社会公共利益或者他人合法权益。</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.2 </w:t>
      </w:r>
      <w:r>
        <w:rPr>
          <w:rFonts w:hint="eastAsia" w:ascii="Times New Roman" w:hAnsi="宋体" w:eastAsia="宋体" w:cs="Times New Roman"/>
          <w:color w:val="000000" w:themeColor="text1"/>
          <w:spacing w:val="-4"/>
          <w:kern w:val="0"/>
          <w:szCs w:val="21"/>
          <w14:textFill>
            <w14:solidFill>
              <w14:schemeClr w14:val="tx1"/>
            </w14:solidFill>
          </w14:textFill>
        </w:rPr>
        <w:t>对供应商的纪律要求供应商不得相互串通投标或者与采购人串通投标，不得向采购人或者评标委员会成员行贿谋取中标，不得以他人名义投标或者以其他方式弄虚作假骗取</w:t>
      </w:r>
      <w:r>
        <w:rPr>
          <w:rFonts w:hint="eastAsia" w:ascii="Times New Roman" w:hAnsi="宋体" w:eastAsia="宋体" w:cs="Times New Roman"/>
          <w:color w:val="000000" w:themeColor="text1"/>
          <w:kern w:val="0"/>
          <w:szCs w:val="21"/>
          <w14:textFill>
            <w14:solidFill>
              <w14:schemeClr w14:val="tx1"/>
            </w14:solidFill>
          </w14:textFill>
        </w:rPr>
        <w:t>中标；供应商不得以任何方式干扰、影响评标工作。</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6.</w:t>
      </w:r>
      <w:r>
        <w:rPr>
          <w:rFonts w:hint="eastAsia" w:ascii="Times New Roman" w:hAnsi="宋体" w:eastAsia="宋体" w:cs="Times New Roman"/>
          <w:color w:val="000000" w:themeColor="text1"/>
          <w:spacing w:val="3"/>
          <w:kern w:val="0"/>
          <w:szCs w:val="21"/>
          <w14:textFill>
            <w14:solidFill>
              <w14:schemeClr w14:val="tx1"/>
            </w14:solidFill>
          </w14:textFill>
        </w:rPr>
        <w:t>7</w:t>
      </w:r>
      <w:r>
        <w:rPr>
          <w:rFonts w:ascii="Times New Roman" w:hAnsi="宋体" w:eastAsia="宋体" w:cs="Times New Roman"/>
          <w:color w:val="000000" w:themeColor="text1"/>
          <w:spacing w:val="3"/>
          <w:kern w:val="0"/>
          <w:szCs w:val="21"/>
          <w14:textFill>
            <w14:solidFill>
              <w14:schemeClr w14:val="tx1"/>
            </w14:solidFill>
          </w14:textFill>
        </w:rPr>
        <w:t xml:space="preserve">.3 </w:t>
      </w:r>
      <w:r>
        <w:rPr>
          <w:rFonts w:hint="eastAsia" w:ascii="Times New Roman" w:hAnsi="宋体" w:eastAsia="宋体" w:cs="Times New Roman"/>
          <w:color w:val="000000" w:themeColor="text1"/>
          <w:spacing w:val="3"/>
          <w:kern w:val="0"/>
          <w:szCs w:val="21"/>
          <w14:textFill>
            <w14:solidFill>
              <w14:schemeClr w14:val="tx1"/>
            </w14:solidFill>
          </w14:textFill>
        </w:rPr>
        <w:t>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.4 </w:t>
      </w:r>
      <w:r>
        <w:rPr>
          <w:rFonts w:hint="eastAsia" w:ascii="Times New Roman" w:hAnsi="宋体" w:eastAsia="宋体" w:cs="Times New Roman"/>
          <w:color w:val="000000" w:themeColor="text1"/>
          <w:kern w:val="0"/>
          <w:szCs w:val="21"/>
          <w14:textFill>
            <w14:solidFill>
              <w14:schemeClr w14:val="tx1"/>
            </w14:solidFill>
          </w14:textFill>
        </w:rPr>
        <w:t>对与评标活动有关的工作人员的纪律要求与评标活动有关的工作人员不得收受</w:t>
      </w:r>
      <w:r>
        <w:rPr>
          <w:rFonts w:hint="eastAsia" w:ascii="Times New Roman" w:hAnsi="宋体" w:eastAsia="宋体" w:cs="Times New Roman"/>
          <w:color w:val="000000" w:themeColor="text1"/>
          <w:spacing w:val="-8"/>
          <w:kern w:val="0"/>
          <w:szCs w:val="21"/>
          <w14:textFill>
            <w14:solidFill>
              <w14:schemeClr w14:val="tx1"/>
            </w14:solidFill>
          </w14:textFill>
        </w:rPr>
        <w:t>他人的财物或者其他好处，不得向他人透露对投标文件的评审和比较、中标候选人的推荐情</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况以及评标有关的其他情况。在评标活动中，与评标活动有关的工作人员不得擅离职守，影</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响评标程序正常进行。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115" w:name="_Toc939"/>
      <w:bookmarkStart w:id="116" w:name="_Toc5960114"/>
      <w:bookmarkStart w:id="117" w:name="_Toc17887138"/>
      <w:r>
        <w:rPr>
          <w:rFonts w:hint="eastAsia" w:ascii="宋体" w:hAnsi="宋体" w:eastAsia="宋体" w:cs="宋体"/>
          <w:b/>
          <w:bCs/>
          <w:color w:val="000000" w:themeColor="text1"/>
          <w:kern w:val="0"/>
          <w:szCs w:val="21"/>
          <w14:textFill>
            <w14:solidFill>
              <w14:schemeClr w14:val="tx1"/>
            </w14:solidFill>
          </w14:textFill>
        </w:rPr>
        <w:t>七、质疑和投诉</w:t>
      </w:r>
      <w:bookmarkEnd w:id="115"/>
      <w:bookmarkEnd w:id="116"/>
      <w:bookmarkEnd w:id="11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政府采购供应商提出质疑和投诉应当坚持依法依规、诚实信用原则。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质疑函的接收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接收质疑函的方式：详见供应商须知前附表。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质疑函接收联系事宜：详见供应商须知前附表。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供应商可以委托代理人进行质疑和投诉。其授权委托书应当载明代理人的姓名或</w:t>
      </w:r>
      <w:r>
        <w:rPr>
          <w:rFonts w:hint="eastAsia" w:ascii="Times New Roman" w:hAnsi="宋体" w:eastAsia="宋体" w:cs="Times New Roman"/>
          <w:color w:val="000000" w:themeColor="text1"/>
          <w:spacing w:val="-10"/>
          <w:kern w:val="0"/>
          <w:szCs w:val="21"/>
          <w14:textFill>
            <w14:solidFill>
              <w14:schemeClr w14:val="tx1"/>
            </w14:solidFill>
          </w14:textFill>
        </w:rPr>
        <w:t>者名称、代理事项、具体权限、期限和相关事项。供应商为自然人的，应当由本人签字；供应</w:t>
      </w:r>
      <w:r>
        <w:rPr>
          <w:rFonts w:hint="eastAsia" w:ascii="Times New Roman" w:hAnsi="宋体" w:eastAsia="宋体" w:cs="Times New Roman"/>
          <w:color w:val="000000" w:themeColor="text1"/>
          <w:spacing w:val="-11"/>
          <w:kern w:val="0"/>
          <w:szCs w:val="21"/>
          <w14:textFill>
            <w14:solidFill>
              <w14:schemeClr w14:val="tx1"/>
            </w14:solidFill>
          </w14:textFill>
        </w:rPr>
        <w:t>商为法人或者其他组织的，应当由法定代表人、主要负责人签字或者盖章，</w:t>
      </w:r>
      <w:r>
        <w:rPr>
          <w:rFonts w:hint="eastAsia" w:ascii="Times New Roman" w:hAnsi="宋体" w:eastAsia="宋体" w:cs="Times New Roman"/>
          <w:color w:val="000000" w:themeColor="text1"/>
          <w:kern w:val="0"/>
          <w:szCs w:val="21"/>
          <w14:textFill>
            <w14:solidFill>
              <w14:schemeClr w14:val="tx1"/>
            </w14:solidFill>
          </w14:textFill>
        </w:rPr>
        <w:t>并加盖公章。代</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理人提出质疑和投诉，应当提交供应商签署的授权委托书。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18" w:name="_Toc17887139"/>
      <w:bookmarkStart w:id="119" w:name="_Toc5946387"/>
      <w:bookmarkStart w:id="120" w:name="_Toc5956004"/>
      <w:bookmarkStart w:id="121" w:name="_Toc5960115"/>
      <w:bookmarkStart w:id="122" w:name="_Toc12341"/>
      <w:r>
        <w:rPr>
          <w:rFonts w:ascii="Times New Roman" w:hAnsi="宋体" w:eastAsia="宋体" w:cs="Times New Roman"/>
          <w:color w:val="000000" w:themeColor="text1"/>
          <w:spacing w:val="-1"/>
          <w:kern w:val="0"/>
          <w:szCs w:val="21"/>
          <w14:textFill>
            <w14:solidFill>
              <w14:schemeClr w14:val="tx1"/>
            </w14:solidFill>
          </w14:textFill>
        </w:rPr>
        <w:t>7.</w:t>
      </w:r>
      <w:r>
        <w:rPr>
          <w:rFonts w:hint="eastAsia" w:ascii="Times New Roman" w:hAnsi="宋体" w:eastAsia="宋体" w:cs="Times New Roman"/>
          <w:color w:val="000000" w:themeColor="text1"/>
          <w:spacing w:val="-1"/>
          <w:kern w:val="0"/>
          <w:szCs w:val="21"/>
          <w14:textFill>
            <w14:solidFill>
              <w14:schemeClr w14:val="tx1"/>
            </w14:solidFill>
          </w14:textFill>
        </w:rPr>
        <w:t>4</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以联合体形式参加政府采购活动的，其质疑和投诉应当由组成联合体的所有供应商</w:t>
      </w:r>
      <w:r>
        <w:rPr>
          <w:rFonts w:hint="eastAsia" w:ascii="Times New Roman" w:hAnsi="宋体" w:eastAsia="宋体" w:cs="Times New Roman"/>
          <w:color w:val="000000" w:themeColor="text1"/>
          <w:kern w:val="0"/>
          <w:szCs w:val="21"/>
          <w14:textFill>
            <w14:solidFill>
              <w14:schemeClr w14:val="tx1"/>
            </w14:solidFill>
          </w14:textFill>
        </w:rPr>
        <w:t>共同提出。</w:t>
      </w:r>
      <w:bookmarkEnd w:id="118"/>
      <w:bookmarkEnd w:id="119"/>
      <w:bookmarkEnd w:id="120"/>
      <w:bookmarkEnd w:id="121"/>
      <w:bookmarkEnd w:id="122"/>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7.5 </w:t>
      </w:r>
      <w:r>
        <w:rPr>
          <w:rFonts w:hint="eastAsia" w:ascii="Times New Roman" w:hAnsi="宋体" w:eastAsia="宋体" w:cs="Times New Roman"/>
          <w:color w:val="000000" w:themeColor="text1"/>
          <w:spacing w:val="5"/>
          <w:kern w:val="0"/>
          <w:szCs w:val="21"/>
          <w14:textFill>
            <w14:solidFill>
              <w14:schemeClr w14:val="tx1"/>
            </w14:solidFill>
          </w14:textFill>
        </w:rPr>
        <w:t>供应商认为采购文件、采购过程、中标或者成交结果使自己的权益受到损害的，</w:t>
      </w:r>
      <w:r>
        <w:rPr>
          <w:rFonts w:hint="eastAsia" w:ascii="Times New Roman" w:hAnsi="宋体" w:eastAsia="宋体" w:cs="Times New Roman"/>
          <w:color w:val="000000" w:themeColor="text1"/>
          <w:kern w:val="0"/>
          <w:szCs w:val="21"/>
          <w14:textFill>
            <w14:solidFill>
              <w14:schemeClr w14:val="tx1"/>
            </w14:solidFill>
          </w14:textFill>
        </w:rPr>
        <w:t>可以在知道或者应知其权益受到损害之日起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个工作日内，以书面形式向采购人、采购代理</w:t>
      </w:r>
      <w:r>
        <w:rPr>
          <w:rFonts w:hint="eastAsia" w:ascii="Times New Roman" w:hAnsi="宋体" w:eastAsia="宋体" w:cs="Times New Roman"/>
          <w:color w:val="000000" w:themeColor="text1"/>
          <w:spacing w:val="-11"/>
          <w:kern w:val="0"/>
          <w:szCs w:val="21"/>
          <w14:textFill>
            <w14:solidFill>
              <w14:schemeClr w14:val="tx1"/>
            </w14:solidFill>
          </w14:textFill>
        </w:rPr>
        <w:t>机构提出质疑；供应商应在法定质疑期内一次性提出针对同一采购程序环节的质疑。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7.6</w:t>
      </w:r>
      <w:r>
        <w:rPr>
          <w:rFonts w:ascii="Times New Roman" w:hAnsi="宋体" w:eastAsia="宋体" w:cs="Times New Roman"/>
          <w:color w:val="000000" w:themeColor="text1"/>
          <w:spacing w:val="-6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提出质疑的供应商应当是参与所质疑项目采购活动的供应商。潜在供应商已依法</w:t>
      </w:r>
      <w:r>
        <w:rPr>
          <w:rFonts w:hint="eastAsia" w:ascii="Times New Roman" w:hAnsi="宋体" w:eastAsia="宋体" w:cs="Times New Roman"/>
          <w:color w:val="000000" w:themeColor="text1"/>
          <w:spacing w:val="-4"/>
          <w:kern w:val="0"/>
          <w:szCs w:val="21"/>
          <w14:textFill>
            <w14:solidFill>
              <w14:schemeClr w14:val="tx1"/>
            </w14:solidFill>
          </w14:textFill>
        </w:rPr>
        <w:t>获取其可质疑的采购文件的，可以对该文件提出质疑。对采购文件提出质疑的，应当在获取</w:t>
      </w:r>
      <w:r>
        <w:rPr>
          <w:rFonts w:hint="eastAsia" w:ascii="Times New Roman" w:hAnsi="宋体" w:eastAsia="宋体" w:cs="Times New Roman"/>
          <w:color w:val="000000" w:themeColor="text1"/>
          <w:kern w:val="0"/>
          <w:szCs w:val="21"/>
          <w14:textFill>
            <w14:solidFill>
              <w14:schemeClr w14:val="tx1"/>
            </w14:solidFill>
          </w14:textFill>
        </w:rPr>
        <w:t>采购文件或者采购文件公告期限届满之日起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个工作日内提出。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供应商提出质疑应当提交质疑函和必要的证明材料。质疑函应当包括下列内容：</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（一）供应商的姓名或者名称、地址、邮编、联系人及联系电话；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（二）质疑项目的名称、编号；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（三）具体、明确的质疑事项和与质疑事项相关的请求；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（四）事实依据；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（五）必要的法律依据；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eastAsia"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（六）提出质疑的日期。供应商为自然人的，应当由本人签字；供应商为法人或者其</w:t>
      </w:r>
      <w:r>
        <w:rPr>
          <w:rFonts w:hint="eastAsia" w:ascii="Times New Roman" w:hAnsi="宋体" w:eastAsia="宋体" w:cs="Times New Roman"/>
          <w:color w:val="000000" w:themeColor="text1"/>
          <w:spacing w:val="-4"/>
          <w:kern w:val="0"/>
          <w:szCs w:val="21"/>
          <w14:textFill>
            <w14:solidFill>
              <w14:schemeClr w14:val="tx1"/>
            </w14:solidFill>
          </w14:textFill>
        </w:rPr>
        <w:t>他组织的，应当由法定代表人、主要负责人，或者其授权代表签字或者盖章，并加盖公章</w:t>
      </w:r>
      <w:r>
        <w:rPr>
          <w:rFonts w:hint="eastAsia" w:ascii="Times New Roman" w:hAnsi="宋体" w:eastAsia="宋体" w:cs="Times New Roman"/>
          <w:color w:val="000000" w:themeColor="text1"/>
          <w:spacing w:val="-4"/>
          <w:kern w:val="0"/>
          <w:szCs w:val="21"/>
          <w:lang w:eastAsia="zh-CN"/>
          <w14:textFill>
            <w14:solidFill>
              <w14:schemeClr w14:val="tx1"/>
            </w14:solidFill>
          </w14:textFill>
        </w:rPr>
        <w:t>。</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采购人、采购代理机构不得拒收质疑供应商在法定质疑期内发出的质疑函，应当在收到质疑函后</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个工作日内作出答复，并以书面形式通知质疑供应商和其他有关供应商。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7.9 </w:t>
      </w:r>
      <w:r>
        <w:rPr>
          <w:rFonts w:hint="eastAsia" w:ascii="Times New Roman" w:hAnsi="宋体" w:eastAsia="宋体" w:cs="Times New Roman"/>
          <w:color w:val="000000" w:themeColor="text1"/>
          <w:kern w:val="0"/>
          <w:szCs w:val="21"/>
          <w14:textFill>
            <w14:solidFill>
              <w14:schemeClr w14:val="tx1"/>
            </w14:solidFill>
          </w14:textFill>
        </w:rPr>
        <w:t>质疑供应商对采购人、采购代理机构的答复不满意，或者采购人、采购代理机构未在规定时间内作出答复的，可以在答复期满后</w:t>
      </w:r>
      <w:r>
        <w:rPr>
          <w:rFonts w:ascii="Times New Roman" w:hAnsi="宋体" w:eastAsia="宋体" w:cs="Times New Roman"/>
          <w:color w:val="000000" w:themeColor="text1"/>
          <w:kern w:val="0"/>
          <w:szCs w:val="21"/>
          <w14:textFill>
            <w14:solidFill>
              <w14:schemeClr w14:val="tx1"/>
            </w14:solidFill>
          </w14:textFill>
        </w:rPr>
        <w:t>15</w:t>
      </w:r>
      <w:r>
        <w:rPr>
          <w:rFonts w:hint="eastAsia" w:ascii="Times New Roman" w:hAnsi="宋体" w:eastAsia="宋体" w:cs="Times New Roman"/>
          <w:color w:val="000000" w:themeColor="text1"/>
          <w:kern w:val="0"/>
          <w:szCs w:val="21"/>
          <w14:textFill>
            <w14:solidFill>
              <w14:schemeClr w14:val="tx1"/>
            </w14:solidFill>
          </w14:textFill>
        </w:rPr>
        <w:t>个工作日内按《政府采购质疑和投诉办法》（财政部令第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号）的规定向财政部门提起投诉。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7.10 </w:t>
      </w:r>
      <w:r>
        <w:rPr>
          <w:rFonts w:hint="eastAsia" w:ascii="Times New Roman" w:hAnsi="宋体" w:eastAsia="宋体" w:cs="Times New Roman"/>
          <w:color w:val="000000" w:themeColor="text1"/>
          <w:kern w:val="0"/>
          <w:szCs w:val="21"/>
          <w14:textFill>
            <w14:solidFill>
              <w14:schemeClr w14:val="tx1"/>
            </w14:solidFill>
          </w14:textFill>
        </w:rPr>
        <w:t>投诉人在全国范围</w:t>
      </w:r>
      <w:r>
        <w:rPr>
          <w:rFonts w:ascii="Times New Roman" w:hAnsi="宋体" w:eastAsia="宋体" w:cs="Times New Roman"/>
          <w:color w:val="000000" w:themeColor="text1"/>
          <w:kern w:val="0"/>
          <w:szCs w:val="21"/>
          <w14:textFill>
            <w14:solidFill>
              <w14:schemeClr w14:val="tx1"/>
            </w14:solidFill>
          </w14:textFill>
        </w:rPr>
        <w:t>12</w:t>
      </w:r>
      <w:r>
        <w:rPr>
          <w:rFonts w:hint="eastAsia" w:ascii="Times New Roman" w:hAnsi="宋体" w:eastAsia="宋体" w:cs="Times New Roman"/>
          <w:color w:val="000000" w:themeColor="text1"/>
          <w:kern w:val="0"/>
          <w:szCs w:val="21"/>
          <w14:textFill>
            <w14:solidFill>
              <w14:schemeClr w14:val="tx1"/>
            </w14:solidFill>
          </w14:textFill>
        </w:rPr>
        <w:t>个月内三次以上投诉查无实据的，由财政部门列入不良行为记录名单，投诉人有下列行为之一的，属于虚假、恶意投诉，由财政部门列入不良行为记录名单，禁止其</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至</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年内参加政府采购活动：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23" w:name="_Toc5960116"/>
      <w:bookmarkStart w:id="124" w:name="_Toc15401"/>
      <w:bookmarkStart w:id="125" w:name="_Toc5946388"/>
      <w:bookmarkStart w:id="126" w:name="_Toc17887140"/>
      <w:bookmarkStart w:id="127" w:name="_Toc5956005"/>
      <w:r>
        <w:rPr>
          <w:rFonts w:hint="eastAsia" w:ascii="Times New Roman" w:hAnsi="宋体" w:eastAsia="宋体" w:cs="Times New Roman"/>
          <w:color w:val="000000" w:themeColor="text1"/>
          <w:kern w:val="0"/>
          <w:szCs w:val="21"/>
          <w14:textFill>
            <w14:solidFill>
              <w14:schemeClr w14:val="tx1"/>
            </w14:solidFill>
          </w14:textFill>
        </w:rPr>
        <w:t>（一）捏造事实</w:t>
      </w:r>
      <w:bookmarkEnd w:id="123"/>
      <w:bookmarkEnd w:id="124"/>
      <w:bookmarkEnd w:id="125"/>
      <w:bookmarkEnd w:id="126"/>
      <w:bookmarkEnd w:id="127"/>
      <w:r>
        <w:rPr>
          <w:rFonts w:hint="eastAsia" w:ascii="Times New Roman" w:hAnsi="宋体" w:eastAsia="宋体" w:cs="Times New Roman"/>
          <w:color w:val="000000" w:themeColor="text1"/>
          <w:kern w:val="0"/>
          <w:szCs w:val="21"/>
          <w14:textFill>
            <w14:solidFill>
              <w14:schemeClr w14:val="tx1"/>
            </w14:solidFill>
          </w14:textFill>
        </w:rPr>
        <w:t>；</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28" w:name="_Toc5960117"/>
      <w:bookmarkStart w:id="129" w:name="_Toc5956006"/>
      <w:bookmarkStart w:id="130" w:name="_Toc20548"/>
      <w:bookmarkStart w:id="131" w:name="_Toc17887141"/>
      <w:bookmarkStart w:id="132" w:name="_Toc5946389"/>
      <w:r>
        <w:rPr>
          <w:rFonts w:hint="eastAsia" w:ascii="Times New Roman" w:hAnsi="宋体" w:eastAsia="宋体" w:cs="Times New Roman"/>
          <w:color w:val="000000" w:themeColor="text1"/>
          <w:kern w:val="0"/>
          <w:szCs w:val="21"/>
          <w14:textFill>
            <w14:solidFill>
              <w14:schemeClr w14:val="tx1"/>
            </w14:solidFill>
          </w14:textFill>
        </w:rPr>
        <w:t>（二）提供虚假材料</w:t>
      </w:r>
      <w:bookmarkEnd w:id="128"/>
      <w:bookmarkEnd w:id="129"/>
      <w:bookmarkEnd w:id="130"/>
      <w:bookmarkEnd w:id="131"/>
      <w:bookmarkEnd w:id="132"/>
      <w:r>
        <w:rPr>
          <w:rFonts w:hint="eastAsia" w:ascii="Times New Roman" w:hAnsi="宋体" w:eastAsia="宋体" w:cs="Times New Roman"/>
          <w:color w:val="000000" w:themeColor="text1"/>
          <w:kern w:val="0"/>
          <w:szCs w:val="21"/>
          <w14:textFill>
            <w14:solidFill>
              <w14:schemeClr w14:val="tx1"/>
            </w14:solidFill>
          </w14:textFill>
        </w:rPr>
        <w:t>；</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bookmarkStart w:id="133" w:name="_Toc5946390"/>
      <w:bookmarkStart w:id="134" w:name="_Toc17887142"/>
      <w:bookmarkStart w:id="135" w:name="_Toc5956007"/>
      <w:bookmarkStart w:id="136" w:name="_Toc5960118"/>
      <w:bookmarkStart w:id="137" w:name="_Toc26114"/>
      <w:r>
        <w:rPr>
          <w:rFonts w:hint="eastAsia" w:ascii="Times New Roman" w:hAnsi="宋体" w:eastAsia="宋体" w:cs="Times New Roman"/>
          <w:color w:val="000000" w:themeColor="text1"/>
          <w:kern w:val="0"/>
          <w:szCs w:val="21"/>
          <w14:textFill>
            <w14:solidFill>
              <w14:schemeClr w14:val="tx1"/>
            </w14:solidFill>
          </w14:textFill>
        </w:rPr>
        <w:t>（三）以非法手段取得证明材料。证据来源的合法性存在明显疑问，投诉人无法证明其取得方式合法的，视为以非法手段取得证明材料。</w:t>
      </w:r>
      <w:bookmarkEnd w:id="133"/>
      <w:bookmarkEnd w:id="134"/>
      <w:bookmarkEnd w:id="135"/>
      <w:bookmarkEnd w:id="136"/>
      <w:bookmarkEnd w:id="137"/>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6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其它未尽事宜按《政府采购质疑和投诉办法》（财政部令第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号）执行。</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各参与政府采购活动的供应商（格式见附件），在中标成交后可以持政府采购合同向融资机构申请贷款。</w:t>
      </w:r>
    </w:p>
    <w:p>
      <w:pPr>
        <w:widowControl/>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br w:type="page"/>
      </w:r>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6"/>
          <w:szCs w:val="16"/>
          <w14:textFill>
            <w14:solidFill>
              <w14:schemeClr w14:val="tx1"/>
            </w14:solidFill>
          </w14:textFill>
        </w:rPr>
      </w:pPr>
    </w:p>
    <w:p>
      <w:pPr>
        <w:kinsoku w:val="0"/>
        <w:overflowPunct w:val="0"/>
        <w:autoSpaceDE w:val="0"/>
        <w:autoSpaceDN w:val="0"/>
        <w:adjustRightInd w:val="0"/>
        <w:spacing w:line="402" w:lineRule="exact"/>
        <w:ind w:left="3489"/>
        <w:jc w:val="left"/>
        <w:outlineLvl w:val="0"/>
        <w:rPr>
          <w:rFonts w:ascii="宋体" w:hAnsi="Times New Roman" w:eastAsia="宋体" w:cs="宋体"/>
          <w:color w:val="000000" w:themeColor="text1"/>
          <w:kern w:val="0"/>
          <w:sz w:val="32"/>
          <w:szCs w:val="32"/>
          <w14:textFill>
            <w14:solidFill>
              <w14:schemeClr w14:val="tx1"/>
            </w14:solidFill>
          </w14:textFill>
        </w:rPr>
      </w:pPr>
      <w:bookmarkStart w:id="138" w:name="_Toc29087"/>
      <w:bookmarkStart w:id="139" w:name="_Toc3592"/>
      <w:bookmarkStart w:id="140" w:name="_Toc4140"/>
      <w:r>
        <w:rPr>
          <w:rFonts w:hint="eastAsia" w:ascii="宋体" w:hAnsi="Times New Roman" w:eastAsia="宋体" w:cs="宋体"/>
          <w:b/>
          <w:bCs/>
          <w:color w:val="000000" w:themeColor="text1"/>
          <w:spacing w:val="2"/>
          <w:kern w:val="0"/>
          <w:sz w:val="32"/>
          <w:szCs w:val="32"/>
          <w14:textFill>
            <w14:solidFill>
              <w14:schemeClr w14:val="tx1"/>
            </w14:solidFill>
          </w14:textFill>
        </w:rPr>
        <w:t>第三章</w:t>
      </w:r>
      <w:r>
        <w:rPr>
          <w:rFonts w:ascii="宋体" w:hAnsi="Times New Roman" w:eastAsia="宋体" w:cs="宋体"/>
          <w:b/>
          <w:bCs/>
          <w:color w:val="000000" w:themeColor="text1"/>
          <w:spacing w:val="-8"/>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评标方法和标准</w:t>
      </w:r>
      <w:bookmarkEnd w:id="138"/>
      <w:bookmarkEnd w:id="139"/>
      <w:bookmarkEnd w:id="140"/>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before="12"/>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41" w:name="_Toc25444"/>
      <w:bookmarkStart w:id="142" w:name="_Toc8356"/>
      <w:bookmarkStart w:id="143" w:name="_Toc22660"/>
      <w:bookmarkStart w:id="144" w:name="_Toc26463"/>
      <w:bookmarkStart w:id="145" w:name="_Toc3123"/>
      <w:bookmarkStart w:id="146" w:name="_Toc17887158"/>
      <w:bookmarkStart w:id="147" w:name="_Toc5960134"/>
      <w:r>
        <w:rPr>
          <w:rFonts w:hint="eastAsia" w:ascii="宋体" w:hAnsi="宋体" w:eastAsia="宋体" w:cs="宋体"/>
          <w:b/>
          <w:bCs/>
          <w:color w:val="000000" w:themeColor="text1"/>
          <w:kern w:val="0"/>
          <w:szCs w:val="21"/>
          <w14:textFill>
            <w14:solidFill>
              <w14:schemeClr w14:val="tx1"/>
            </w14:solidFill>
          </w14:textFill>
        </w:rPr>
        <w:t>一、评标依据</w:t>
      </w:r>
      <w:bookmarkEnd w:id="141"/>
      <w:bookmarkEnd w:id="142"/>
      <w:bookmarkEnd w:id="143"/>
      <w:bookmarkEnd w:id="144"/>
      <w:bookmarkEnd w:id="145"/>
      <w:bookmarkEnd w:id="146"/>
      <w:bookmarkEnd w:id="14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1.2</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《中华人民共和国政府采购法实施条例》；</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《政府采购货物和服务招标投标管理办法》（财政部第</w:t>
      </w:r>
      <w:r>
        <w:rPr>
          <w:rFonts w:ascii="Times New Roman" w:hAnsi="宋体" w:eastAsia="宋体" w:cs="Times New Roman"/>
          <w:color w:val="000000" w:themeColor="text1"/>
          <w:kern w:val="0"/>
          <w:szCs w:val="21"/>
          <w14:textFill>
            <w14:solidFill>
              <w14:schemeClr w14:val="tx1"/>
            </w14:solidFill>
          </w14:textFill>
        </w:rPr>
        <w:t>87</w:t>
      </w:r>
      <w:r>
        <w:rPr>
          <w:rFonts w:hint="eastAsia" w:ascii="Times New Roman" w:hAnsi="宋体" w:eastAsia="宋体" w:cs="Times New Roman"/>
          <w:color w:val="000000" w:themeColor="text1"/>
          <w:kern w:val="0"/>
          <w:szCs w:val="21"/>
          <w14:textFill>
            <w14:solidFill>
              <w14:schemeClr w14:val="tx1"/>
            </w14:solidFill>
          </w14:textFill>
        </w:rPr>
        <w:t>号令）；</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《政府采购促进中小企业发展管理办法》（财库〔2020〕46号）；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1.5</w:t>
      </w:r>
      <w:r>
        <w:rPr>
          <w:rFonts w:ascii="Times New Roman" w:hAnsi="宋体" w:eastAsia="宋体" w:cs="Times New Roman"/>
          <w:color w:val="000000" w:themeColor="text1"/>
          <w:spacing w:val="71"/>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财政部、司法部关于政府采购支持监狱企业发展有关问题的通知（财库</w:t>
      </w:r>
      <w:r>
        <w:rPr>
          <w:rFonts w:ascii="Times New Roman" w:hAnsi="宋体" w:eastAsia="宋体" w:cs="Times New Roman"/>
          <w:color w:val="000000" w:themeColor="text1"/>
          <w:spacing w:val="-7"/>
          <w:kern w:val="0"/>
          <w:szCs w:val="21"/>
          <w14:textFill>
            <w14:solidFill>
              <w14:schemeClr w14:val="tx1"/>
            </w14:solidFill>
          </w14:textFill>
        </w:rPr>
        <w:t xml:space="preserve">[2014]68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《三部门联合发布关于促进残疾人就业政府采购政策的通知》（财库</w:t>
      </w:r>
      <w:r>
        <w:rPr>
          <w:rFonts w:ascii="Times New Roman" w:hAnsi="宋体" w:eastAsia="宋体" w:cs="Times New Roman"/>
          <w:color w:val="000000" w:themeColor="text1"/>
          <w:kern w:val="0"/>
          <w:szCs w:val="21"/>
          <w14:textFill>
            <w14:solidFill>
              <w14:schemeClr w14:val="tx1"/>
            </w14:solidFill>
          </w14:textFill>
        </w:rPr>
        <w:t xml:space="preserve">[2017]141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1.7</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政府采购相关法律法规及本项目采购文件。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148" w:name="_Toc13171"/>
      <w:bookmarkStart w:id="149" w:name="_Toc5960135"/>
      <w:bookmarkStart w:id="150" w:name="_Toc17887159"/>
      <w:bookmarkStart w:id="151" w:name="_Toc8504"/>
      <w:bookmarkStart w:id="152" w:name="_Toc5137"/>
      <w:bookmarkStart w:id="153" w:name="_Toc4257"/>
      <w:bookmarkStart w:id="154" w:name="_Toc16639"/>
      <w:r>
        <w:rPr>
          <w:rFonts w:hint="eastAsia" w:ascii="Times New Roman" w:hAnsi="宋体" w:eastAsia="宋体" w:cs="Times New Roman"/>
          <w:b/>
          <w:bCs/>
          <w:color w:val="000000" w:themeColor="text1"/>
          <w:kern w:val="0"/>
          <w:szCs w:val="21"/>
          <w14:textFill>
            <w14:solidFill>
              <w14:schemeClr w14:val="tx1"/>
            </w14:solidFill>
          </w14:textFill>
        </w:rPr>
        <w:t>二、评标委员会</w:t>
      </w:r>
      <w:bookmarkEnd w:id="148"/>
      <w:bookmarkEnd w:id="149"/>
      <w:bookmarkEnd w:id="150"/>
      <w:bookmarkEnd w:id="151"/>
      <w:bookmarkEnd w:id="152"/>
      <w:bookmarkEnd w:id="153"/>
      <w:bookmarkEnd w:id="154"/>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auto"/>
          <w:spacing w:val="-4"/>
          <w:kern w:val="0"/>
          <w:szCs w:val="21"/>
        </w:rPr>
      </w:pPr>
      <w:r>
        <w:rPr>
          <w:rFonts w:ascii="Times New Roman" w:hAnsi="宋体" w:eastAsia="宋体" w:cs="Times New Roman"/>
          <w:color w:val="auto"/>
          <w:kern w:val="0"/>
          <w:szCs w:val="21"/>
        </w:rPr>
        <w:t>2.1</w:t>
      </w:r>
      <w:r>
        <w:rPr>
          <w:rFonts w:ascii="Times New Roman" w:hAnsi="宋体" w:eastAsia="宋体" w:cs="Times New Roman"/>
          <w:color w:val="auto"/>
          <w:spacing w:val="-61"/>
          <w:kern w:val="0"/>
          <w:szCs w:val="21"/>
        </w:rPr>
        <w:t xml:space="preserve"> </w:t>
      </w:r>
      <w:r>
        <w:rPr>
          <w:rFonts w:hint="eastAsia" w:ascii="Times New Roman" w:hAnsi="宋体" w:eastAsia="宋体" w:cs="Times New Roman"/>
          <w:color w:val="auto"/>
          <w:spacing w:val="-4"/>
          <w:kern w:val="0"/>
          <w:szCs w:val="21"/>
        </w:rPr>
        <w:t>采购人将根据招标采购设备的特点依法组建</w:t>
      </w:r>
      <w:r>
        <w:rPr>
          <w:rFonts w:hint="eastAsia" w:ascii="Times New Roman" w:hAnsi="宋体" w:eastAsia="宋体" w:cs="Times New Roman"/>
          <w:color w:val="auto"/>
          <w:spacing w:val="-4"/>
          <w:kern w:val="0"/>
          <w:szCs w:val="21"/>
          <w:lang w:val="en-US" w:eastAsia="zh-CN"/>
        </w:rPr>
        <w:t>5</w:t>
      </w:r>
      <w:r>
        <w:rPr>
          <w:rFonts w:hint="eastAsia" w:ascii="Times New Roman" w:hAnsi="宋体" w:eastAsia="宋体" w:cs="Times New Roman"/>
          <w:color w:val="auto"/>
          <w:spacing w:val="-4"/>
          <w:kern w:val="0"/>
          <w:szCs w:val="21"/>
        </w:rPr>
        <w:t>人评标委员会，除国务院财政部门规定的情形外，其成员由从政府采购专家库中随机抽取的评审专家和采购人代表组</w:t>
      </w:r>
      <w:r>
        <w:rPr>
          <w:rFonts w:ascii="Times New Roman" w:hAnsi="宋体" w:eastAsia="宋体" w:cs="Times New Roman"/>
          <w:color w:val="auto"/>
          <w:spacing w:val="-97"/>
          <w:kern w:val="0"/>
          <w:szCs w:val="21"/>
        </w:rPr>
        <w:t xml:space="preserve"> </w:t>
      </w:r>
      <w:r>
        <w:rPr>
          <w:rFonts w:hint="eastAsia" w:ascii="Times New Roman" w:hAnsi="宋体" w:eastAsia="宋体" w:cs="Times New Roman"/>
          <w:color w:val="auto"/>
          <w:kern w:val="0"/>
          <w:szCs w:val="21"/>
        </w:rPr>
        <w:t>成，其中评审专家</w:t>
      </w:r>
      <w:r>
        <w:rPr>
          <w:rFonts w:hint="eastAsia" w:ascii="Times New Roman" w:hAnsi="宋体" w:eastAsia="宋体" w:cs="Times New Roman"/>
          <w:color w:val="auto"/>
          <w:kern w:val="0"/>
          <w:szCs w:val="21"/>
          <w:lang w:val="en-US" w:eastAsia="zh-CN"/>
        </w:rPr>
        <w:t>4人，采购人代表1人</w:t>
      </w:r>
      <w:r>
        <w:rPr>
          <w:rFonts w:hint="eastAsia" w:ascii="Times New Roman" w:hAnsi="宋体" w:eastAsia="宋体" w:cs="Times New Roman"/>
          <w:color w:val="auto"/>
          <w:kern w:val="0"/>
          <w:szCs w:val="21"/>
        </w:rPr>
        <w:t>。</w:t>
      </w:r>
      <w:r>
        <w:rPr>
          <w:rFonts w:ascii="Times New Roman" w:hAnsi="宋体" w:eastAsia="宋体" w:cs="Times New Roman"/>
          <w:color w:val="auto"/>
          <w:kern w:val="0"/>
          <w:szCs w:val="21"/>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评审专家与参加采购活动的供应商存在下列利害关系之一的，应当回避：</w:t>
      </w:r>
    </w:p>
    <w:p>
      <w:pPr>
        <w:kinsoku w:val="0"/>
        <w:overflowPunct w:val="0"/>
        <w:autoSpaceDE w:val="0"/>
        <w:autoSpaceDN w:val="0"/>
        <w:adjustRightInd w:val="0"/>
        <w:spacing w:line="360" w:lineRule="auto"/>
        <w:ind w:left="420" w:leftChars="200" w:firstLine="20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3"/>
          <w:kern w:val="0"/>
          <w:szCs w:val="21"/>
          <w14:textFill>
            <w14:solidFill>
              <w14:schemeClr w14:val="tx1"/>
            </w14:solidFill>
          </w14:textFill>
        </w:rPr>
        <w:t>1）</w:t>
      </w:r>
      <w:r>
        <w:rPr>
          <w:rFonts w:hint="eastAsia" w:ascii="Times New Roman" w:hAnsi="宋体" w:eastAsia="宋体" w:cs="Times New Roman"/>
          <w:color w:val="000000" w:themeColor="text1"/>
          <w:spacing w:val="-5"/>
          <w:kern w:val="0"/>
          <w:szCs w:val="21"/>
          <w14:textFill>
            <w14:solidFill>
              <w14:schemeClr w14:val="tx1"/>
            </w14:solidFill>
          </w14:textFill>
        </w:rPr>
        <w:t>参加采购活动前三年内</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与供应商存在劳动关系</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或者担任过供应商的董事、监事</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2</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48"/>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3</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5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与供应商有其他可能影响政府采购活动公平、公正进行的关系。评审专家发现本人与参加采购活动的供应商有利害关系的，应当主动提出回避。采购人或者采购代理机构发现评审专家与参加采购活动的供应商有利害关系的</w:t>
      </w:r>
      <w:r>
        <w:rPr>
          <w:rFonts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应当要求其回避。</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2.3</w:t>
      </w:r>
      <w:r>
        <w:rPr>
          <w:rFonts w:ascii="Times New Roman" w:hAnsi="宋体" w:eastAsia="宋体" w:cs="Times New Roman"/>
          <w:color w:val="000000" w:themeColor="text1"/>
          <w:spacing w:val="-70"/>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评标中因评标委员会成员缺席、回避或者健康等特殊原因导致评标委员会组成不</w:t>
      </w:r>
      <w:r>
        <w:rPr>
          <w:rFonts w:hint="eastAsia" w:ascii="Times New Roman" w:hAnsi="宋体" w:eastAsia="宋体" w:cs="Times New Roman"/>
          <w:color w:val="000000" w:themeColor="text1"/>
          <w:spacing w:val="-4"/>
          <w:kern w:val="0"/>
          <w:szCs w:val="21"/>
          <w14:textFill>
            <w14:solidFill>
              <w14:schemeClr w14:val="tx1"/>
            </w14:solidFill>
          </w14:textFill>
        </w:rPr>
        <w:t>符合本办法规定的，采购人或者采购代理机构应当依法补足后继续评标。被更换的评标委员</w:t>
      </w:r>
      <w:r>
        <w:rPr>
          <w:rFonts w:hint="eastAsia" w:ascii="Times New Roman" w:hAnsi="宋体" w:eastAsia="宋体" w:cs="Times New Roman"/>
          <w:color w:val="000000" w:themeColor="text1"/>
          <w:kern w:val="0"/>
          <w:szCs w:val="21"/>
          <w14:textFill>
            <w14:solidFill>
              <w14:schemeClr w14:val="tx1"/>
            </w14:solidFill>
          </w14:textFill>
        </w:rPr>
        <w:t>会成员所作出的评标意见无效。无法及时补足评标委员会成员的，采购人或者采购代理机</w:t>
      </w:r>
      <w:r>
        <w:rPr>
          <w:rFonts w:hint="eastAsia" w:ascii="Times New Roman" w:hAnsi="宋体" w:eastAsia="宋体" w:cs="Times New Roman"/>
          <w:color w:val="000000" w:themeColor="text1"/>
          <w:spacing w:val="-4"/>
          <w:kern w:val="0"/>
          <w:szCs w:val="21"/>
          <w14:textFill>
            <w14:solidFill>
              <w14:schemeClr w14:val="tx1"/>
            </w14:solidFill>
          </w14:textFill>
        </w:rPr>
        <w:t>构应当停止评标活动，封存所有投标文件和开标、评标资料，依法重新组建评标委员会进行</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2.4</w:t>
      </w:r>
      <w:r>
        <w:rPr>
          <w:rFonts w:ascii="Times New Roman" w:hAnsi="宋体" w:eastAsia="宋体" w:cs="Times New Roman"/>
          <w:color w:val="000000" w:themeColor="text1"/>
          <w:spacing w:val="-54"/>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评标委员会负责具体评标事务，对符合资格的供应商的投标文件进行符合性审查，</w:t>
      </w:r>
      <w:r>
        <w:rPr>
          <w:rFonts w:hint="eastAsia" w:ascii="Times New Roman" w:hAnsi="宋体" w:eastAsia="宋体" w:cs="Times New Roman"/>
          <w:color w:val="000000" w:themeColor="text1"/>
          <w:kern w:val="0"/>
          <w:szCs w:val="21"/>
          <w14:textFill>
            <w14:solidFill>
              <w14:schemeClr w14:val="tx1"/>
            </w14:solidFill>
          </w14:textFill>
        </w:rPr>
        <w:t>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55" w:name="_Toc16459"/>
      <w:bookmarkStart w:id="156" w:name="_Toc1592"/>
      <w:bookmarkStart w:id="157" w:name="_Toc17887160"/>
      <w:bookmarkStart w:id="158" w:name="_Toc9047"/>
      <w:bookmarkStart w:id="159" w:name="_Toc22676"/>
      <w:bookmarkStart w:id="160" w:name="_Toc5960136"/>
      <w:bookmarkStart w:id="161" w:name="_Toc28040"/>
      <w:r>
        <w:rPr>
          <w:rFonts w:hint="eastAsia" w:ascii="宋体" w:hAnsi="宋体" w:eastAsia="宋体" w:cs="宋体"/>
          <w:b/>
          <w:bCs/>
          <w:color w:val="000000" w:themeColor="text1"/>
          <w:kern w:val="0"/>
          <w:szCs w:val="21"/>
          <w14:textFill>
            <w14:solidFill>
              <w14:schemeClr w14:val="tx1"/>
            </w14:solidFill>
          </w14:textFill>
        </w:rPr>
        <w:t>三、评标方法及标准</w:t>
      </w:r>
      <w:bookmarkEnd w:id="155"/>
      <w:bookmarkEnd w:id="156"/>
      <w:bookmarkEnd w:id="157"/>
      <w:bookmarkEnd w:id="158"/>
      <w:bookmarkEnd w:id="159"/>
      <w:bookmarkEnd w:id="160"/>
      <w:bookmarkEnd w:id="16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3.1 </w:t>
      </w:r>
      <w:r>
        <w:rPr>
          <w:rFonts w:hint="eastAsia" w:ascii="Times New Roman" w:hAnsi="宋体" w:eastAsia="宋体" w:cs="Times New Roman"/>
          <w:color w:val="000000" w:themeColor="text1"/>
          <w:kern w:val="0"/>
          <w:szCs w:val="21"/>
          <w14:textFill>
            <w14:solidFill>
              <w14:schemeClr w14:val="tx1"/>
            </w14:solidFill>
          </w14:textFill>
        </w:rPr>
        <w:t>本次招标采用综合评分法。评标委员会对符合资格的供应商的投标文件进行符合性审查，以确定其是否满足采购文件的实质性要求，并按照采购文件中规定的评标方法和标准，对符合性审查合格的投标文</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件进行商务和技术评估，综合比较与评价。按照本章规定的评审因素和评分标准进行打分，并按得分由高到低顺序推荐</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名中标候选人，但投标报价低于其成本的除外。综合评分相等时，以投标报价低的优先；投标报价也相等的，以技术得分高的优先；如果技术得分也相等，采取随机抽取方式确定中标候选人顺序。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3.2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采购人或者采购代理机构负责组织评标工作，并履行相关职责；评标委员会负责具体评标事务，并独立履行相关职责。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出现多个供应商提供相同品牌产品的，按以下原则进行评审：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4"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3.3.1</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单一产品采购项目，提供相同品牌产品且通过资格审查、符合性审查的不同供应</w:t>
      </w:r>
      <w:r>
        <w:rPr>
          <w:rFonts w:hint="eastAsia" w:ascii="Times New Roman" w:hAnsi="宋体" w:eastAsia="宋体" w:cs="Times New Roman"/>
          <w:color w:val="000000" w:themeColor="text1"/>
          <w:spacing w:val="-14"/>
          <w:kern w:val="0"/>
          <w:szCs w:val="21"/>
          <w14:textFill>
            <w14:solidFill>
              <w14:schemeClr w14:val="tx1"/>
            </w14:solidFill>
          </w14:textFill>
        </w:rPr>
        <w:t>商参加同一合同项下投标的，按一家供应商计算，评审后得分最高的同品牌供应商获得中标人</w:t>
      </w:r>
      <w:r>
        <w:rPr>
          <w:rFonts w:ascii="Times New Roman" w:hAnsi="宋体" w:eastAsia="宋体" w:cs="Times New Roman"/>
          <w:color w:val="000000" w:themeColor="text1"/>
          <w:spacing w:val="-10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1"/>
          <w:kern w:val="0"/>
          <w:szCs w:val="21"/>
          <w14:textFill>
            <w14:solidFill>
              <w14:schemeClr w14:val="tx1"/>
            </w14:solidFill>
          </w14:textFill>
        </w:rPr>
        <w:t>推荐资格；评审得分相同的，投标报价低的供应商获得中标人推荐资格；</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投标报价也相同的，采</w:t>
      </w:r>
      <w:r>
        <w:rPr>
          <w:rFonts w:ascii="Times New Roman" w:hAnsi="宋体" w:eastAsia="宋体" w:cs="Times New Roman"/>
          <w:color w:val="000000" w:themeColor="text1"/>
          <w:spacing w:val="-106"/>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取随机抽取方式确定一家供应商获得中标人推荐资格，其他同品牌供应商不作为中标候选人。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8"/>
          <w:kern w:val="0"/>
          <w:szCs w:val="21"/>
          <w14:textFill>
            <w14:solidFill>
              <w14:schemeClr w14:val="tx1"/>
            </w14:solidFill>
          </w14:textFill>
        </w:rPr>
        <w:t>3.3.2</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非单一产品采购项目，采购人将根据采购项目技术构成、产品价格比重等合理确</w:t>
      </w:r>
      <w:r>
        <w:rPr>
          <w:rFonts w:hint="eastAsia" w:ascii="Times New Roman" w:hAnsi="宋体" w:eastAsia="宋体" w:cs="Times New Roman"/>
          <w:color w:val="000000" w:themeColor="text1"/>
          <w:spacing w:val="-13"/>
          <w:kern w:val="0"/>
          <w:szCs w:val="21"/>
          <w14:textFill>
            <w14:solidFill>
              <w14:schemeClr w14:val="tx1"/>
            </w14:solidFill>
          </w14:textFill>
        </w:rPr>
        <w:t>定核心产品，确定的核心产品见第五章技术规格和要求，多家供应商提供的核心产品品牌相</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19"/>
          <w:kern w:val="0"/>
          <w:szCs w:val="21"/>
          <w14:textFill>
            <w14:solidFill>
              <w14:schemeClr w14:val="tx1"/>
            </w14:solidFill>
          </w14:textFill>
        </w:rPr>
        <w:t>同，且通过资格审查、符合性审查的不同供应商参加同一合同项下投标的，</w:t>
      </w:r>
      <w:r>
        <w:rPr>
          <w:rFonts w:ascii="Times New Roman" w:hAnsi="宋体" w:eastAsia="宋体" w:cs="Times New Roman"/>
          <w:color w:val="000000" w:themeColor="text1"/>
          <w:spacing w:val="-19"/>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按一家供应商计</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算，评审后得分最高的同品牌供应商获得中标人推荐资格；评审得分相同的，投标报价低的</w:t>
      </w:r>
      <w:r>
        <w:rPr>
          <w:rFonts w:hint="eastAsia" w:ascii="Times New Roman" w:hAnsi="宋体" w:eastAsia="宋体" w:cs="Times New Roman"/>
          <w:color w:val="000000" w:themeColor="text1"/>
          <w:spacing w:val="-11"/>
          <w:kern w:val="0"/>
          <w:szCs w:val="21"/>
          <w14:textFill>
            <w14:solidFill>
              <w14:schemeClr w14:val="tx1"/>
            </w14:solidFill>
          </w14:textFill>
        </w:rPr>
        <w:t>供应商获得中标人推荐资格；投标报价也相同的，采取随机抽取方式确定一家供应商获得中标</w:t>
      </w:r>
      <w:r>
        <w:rPr>
          <w:rFonts w:ascii="Times New Roman" w:hAnsi="宋体" w:eastAsia="宋体" w:cs="Times New Roman"/>
          <w:color w:val="000000" w:themeColor="text1"/>
          <w:spacing w:val="-117"/>
          <w:kern w:val="0"/>
          <w:szCs w:val="21"/>
          <w14:textFill>
            <w14:solidFill>
              <w14:schemeClr w14:val="tx1"/>
            </w14:solidFill>
          </w14:textFill>
        </w:rPr>
        <w:t xml:space="preserve"> </w:t>
      </w:r>
      <w:r>
        <w:rPr>
          <w:rFonts w:hint="eastAsia" w:ascii="Times New Roman" w:hAnsi="宋体" w:eastAsia="宋体" w:cs="Times New Roman"/>
          <w:color w:val="000000" w:themeColor="text1"/>
          <w:spacing w:val="-12"/>
          <w:kern w:val="0"/>
          <w:szCs w:val="21"/>
          <w14:textFill>
            <w14:solidFill>
              <w14:schemeClr w14:val="tx1"/>
            </w14:solidFill>
          </w14:textFill>
        </w:rPr>
        <w:t>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3.4</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评标步骤</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8"/>
          <w:kern w:val="0"/>
          <w:szCs w:val="21"/>
          <w14:textFill>
            <w14:solidFill>
              <w14:schemeClr w14:val="tx1"/>
            </w14:solidFill>
          </w14:textFill>
        </w:rPr>
        <w:t>评标分为符合性评审和详细评审两个阶段。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3.5 </w:t>
      </w:r>
      <w:r>
        <w:rPr>
          <w:rFonts w:hint="eastAsia" w:ascii="Times New Roman" w:hAnsi="宋体" w:eastAsia="宋体" w:cs="Times New Roman"/>
          <w:color w:val="000000" w:themeColor="text1"/>
          <w:spacing w:val="-5"/>
          <w:kern w:val="0"/>
          <w:szCs w:val="21"/>
          <w14:textFill>
            <w14:solidFill>
              <w14:schemeClr w14:val="tx1"/>
            </w14:solidFill>
          </w14:textFill>
        </w:rPr>
        <w:t>符合性评审评标委员会对符合资格的供应商的投标文件进行符合性审查，以确定其</w:t>
      </w:r>
      <w:r>
        <w:rPr>
          <w:rFonts w:hint="eastAsia" w:ascii="Times New Roman" w:hAnsi="宋体" w:eastAsia="宋体" w:cs="Times New Roman"/>
          <w:color w:val="000000" w:themeColor="text1"/>
          <w:kern w:val="0"/>
          <w:szCs w:val="21"/>
          <w14:textFill>
            <w14:solidFill>
              <w14:schemeClr w14:val="tx1"/>
            </w14:solidFill>
          </w14:textFill>
        </w:rPr>
        <w:t>是否满足采购文件的实质性要求。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3.5.1</w:t>
      </w:r>
      <w:r>
        <w:rPr>
          <w:rFonts w:hint="eastAsia" w:ascii="Times New Roman" w:hAnsi="宋体" w:eastAsia="宋体" w:cs="Times New Roman"/>
          <w:color w:val="000000" w:themeColor="text1"/>
          <w:spacing w:val="-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符合性审查的内容：</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 签署、盖章：投标文件按采购文件要求签署或盖章的；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 报价唯一：只有一个有效报价，未出现有选择的报价或替代方案；</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 投标报价：报价未超过采购文件中规定的预算金额或者最高限价；</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4） 投标有效期：满足采购文件要求；</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5） 交货期：满足采购文件要求；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6） 质保期：满足采购文件要求；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7） 付款条件：满足采购文件要求。</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   不同</w:t>
      </w:r>
      <w:r>
        <w:rPr>
          <w:rFonts w:hint="eastAsia" w:ascii="Times New Roman" w:hAnsi="宋体" w:eastAsia="宋体" w:cs="Times New Roman"/>
          <w:color w:val="000000" w:themeColor="text1"/>
          <w:kern w:val="0"/>
          <w:szCs w:val="21"/>
          <w:lang w:eastAsia="zh-CN"/>
          <w14:textFill>
            <w14:solidFill>
              <w14:schemeClr w14:val="tx1"/>
            </w14:solidFill>
          </w14:textFill>
        </w:rPr>
        <w:t>供应商</w:t>
      </w:r>
      <w:r>
        <w:rPr>
          <w:rFonts w:hint="eastAsia" w:ascii="Times New Roman" w:hAnsi="宋体" w:eastAsia="宋体" w:cs="Times New Roman"/>
          <w:color w:val="000000" w:themeColor="text1"/>
          <w:kern w:val="0"/>
          <w:szCs w:val="21"/>
          <w14:textFill>
            <w14:solidFill>
              <w14:schemeClr w14:val="tx1"/>
            </w14:solidFill>
          </w14:textFill>
        </w:rPr>
        <w:t>未使用同一台计算机编制投标文件。</w:t>
      </w:r>
    </w:p>
    <w:p>
      <w:pPr>
        <w:kinsoku w:val="0"/>
        <w:overflowPunct w:val="0"/>
        <w:autoSpaceDE w:val="0"/>
        <w:autoSpaceDN w:val="0"/>
        <w:adjustRightInd w:val="0"/>
        <w:spacing w:line="360" w:lineRule="auto"/>
        <w:ind w:left="119" w:right="131" w:firstLine="477"/>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 xml:space="preserve">3.5.2 </w:t>
      </w:r>
      <w:r>
        <w:rPr>
          <w:rFonts w:hint="eastAsia" w:ascii="Times New Roman" w:hAnsi="宋体" w:eastAsia="宋体" w:cs="Times New Roman"/>
          <w:color w:val="000000" w:themeColor="text1"/>
          <w:spacing w:val="-1"/>
          <w:kern w:val="0"/>
          <w:szCs w:val="21"/>
          <w14:textFill>
            <w14:solidFill>
              <w14:schemeClr w14:val="tx1"/>
            </w14:solidFill>
          </w14:textFill>
        </w:rPr>
        <w:t>符合性检查依据采购文件的规定，从投标文件的有效性、完整性和对采购文件</w:t>
      </w:r>
      <w:r>
        <w:rPr>
          <w:rFonts w:hint="eastAsia" w:ascii="Times New Roman" w:hAnsi="宋体" w:eastAsia="宋体" w:cs="Times New Roman"/>
          <w:color w:val="000000" w:themeColor="text1"/>
          <w:kern w:val="0"/>
          <w:szCs w:val="21"/>
          <w14:textFill>
            <w14:solidFill>
              <w14:schemeClr w14:val="tx1"/>
            </w14:solidFill>
          </w14:textFill>
        </w:rPr>
        <w:t>的响应程度进行审查，以确定是否对采购文件的实质性要求做出响应。</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评标委员会将审查投标文件是否完整、总体编制是否有序、文件签署是否合</w:t>
      </w:r>
      <w:r>
        <w:rPr>
          <w:rFonts w:hint="eastAsia" w:ascii="Times New Roman" w:hAnsi="宋体" w:eastAsia="宋体" w:cs="Times New Roman"/>
          <w:color w:val="000000" w:themeColor="text1"/>
          <w:kern w:val="0"/>
          <w:szCs w:val="21"/>
          <w14:textFill>
            <w14:solidFill>
              <w14:schemeClr w14:val="tx1"/>
            </w14:solidFill>
          </w14:textFill>
        </w:rPr>
        <w:t>格、有无计算上的错误等。</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投标文件报价出现前后不一致的，按照下列规定修正：</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）投标文件中开标一览表（报价表）内容与投标文件中相应内容不一致的，开标一览表（报价表）为准；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）大写金额和小写金额不一致的，以大写金额为准；</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576"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单价金额小数点或者百分比有明显错位的，以开标一览表的总价为准，并修改</w:t>
      </w:r>
      <w:r>
        <w:rPr>
          <w:rFonts w:hint="eastAsia" w:ascii="Times New Roman" w:hAnsi="宋体" w:eastAsia="宋体" w:cs="Times New Roman"/>
          <w:color w:val="000000" w:themeColor="text1"/>
          <w:kern w:val="0"/>
          <w:szCs w:val="21"/>
          <w14:textFill>
            <w14:solidFill>
              <w14:schemeClr w14:val="tx1"/>
            </w14:solidFill>
          </w14:textFill>
        </w:rPr>
        <w:t>单价；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576" w:firstLineChars="3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4</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总价金额与按单价汇总金额不一致的，以单价金额计算结果为准。同时出现</w:t>
      </w:r>
      <w:r>
        <w:rPr>
          <w:rFonts w:hint="eastAsia" w:ascii="Times New Roman" w:hAnsi="宋体" w:eastAsia="宋体" w:cs="Times New Roman"/>
          <w:color w:val="000000" w:themeColor="text1"/>
          <w:spacing w:val="-10"/>
          <w:kern w:val="0"/>
          <w:szCs w:val="21"/>
          <w14:textFill>
            <w14:solidFill>
              <w14:schemeClr w14:val="tx1"/>
            </w14:solidFill>
          </w14:textFill>
        </w:rPr>
        <w:t>两种以上不一致的，按照前款规定的顺序修正。修正后的报价经供应商确认后产生约束力，供</w:t>
      </w:r>
      <w:r>
        <w:rPr>
          <w:rFonts w:ascii="Times New Roman" w:hAnsi="宋体" w:eastAsia="宋体" w:cs="Times New Roman"/>
          <w:color w:val="000000" w:themeColor="text1"/>
          <w:spacing w:val="-8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应商不确认的，其投标无效。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评标委员会认为供应商的报价明显低于其他通过符合性审查供应商的报价，有</w:t>
      </w:r>
      <w:r>
        <w:rPr>
          <w:rFonts w:hint="eastAsia" w:ascii="Times New Roman" w:hAnsi="宋体" w:eastAsia="宋体" w:cs="Times New Roman"/>
          <w:color w:val="000000" w:themeColor="text1"/>
          <w:spacing w:val="-4"/>
          <w:kern w:val="0"/>
          <w:szCs w:val="21"/>
          <w14:textFill>
            <w14:solidFill>
              <w14:schemeClr w14:val="tx1"/>
            </w14:solidFill>
          </w14:textFill>
        </w:rPr>
        <w:t>可能影响产品质量或者不能诚信履约的，供应商不能证明其报价合理性的，评标委员会应当</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将其作为无效投标处理。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4</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对于投标文件中不构成实质性偏差的不正规、不一致或不规则，评标委员会可</w:t>
      </w:r>
      <w:r>
        <w:rPr>
          <w:rFonts w:hint="eastAsia" w:ascii="Times New Roman" w:hAnsi="宋体" w:eastAsia="宋体" w:cs="Times New Roman"/>
          <w:color w:val="000000" w:themeColor="text1"/>
          <w:kern w:val="0"/>
          <w:szCs w:val="21"/>
          <w14:textFill>
            <w14:solidFill>
              <w14:schemeClr w14:val="tx1"/>
            </w14:solidFill>
          </w14:textFill>
        </w:rPr>
        <w:t>以接受，但这种接受不能损坏或影响任何供应商的相对排序。</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348"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5</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在比较与评价之前，评标委员会要审查每份投标文件是否实质上响应了采购文件</w:t>
      </w:r>
      <w:r>
        <w:rPr>
          <w:rFonts w:hint="eastAsia" w:ascii="Times New Roman" w:hAnsi="宋体" w:eastAsia="宋体" w:cs="Times New Roman"/>
          <w:color w:val="000000" w:themeColor="text1"/>
          <w:spacing w:val="-4"/>
          <w:kern w:val="0"/>
          <w:szCs w:val="21"/>
          <w14:textFill>
            <w14:solidFill>
              <w14:schemeClr w14:val="tx1"/>
            </w14:solidFill>
          </w14:textFill>
        </w:rPr>
        <w:t>的要求。实质上响应的投标应该是与采购文件要求的全部条款、条件相符，没有重大偏</w:t>
      </w:r>
      <w:r>
        <w:rPr>
          <w:rFonts w:ascii="Times New Roman" w:hAnsi="宋体" w:eastAsia="宋体" w:cs="Times New Roman"/>
          <w:color w:val="000000" w:themeColor="text1"/>
          <w:spacing w:val="-10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离的投标。对关键条款的偏离、保留和反对，将被认为是实质上的偏离，属于</w:t>
      </w:r>
      <w:r>
        <w:rPr>
          <w:rFonts w:hint="eastAsia" w:ascii="Times New Roman" w:hAnsi="宋体" w:eastAsia="宋体" w:cs="Times New Roman"/>
          <w:color w:val="000000" w:themeColor="text1"/>
          <w:spacing w:val="-10"/>
          <w:kern w:val="0"/>
          <w:szCs w:val="21"/>
          <w14:textFill>
            <w14:solidFill>
              <w14:schemeClr w14:val="tx1"/>
            </w14:solidFill>
          </w14:textFill>
        </w:rPr>
        <w:t>无效投标被拒绝。评标委员会决定投标的响应性只根据投标文件本身的内容，而不寻求</w:t>
      </w:r>
      <w:r>
        <w:rPr>
          <w:rFonts w:hint="eastAsia" w:ascii="Times New Roman" w:hAnsi="宋体" w:eastAsia="宋体" w:cs="Times New Roman"/>
          <w:color w:val="000000" w:themeColor="text1"/>
          <w:kern w:val="0"/>
          <w:szCs w:val="21"/>
          <w14:textFill>
            <w14:solidFill>
              <w14:schemeClr w14:val="tx1"/>
            </w14:solidFill>
          </w14:textFill>
        </w:rPr>
        <w:t>外部的证据。</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ascii="Times New Roman" w:hAnsi="宋体" w:eastAsia="宋体" w:cs="Times New Roman"/>
          <w:bCs/>
          <w:color w:val="000000" w:themeColor="text1"/>
          <w:spacing w:val="-18"/>
          <w:kern w:val="0"/>
          <w:szCs w:val="21"/>
          <w14:textFill>
            <w14:solidFill>
              <w14:schemeClr w14:val="tx1"/>
            </w14:solidFill>
          </w14:textFill>
        </w:rPr>
        <w:t>6</w:t>
      </w: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实质上没有响应采购文件要求的投标将被作为无效投标被拒绝。供应商不得</w:t>
      </w:r>
      <w:r>
        <w:rPr>
          <w:rFonts w:hint="eastAsia" w:ascii="Times New Roman" w:hAnsi="宋体" w:eastAsia="宋体" w:cs="Times New Roman"/>
          <w:color w:val="000000" w:themeColor="text1"/>
          <w:spacing w:val="-4"/>
          <w:kern w:val="0"/>
          <w:szCs w:val="21"/>
          <w14:textFill>
            <w14:solidFill>
              <w14:schemeClr w14:val="tx1"/>
            </w14:solidFill>
          </w14:textFill>
        </w:rPr>
        <w:t>通过修正或撤销不符合要求的偏离或保留从而使其投标成为实质上响应的投标。</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62" w:name="_Toc6116"/>
      <w:bookmarkStart w:id="163" w:name="_Toc8502"/>
      <w:bookmarkStart w:id="164" w:name="_Toc25957"/>
      <w:bookmarkStart w:id="165" w:name="_Toc30175"/>
      <w:r>
        <w:rPr>
          <w:rFonts w:hint="eastAsia" w:ascii="宋体" w:hAnsi="宋体" w:eastAsia="宋体" w:cs="宋体"/>
          <w:b/>
          <w:bCs/>
          <w:color w:val="000000" w:themeColor="text1"/>
          <w:kern w:val="0"/>
          <w:szCs w:val="21"/>
          <w14:textFill>
            <w14:solidFill>
              <w14:schemeClr w14:val="tx1"/>
            </w14:solidFill>
          </w14:textFill>
        </w:rPr>
        <w:t>如发现下列情况之一的，其投标将被作为无效投标被拒绝：</w:t>
      </w:r>
      <w:bookmarkEnd w:id="162"/>
      <w:bookmarkEnd w:id="163"/>
      <w:bookmarkEnd w:id="164"/>
      <w:bookmarkEnd w:id="165"/>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 投标文件未按采购文件要求签署或盖章的，或无法定代表人签字，或签字人无法定代表人有效授权的；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（2） 不具备采购文件中规定的资格要求，采购人或采购代理机构资格审查不合格的；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（3） 报价不唯一，出现有选择的报价或替代方案的；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（4） 报价超过采购文件中规定的预算金额或者最高限价的；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（5） 投标有效期不足的；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（6） 交货期不满足采购文件要求的；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（7） 质量保证期不满足采购文件要求的；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（8） 付款条件不满足采购文件要求的；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（9） 投标文件含有采购人不能接受的附加条件的；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（11） 法律、法规和采购文件规定的其他无效情形。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（12）不同供应商的电子投标（响应）文件上传计算机的网卡MAC地址、CPU序列号和硬盘序列号等硬件信息相同的；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（13）不同供应商的投标（响应）文件由同一电子设备编制、打印加密或者上传；</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（14）不同供应商的投标（响应）文件由同一电子设备打印、复印；</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（15）不同供应商的投标（响应）文件由同一人送达或者分发，或者不同供应商联系人为同一人或不同联系人的联系电话一致的；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（16）不同供应商的投标（响应）文件的内容存在两处以上细节错误一致；</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（17）不同供应商的法定代表人、委托代理人、项目经理、项目负责人等由同一个单位缴纳社会保险或者领取报酬的；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（18）不同供应商投标（响应）文件中法定代表人或者负责人签字出自同一人之手；</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（19）投标文件制作机器码一致。</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（20）其它涉嫌串通的情形。</w:t>
      </w:r>
    </w:p>
    <w:p>
      <w:pPr>
        <w:kinsoku w:val="0"/>
        <w:overflowPunct w:val="0"/>
        <w:autoSpaceDE w:val="0"/>
        <w:autoSpaceDN w:val="0"/>
        <w:adjustRightInd w:val="0"/>
        <w:spacing w:line="360" w:lineRule="auto"/>
        <w:ind w:firstLine="420" w:firstLineChars="200"/>
        <w:jc w:val="both"/>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评标委员会只对在通过符合性评审，确定为实质性响应的投标文件进行下一步评</w:t>
      </w:r>
      <w:r>
        <w:rPr>
          <w:rFonts w:hint="eastAsia" w:ascii="Times New Roman" w:hAnsi="宋体" w:eastAsia="宋体" w:cs="Times New Roman"/>
          <w:color w:val="000000" w:themeColor="text1"/>
          <w:kern w:val="0"/>
          <w:szCs w:val="21"/>
          <w14:textFill>
            <w14:solidFill>
              <w14:schemeClr w14:val="tx1"/>
            </w14:solidFill>
          </w14:textFill>
        </w:rPr>
        <w:t>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3.6 </w:t>
      </w:r>
      <w:r>
        <w:rPr>
          <w:rFonts w:hint="eastAsia" w:ascii="Times New Roman" w:hAnsi="宋体" w:eastAsia="宋体" w:cs="Times New Roman"/>
          <w:color w:val="000000" w:themeColor="text1"/>
          <w:kern w:val="0"/>
          <w:szCs w:val="21"/>
          <w14:textFill>
            <w14:solidFill>
              <w14:schemeClr w14:val="tx1"/>
            </w14:solidFill>
          </w14:textFill>
        </w:rPr>
        <w:t>详细评审评标委员会应当按照采购文件中规定的评标方法和标准，对符合性审查合格的投标文件进行商务和技术评估，综合比较与评价。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1</w:t>
      </w: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澄清有关问题：对投标文件中含义不明确、同类问题表述不一致或者有明显文字和计算错误的内容，评标委员会应当书面形式要求供应商做出必要的澄清、说明或者补正。供</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应商的澄清、说明或者补正应当采用书面形式，并加盖公章，或者由法定代表人或其授权的代表签字。供应商的澄清、说明或者补正不得超出投标文件的范围或者改变投标文件的实质性内容。</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 </w:t>
      </w:r>
      <w:r>
        <w:rPr>
          <w:rFonts w:hint="eastAsia" w:ascii="宋体" w:hAnsi="宋体" w:eastAsia="宋体" w:cs="宋体"/>
          <w:color w:val="000000" w:themeColor="text1"/>
          <w:spacing w:val="-9"/>
          <w:kern w:val="0"/>
          <w:szCs w:val="21"/>
          <w14:textFill>
            <w14:solidFill>
              <w14:schemeClr w14:val="tx1"/>
            </w14:solidFill>
          </w14:textFill>
        </w:rPr>
        <w:t>比较与评价：按采购文件中规定的评标方法和标准，对符合性审查合格的投标文</w:t>
      </w:r>
      <w:r>
        <w:rPr>
          <w:rFonts w:hint="eastAsia" w:ascii="宋体" w:hAnsi="宋体" w:eastAsia="宋体" w:cs="宋体"/>
          <w:color w:val="000000" w:themeColor="text1"/>
          <w:spacing w:val="-5"/>
          <w:kern w:val="0"/>
          <w:szCs w:val="21"/>
          <w14:textFill>
            <w14:solidFill>
              <w14:schemeClr w14:val="tx1"/>
            </w14:solidFill>
          </w14:textFill>
        </w:rPr>
        <w:t>件进行商务和技术评估，综合比较与评价。</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 汇总：汇总全体评委对各供应商的打分并计算算术平均值，即供应商的最终评审得分； </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 评标结果：按评审后得分由高到低顺序排列，向采购人推荐3名中标候选人。综合评分相等时，以投标报价低的优先；</w:t>
      </w:r>
      <w:r>
        <w:rPr>
          <w:rFonts w:hint="eastAsia" w:ascii="宋体" w:hAnsi="宋体" w:eastAsia="宋体" w:cs="宋体"/>
          <w:color w:val="000000" w:themeColor="text1"/>
          <w:spacing w:val="-8"/>
          <w:kern w:val="0"/>
          <w:szCs w:val="21"/>
          <w14:textFill>
            <w14:solidFill>
              <w14:schemeClr w14:val="tx1"/>
            </w14:solidFill>
          </w14:textFill>
        </w:rPr>
        <w:t>投标报价也相等的，以技术得分高的优先；</w:t>
      </w:r>
      <w:r>
        <w:rPr>
          <w:rFonts w:hint="eastAsia" w:ascii="宋体" w:hAnsi="宋体" w:eastAsia="宋体" w:cs="宋体"/>
          <w:color w:val="000000" w:themeColor="text1"/>
          <w:kern w:val="0"/>
          <w:szCs w:val="21"/>
          <w14:textFill>
            <w14:solidFill>
              <w14:schemeClr w14:val="tx1"/>
            </w14:solidFill>
          </w14:textFill>
        </w:rPr>
        <w:t>如果技术</w:t>
      </w:r>
      <w:r>
        <w:rPr>
          <w:rFonts w:hint="eastAsia" w:ascii="宋体" w:hAnsi="宋体" w:eastAsia="宋体" w:cs="宋体"/>
          <w:color w:val="000000" w:themeColor="text1"/>
          <w:spacing w:val="-5"/>
          <w:kern w:val="0"/>
          <w:szCs w:val="21"/>
          <w14:textFill>
            <w14:solidFill>
              <w14:schemeClr w14:val="tx1"/>
            </w14:solidFill>
          </w14:textFill>
        </w:rPr>
        <w:t>得分也相等，采取随机抽取方式确定中标候选人顺序。</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（5） 评标结束后，评标委员会根据全体评标成员签字的原始评标记录和评标结果编写评标报告。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（6） 评标委员会成员对需要共同认定的事项存在争议的，应当按照少数服从多数的原则作出结论。持不同意见的评标委员会成员应当在评标报告上签署不同意见及理由，否则 视为同意评标报告。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（7） 评标结果汇总完成后，除下列情形外，任何人不得修改评标结果：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1）分值汇总计算错误的；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2）分项评分超出评分标准范围的；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3）评标委员会成员对客观评审因素评分不一致的；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4）经评标委员会认定评分畸高、畸低的。</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供应商对本条第一款情形提出质疑的，采购人或者采购代理机构可以组织原评标委员会进行重新评审，重新评审改变评标结果的，应当书面报告本级财政部门。 </w:t>
      </w:r>
    </w:p>
    <w:p>
      <w:pPr>
        <w:kinsoku w:val="0"/>
        <w:overflowPunct w:val="0"/>
        <w:autoSpaceDE w:val="0"/>
        <w:autoSpaceDN w:val="0"/>
        <w:adjustRightInd w:val="0"/>
        <w:spacing w:before="0" w:line="360" w:lineRule="auto"/>
        <w:ind w:left="0" w:firstLine="208" w:firstLineChars="100"/>
        <w:jc w:val="left"/>
        <w:rPr>
          <w:rFonts w:hint="eastAsia" w:ascii="Times New Roman" w:hAnsi="宋体" w:eastAsia="宋体" w:cs="Times New Roman"/>
          <w:color w:val="000000" w:themeColor="text1"/>
          <w:spacing w:val="-1"/>
          <w:kern w:val="0"/>
          <w:sz w:val="21"/>
          <w:szCs w:val="21"/>
          <w14:textFill>
            <w14:solidFill>
              <w14:schemeClr w14:val="tx1"/>
            </w14:solidFill>
          </w14:textFill>
        </w:rPr>
        <w:sectPr>
          <w:pgSz w:w="11920" w:h="16850"/>
          <w:pgMar w:top="1360" w:right="1100" w:bottom="1200" w:left="1100" w:header="0" w:footer="1009" w:gutter="0"/>
          <w:pgNumType w:fmt="numberInDash"/>
          <w:cols w:space="720" w:num="1"/>
        </w:sectPr>
      </w:pPr>
    </w:p>
    <w:p>
      <w:pPr>
        <w:kinsoku w:val="0"/>
        <w:overflowPunct w:val="0"/>
        <w:autoSpaceDE w:val="0"/>
        <w:autoSpaceDN w:val="0"/>
        <w:adjustRightInd w:val="0"/>
        <w:spacing w:before="156" w:beforeLines="50" w:after="156" w:afterLines="50"/>
        <w:jc w:val="left"/>
        <w:outlineLvl w:val="0"/>
        <w:rPr>
          <w:rFonts w:ascii="宋体" w:hAnsi="宋体" w:eastAsia="宋体" w:cs="宋体"/>
          <w:color w:val="000000" w:themeColor="text1"/>
          <w:kern w:val="0"/>
          <w:szCs w:val="21"/>
          <w14:textFill>
            <w14:solidFill>
              <w14:schemeClr w14:val="tx1"/>
            </w14:solidFill>
          </w14:textFill>
        </w:rPr>
      </w:pPr>
      <w:bookmarkStart w:id="166" w:name="_Toc10932"/>
      <w:bookmarkStart w:id="167" w:name="_Toc1596"/>
      <w:bookmarkStart w:id="168" w:name="_Toc17887161"/>
      <w:bookmarkStart w:id="169" w:name="_Toc5960137"/>
      <w:bookmarkStart w:id="170" w:name="_Toc24712"/>
      <w:bookmarkStart w:id="171" w:name="_Toc3209"/>
      <w:bookmarkStart w:id="172" w:name="_Toc25309"/>
      <w:r>
        <w:rPr>
          <w:rFonts w:hint="eastAsia" w:ascii="宋体" w:hAnsi="宋体" w:eastAsia="宋体" w:cs="宋体"/>
          <w:b/>
          <w:bCs/>
          <w:color w:val="000000" w:themeColor="text1"/>
          <w:kern w:val="0"/>
          <w:szCs w:val="21"/>
          <w14:textFill>
            <w14:solidFill>
              <w14:schemeClr w14:val="tx1"/>
            </w14:solidFill>
          </w14:textFill>
        </w:rPr>
        <w:t>四、评审因素及评分标准</w:t>
      </w:r>
      <w:bookmarkEnd w:id="166"/>
      <w:bookmarkEnd w:id="167"/>
      <w:bookmarkEnd w:id="168"/>
      <w:bookmarkEnd w:id="169"/>
      <w:bookmarkEnd w:id="170"/>
      <w:bookmarkEnd w:id="171"/>
      <w:bookmarkEnd w:id="172"/>
    </w:p>
    <w:p>
      <w:pPr>
        <w:jc w:val="center"/>
        <w:outlineLvl w:val="0"/>
        <w:rPr>
          <w:rFonts w:ascii="宋体" w:hAnsi="宋体"/>
          <w:color w:val="000000" w:themeColor="text1"/>
          <w:sz w:val="24"/>
          <w:szCs w:val="24"/>
          <w14:textFill>
            <w14:solidFill>
              <w14:schemeClr w14:val="tx1"/>
            </w14:solidFill>
          </w14:textFill>
        </w:rPr>
      </w:pPr>
      <w:bookmarkStart w:id="173" w:name="_Toc2191"/>
      <w:bookmarkStart w:id="174" w:name="_Toc26368"/>
      <w:bookmarkStart w:id="175" w:name="_Toc1402"/>
      <w:bookmarkStart w:id="176" w:name="_Toc21552"/>
      <w:bookmarkStart w:id="177" w:name="_Toc5956027"/>
      <w:bookmarkStart w:id="178" w:name="_Toc17887162"/>
      <w:bookmarkStart w:id="179" w:name="_Toc3191"/>
      <w:bookmarkStart w:id="180" w:name="_Toc5960138"/>
      <w:bookmarkStart w:id="181" w:name="_Toc5946410"/>
      <w:r>
        <w:rPr>
          <w:rFonts w:hint="eastAsia" w:ascii="宋体" w:hAnsi="宋体"/>
          <w:color w:val="000000" w:themeColor="text1"/>
          <w:sz w:val="24"/>
          <w:szCs w:val="24"/>
          <w14:textFill>
            <w14:solidFill>
              <w14:schemeClr w14:val="tx1"/>
            </w14:solidFill>
          </w14:textFill>
        </w:rPr>
        <w:t>评分办法</w:t>
      </w:r>
      <w:bookmarkEnd w:id="173"/>
      <w:bookmarkEnd w:id="174"/>
      <w:bookmarkEnd w:id="175"/>
      <w:bookmarkEnd w:id="176"/>
    </w:p>
    <w:tbl>
      <w:tblPr>
        <w:tblStyle w:val="18"/>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832"/>
        <w:gridCol w:w="6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投标报价</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30</w:t>
            </w:r>
            <w:r>
              <w:rPr>
                <w:rFonts w:hint="eastAsia" w:ascii="宋体" w:hAnsi="宋体" w:eastAsia="宋体" w:cs="宋体"/>
                <w:color w:val="000000" w:themeColor="text1"/>
                <w:kern w:val="0"/>
                <w:szCs w:val="21"/>
                <w14:textFill>
                  <w14:solidFill>
                    <w14:schemeClr w14:val="tx1"/>
                  </w14:solidFill>
                </w14:textFill>
              </w:rPr>
              <w:t>分）</w:t>
            </w:r>
          </w:p>
        </w:tc>
        <w:tc>
          <w:tcPr>
            <w:tcW w:w="631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价格分采用低价优先法计算，即满足采购文件要求且投标价格最低的投标报价为评标基准价，其价格分为满分30，其他供应商价格分统一按下列公式计算：投标报价得分=评标基准价/投标报价×30</w:t>
            </w:r>
          </w:p>
          <w:p>
            <w:pPr>
              <w:widowControl/>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分</w:t>
            </w:r>
          </w:p>
          <w:p>
            <w:pPr>
              <w:widowControl/>
              <w:ind w:firstLine="420" w:firstLineChars="200"/>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根据《关于进一步加大政府采购支持中小企业力度的通知》 (财库[2022]19 号)的规定，对符合规定的小型和微型企业产品的价格给予 </w:t>
            </w:r>
            <w:r>
              <w:rPr>
                <w:rFonts w:hint="eastAsia" w:ascii="宋体" w:hAnsi="宋体" w:eastAsia="宋体" w:cs="宋体"/>
                <w:color w:val="000000" w:themeColor="text1"/>
                <w:kern w:val="0"/>
                <w:szCs w:val="21"/>
                <w:lang w:val="en-US" w:eastAsia="zh-CN"/>
                <w14:textFill>
                  <w14:solidFill>
                    <w14:schemeClr w14:val="tx1"/>
                  </w14:solidFill>
                </w14:textFill>
              </w:rPr>
              <w:t>10</w:t>
            </w:r>
            <w:r>
              <w:rPr>
                <w:rFonts w:hint="eastAsia" w:ascii="宋体" w:hAnsi="宋体" w:eastAsia="宋体" w:cs="宋体"/>
                <w:color w:val="000000" w:themeColor="text1"/>
                <w:kern w:val="0"/>
                <w:szCs w:val="21"/>
                <w14:textFill>
                  <w14:solidFill>
                    <w14:schemeClr w14:val="tx1"/>
                  </w14:solidFill>
                </w14:textFill>
              </w:rPr>
              <w:t>%的扣除，用扣除后的价格参与评审。小微企业必须提供《中小企业声明函》</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否则评审时不予认可。(监狱、残疾人福利性企业</w:t>
            </w:r>
          </w:p>
          <w:p>
            <w:pPr>
              <w:widowControl/>
              <w:jc w:val="both"/>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视同小微企业，价格扣除优惠只享受次，不得重复享受。)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85" w:type="dxa"/>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w:t>
            </w:r>
          </w:p>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w:t>
            </w:r>
          </w:p>
        </w:tc>
        <w:tc>
          <w:tcPr>
            <w:tcW w:w="183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技术参数</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①评审专家对投标文件技术参数进行评审打分，所有条款均符合招标文件技术参数与要求，得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p>
            <w:pPr>
              <w:widowControl/>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②每有一项</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分，扣完为止</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每有一项</w:t>
            </w:r>
            <w:r>
              <w:rPr>
                <w:rFonts w:hint="eastAsia" w:ascii="宋体" w:hAnsi="宋体" w:eastAsia="宋体" w:cs="宋体"/>
                <w:color w:val="000000" w:themeColor="text1"/>
                <w:kern w:val="0"/>
                <w:szCs w:val="21"/>
                <w:lang w:val="en-US" w:eastAsia="zh-CN"/>
                <w14:textFill>
                  <w14:solidFill>
                    <w14:schemeClr w14:val="tx1"/>
                  </w14:solidFill>
                </w14:textFill>
              </w:rPr>
              <w:t>非</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0.5</w:t>
            </w:r>
            <w:r>
              <w:rPr>
                <w:rFonts w:hint="eastAsia" w:ascii="宋体" w:hAnsi="宋体" w:eastAsia="宋体" w:cs="宋体"/>
                <w:color w:val="000000" w:themeColor="text1"/>
                <w:kern w:val="0"/>
                <w:szCs w:val="21"/>
                <w14:textFill>
                  <w14:solidFill>
                    <w14:schemeClr w14:val="tx1"/>
                  </w14:solidFill>
                </w14:textFill>
              </w:rPr>
              <w:t>分</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扣完为止</w:t>
            </w:r>
            <w:r>
              <w:rPr>
                <w:rFonts w:hint="eastAsia" w:ascii="宋体" w:hAnsi="宋体" w:eastAsia="宋体" w:cs="宋体"/>
                <w:color w:val="000000" w:themeColor="text1"/>
                <w:kern w:val="0"/>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85"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技术性能综合评价</w:t>
            </w:r>
          </w:p>
          <w:p>
            <w:pPr>
              <w:widowControl/>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由评委根据投标产品的综合技术性能、先进性、实用性、技术参数符合性及性价比等进行打分：综合技术性能好、先进性好、实用性好、技术参数符合性及性价比高的得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分；综合技术性能较好、先进性较好、实用性较好、技术参数符合性及性价比较高的得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分；综合技术性能、先进性、实用性、技术参数符合性及性价比一般的得</w:t>
            </w:r>
            <w:r>
              <w:rPr>
                <w:rFonts w:hint="eastAsia" w:ascii="宋体" w:hAnsi="宋体" w:eastAsia="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185" w:type="dxa"/>
            <w:vMerge w:val="restart"/>
            <w:tcBorders>
              <w:top w:val="single" w:color="auto" w:sz="4" w:space="0"/>
              <w:left w:val="single" w:color="auto" w:sz="4" w:space="0"/>
              <w:right w:val="single" w:color="auto" w:sz="4" w:space="0"/>
            </w:tcBorders>
            <w:vAlign w:val="center"/>
          </w:tcPr>
          <w:p>
            <w:pPr>
              <w:widowControl/>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商务部分</w:t>
            </w:r>
          </w:p>
          <w:p>
            <w:pPr>
              <w:pStyle w:val="7"/>
              <w:ind w:left="0" w:leftChars="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18</w:t>
            </w:r>
            <w:r>
              <w:rPr>
                <w:rFonts w:hint="eastAsia" w:ascii="宋体" w:hAnsi="宋体" w:eastAsia="宋体" w:cs="宋体"/>
                <w:color w:val="000000" w:themeColor="text1"/>
                <w:sz w:val="21"/>
                <w:szCs w:val="21"/>
                <w14:textFill>
                  <w14:solidFill>
                    <w14:schemeClr w14:val="tx1"/>
                  </w14:solidFill>
                </w14:textFill>
              </w:rPr>
              <w:t>分）</w:t>
            </w:r>
          </w:p>
        </w:tc>
        <w:tc>
          <w:tcPr>
            <w:tcW w:w="1832" w:type="dxa"/>
            <w:tcBorders>
              <w:top w:val="single" w:color="auto" w:sz="4" w:space="0"/>
              <w:left w:val="single" w:color="auto" w:sz="4" w:space="0"/>
              <w:bottom w:val="single" w:color="auto" w:sz="4" w:space="0"/>
              <w:right w:val="single" w:color="auto" w:sz="4" w:space="0"/>
            </w:tcBorders>
            <w:vAlign w:val="center"/>
          </w:tcPr>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类似业绩</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供应商或制造商20</w:t>
            </w:r>
            <w:r>
              <w:rPr>
                <w:rFonts w:hint="eastAsia" w:ascii="宋体" w:hAnsi="宋体" w:eastAsia="宋体" w:cs="宋体"/>
                <w:color w:val="000000" w:themeColor="text1"/>
                <w:kern w:val="0"/>
                <w:szCs w:val="21"/>
                <w:lang w:val="en-US" w:eastAsia="zh-CN"/>
                <w14:textFill>
                  <w14:solidFill>
                    <w14:schemeClr w14:val="tx1"/>
                  </w14:solidFill>
                </w14:textFill>
              </w:rPr>
              <w:t>20</w:t>
            </w:r>
            <w:r>
              <w:rPr>
                <w:rFonts w:hint="eastAsia" w:ascii="宋体" w:hAnsi="宋体" w:eastAsia="宋体" w:cs="宋体"/>
                <w:color w:val="000000" w:themeColor="text1"/>
                <w:kern w:val="0"/>
                <w:szCs w:val="21"/>
                <w14:textFill>
                  <w14:solidFill>
                    <w14:schemeClr w14:val="tx1"/>
                  </w14:solidFill>
                </w14:textFill>
              </w:rPr>
              <w:t>年1月1日（以合同签订时间为准）以来的同类设备销售业绩（以销售合同为准，且合同中必须显示合同价）每提供1份得</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分，最多得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分，未提供合同不得分。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185" w:type="dxa"/>
            <w:vMerge w:val="continue"/>
            <w:tcBorders>
              <w:left w:val="single" w:color="auto" w:sz="4" w:space="0"/>
              <w:bottom w:val="single" w:color="auto" w:sz="4" w:space="0"/>
              <w:right w:val="single" w:color="auto" w:sz="4" w:space="0"/>
            </w:tcBorders>
            <w:vAlign w:val="center"/>
          </w:tcPr>
          <w:p>
            <w:pPr>
              <w:pStyle w:val="7"/>
              <w:ind w:left="0" w:leftChars="0"/>
              <w:jc w:val="center"/>
              <w:rPr>
                <w:rFonts w:hint="eastAsia" w:ascii="宋体" w:hAnsi="宋体" w:eastAsia="宋体" w:cs="宋体"/>
                <w:color w:val="000000" w:themeColor="text1"/>
                <w:kern w:val="0"/>
                <w:szCs w:val="21"/>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供货、安装、调试方案</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（7分）</w:t>
            </w:r>
          </w:p>
        </w:tc>
        <w:tc>
          <w:tcPr>
            <w:tcW w:w="63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供货、安装、运输方案包含供货计划、货物密封方式、运输方式、保险、验收程序和方法、人员安排计划、安装调试流程、时间安排方案等。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①全面、合理、措施有保障，完全满足招标要求的，得7分。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val="en-US" w:eastAsia="zh-CN"/>
              </w:rPr>
              <w:t>②供货、运输方案有一定瑕疵，但基本满足招标要求的，</w:t>
            </w:r>
            <w:r>
              <w:rPr>
                <w:rFonts w:hint="eastAsia" w:ascii="宋体" w:hAnsi="宋体" w:eastAsia="宋体" w:cs="宋体"/>
              </w:rPr>
              <w:t>得</w:t>
            </w:r>
            <w:r>
              <w:rPr>
                <w:rFonts w:hint="eastAsia" w:ascii="宋体" w:hAnsi="宋体" w:eastAsia="宋体" w:cs="宋体"/>
                <w:lang w:val="en-US" w:eastAsia="zh-CN"/>
              </w:rPr>
              <w:t>4</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rPr>
              <w:t>③供货、运输方案较差的，得</w:t>
            </w:r>
            <w:r>
              <w:rPr>
                <w:rFonts w:hint="eastAsia" w:ascii="宋体" w:hAnsi="宋体" w:eastAsia="宋体" w:cs="宋体"/>
                <w:lang w:val="en-US" w:eastAsia="zh-CN"/>
              </w:rPr>
              <w:t>1</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eastAsia="zh-CN"/>
              </w:rPr>
              <w:t>没有供货、运输方案的不得分。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185" w:type="dxa"/>
            <w:vMerge w:val="continue"/>
            <w:vAlign w:val="center"/>
          </w:tcPr>
          <w:p>
            <w:pPr>
              <w:widowControl/>
              <w:jc w:val="left"/>
              <w:rPr>
                <w:rFonts w:hint="eastAsia" w:ascii="宋体" w:hAnsi="宋体" w:eastAsia="宋体" w:cs="宋体"/>
                <w:color w:val="000000" w:themeColor="text1"/>
                <w:sz w:val="21"/>
                <w:szCs w:val="21"/>
                <w14:textFill>
                  <w14:solidFill>
                    <w14:schemeClr w14:val="tx1"/>
                  </w14:solidFill>
                </w14:textFill>
              </w:rPr>
            </w:pPr>
          </w:p>
        </w:tc>
        <w:tc>
          <w:tcPr>
            <w:tcW w:w="183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售后服务方案</w:t>
            </w:r>
          </w:p>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6317"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供应商提供合理、完整、可行的售后服务方案，明确售后响应流程、问题反馈、答疑时效、服务方式、服务地点、企业提供本地化服务的措施、售后人员数量、经验、紧急故障解决方式等。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①售后服务方案完善、售后服务体系健全，售后人员的配备合理能满足项目实际需求、紧急故障处理预案针对性强得8分；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②售后服务方案较为具体、售后服务体系具备，售后人员的配备基本能满足项目需求、紧急故障处理预案、故障响应时间较为合理得5分；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③售后服务方案缺项较多、内容较少、服务内容模糊、售后服务承诺、方案措施等粗略得2分；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lang w:val="en-US" w:eastAsia="zh-CN"/>
              </w:rPr>
              <w:t>本项缺项得0分。</w:t>
            </w:r>
          </w:p>
        </w:tc>
      </w:tr>
    </w:tbl>
    <w:p>
      <w:pPr>
        <w:rPr>
          <w:rFonts w:ascii="宋体" w:hAnsi="宋体"/>
          <w:color w:val="000000" w:themeColor="text1"/>
          <w:sz w:val="24"/>
          <w:szCs w:val="24"/>
          <w14:textFill>
            <w14:solidFill>
              <w14:schemeClr w14:val="tx1"/>
            </w14:solidFill>
          </w14:textFill>
        </w:rPr>
      </w:pPr>
    </w:p>
    <w:p>
      <w:pPr>
        <w:pStyle w:val="39"/>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评分和计算结果均保留小数点后2位（采用四舍五入法）。</w:t>
      </w:r>
      <w:bookmarkEnd w:id="177"/>
      <w:bookmarkEnd w:id="178"/>
      <w:bookmarkEnd w:id="179"/>
      <w:bookmarkEnd w:id="180"/>
      <w:bookmarkEnd w:id="181"/>
      <w:r>
        <w:rPr>
          <w:rFonts w:hint="eastAsia" w:ascii="宋体" w:hAnsi="宋体" w:cs="宋体"/>
          <w:color w:val="000000" w:themeColor="text1"/>
          <w:sz w:val="21"/>
          <w:szCs w:val="21"/>
          <w14:textFill>
            <w14:solidFill>
              <w14:schemeClr w14:val="tx1"/>
            </w14:solidFill>
          </w14:textFill>
        </w:rPr>
        <w:t xml:space="preserve"> </w:t>
      </w:r>
    </w:p>
    <w:p>
      <w:pPr>
        <w:pStyle w:val="39"/>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评标委员会按各供应商最终评标得分从高到低的顺序向采购人推荐</w:t>
      </w: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名中</w:t>
      </w:r>
      <w:r>
        <w:rPr>
          <w:rFonts w:hint="eastAsia" w:ascii="宋体" w:hAnsi="宋体" w:cs="宋体"/>
          <w:color w:val="000000" w:themeColor="text1"/>
          <w:spacing w:val="-3"/>
          <w:sz w:val="21"/>
          <w:szCs w:val="21"/>
          <w14:textFill>
            <w14:solidFill>
              <w14:schemeClr w14:val="tx1"/>
            </w14:solidFill>
          </w14:textFill>
        </w:rPr>
        <w:t>标候选人。</w:t>
      </w:r>
      <w:r>
        <w:rPr>
          <w:rFonts w:hint="eastAsia" w:ascii="宋体" w:hAnsi="宋体" w:cs="宋体"/>
          <w:color w:val="000000" w:themeColor="text1"/>
          <w:sz w:val="21"/>
          <w:szCs w:val="21"/>
          <w14:textFill>
            <w14:solidFill>
              <w14:schemeClr w14:val="tx1"/>
            </w14:solidFill>
          </w14:textFill>
        </w:rPr>
        <w:t xml:space="preserve"> </w:t>
      </w:r>
    </w:p>
    <w:p>
      <w:pPr>
        <w:rPr>
          <w:rFonts w:hint="eastAsia" w:ascii="宋体" w:hAnsi="宋体" w:eastAsia="宋体" w:cs="宋体"/>
          <w:b/>
          <w:bCs/>
          <w:color w:val="000000" w:themeColor="text1"/>
          <w:spacing w:val="2"/>
          <w:kern w:val="0"/>
          <w:sz w:val="32"/>
          <w:szCs w:val="32"/>
          <w14:textFill>
            <w14:solidFill>
              <w14:schemeClr w14:val="tx1"/>
            </w14:solidFill>
          </w14:textFill>
        </w:rPr>
      </w:pPr>
      <w:bookmarkStart w:id="182" w:name="_Toc657"/>
      <w:bookmarkStart w:id="183" w:name="_Toc6545"/>
      <w:bookmarkStart w:id="184" w:name="_Toc5284"/>
      <w:r>
        <w:rPr>
          <w:rFonts w:hint="eastAsia" w:ascii="宋体" w:hAnsi="宋体" w:eastAsia="宋体" w:cs="宋体"/>
          <w:b/>
          <w:bCs/>
          <w:color w:val="000000" w:themeColor="text1"/>
          <w:spacing w:val="2"/>
          <w:kern w:val="0"/>
          <w:sz w:val="32"/>
          <w:szCs w:val="32"/>
          <w14:textFill>
            <w14:solidFill>
              <w14:schemeClr w14:val="tx1"/>
            </w14:solidFill>
          </w14:textFill>
        </w:rPr>
        <w:br w:type="page"/>
      </w:r>
    </w:p>
    <w:p>
      <w:pPr>
        <w:kinsoku w:val="0"/>
        <w:overflowPunct w:val="0"/>
        <w:autoSpaceDE w:val="0"/>
        <w:autoSpaceDN w:val="0"/>
        <w:adjustRightInd w:val="0"/>
        <w:ind w:left="1287" w:right="1420"/>
        <w:jc w:val="center"/>
        <w:outlineLvl w:val="0"/>
        <w:rPr>
          <w:rFonts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b/>
          <w:bCs/>
          <w:color w:val="000000" w:themeColor="text1"/>
          <w:spacing w:val="2"/>
          <w:kern w:val="0"/>
          <w:sz w:val="32"/>
          <w:szCs w:val="32"/>
          <w14:textFill>
            <w14:solidFill>
              <w14:schemeClr w14:val="tx1"/>
            </w14:solidFill>
          </w14:textFill>
        </w:rPr>
        <w:t>第四章</w:t>
      </w:r>
      <w:r>
        <w:rPr>
          <w:rFonts w:hint="eastAsia" w:ascii="宋体" w:hAnsi="宋体" w:eastAsia="宋体" w:cs="宋体"/>
          <w:b/>
          <w:bCs/>
          <w:color w:val="000000" w:themeColor="text1"/>
          <w:spacing w:val="2"/>
          <w:kern w:val="0"/>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2"/>
          <w:szCs w:val="32"/>
          <w14:textFill>
            <w14:solidFill>
              <w14:schemeClr w14:val="tx1"/>
            </w14:solidFill>
          </w14:textFill>
        </w:rPr>
        <w:t>合同条款</w:t>
      </w:r>
      <w:bookmarkEnd w:id="182"/>
      <w:bookmarkEnd w:id="183"/>
      <w:bookmarkEnd w:id="184"/>
      <w:r>
        <w:rPr>
          <w:rFonts w:hint="eastAsia" w:ascii="宋体" w:hAnsi="宋体"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spacing w:before="10"/>
        <w:jc w:val="left"/>
        <w:rPr>
          <w:rFonts w:ascii="宋体" w:hAnsi="宋体" w:eastAsia="宋体" w:cs="宋体"/>
          <w:b/>
          <w:bCs/>
          <w:color w:val="000000" w:themeColor="text1"/>
          <w:kern w:val="0"/>
          <w:sz w:val="24"/>
          <w:szCs w:val="24"/>
          <w14:textFill>
            <w14:solidFill>
              <w14:schemeClr w14:val="tx1"/>
            </w14:solidFill>
          </w14:textFill>
        </w:rPr>
      </w:pPr>
    </w:p>
    <w:p>
      <w:pPr>
        <w:autoSpaceDE w:val="0"/>
        <w:autoSpaceDN w:val="0"/>
        <w:adjustRightInd w:val="0"/>
        <w:snapToGrid w:val="0"/>
        <w:spacing w:line="360" w:lineRule="auto"/>
        <w:jc w:val="center"/>
        <w:rPr>
          <w:rFonts w:hint="eastAsia" w:ascii="宋体" w:hAnsi="宋体" w:eastAsia="宋体" w:cs="宋体"/>
          <w:b/>
          <w:bCs/>
          <w:kern w:val="0"/>
          <w:sz w:val="56"/>
          <w:szCs w:val="56"/>
          <w:lang w:eastAsia="zh-CN"/>
        </w:rPr>
      </w:pPr>
      <w:r>
        <w:rPr>
          <w:rFonts w:hint="eastAsia" w:ascii="宋体" w:hAnsi="宋体" w:eastAsia="宋体" w:cs="宋体"/>
          <w:b/>
          <w:bCs/>
          <w:kern w:val="0"/>
          <w:sz w:val="56"/>
          <w:szCs w:val="56"/>
          <w:lang w:eastAsia="zh-CN"/>
        </w:rPr>
        <w:t>郑州市第九人民医院</w:t>
      </w: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b/>
          <w:bCs/>
          <w:kern w:val="0"/>
          <w:sz w:val="56"/>
          <w:szCs w:val="56"/>
        </w:rPr>
      </w:pPr>
      <w:r>
        <w:fldChar w:fldCharType="begin"/>
      </w:r>
      <w:r>
        <w:instrText xml:space="preserve"> HYPERLINK "java:;" </w:instrText>
      </w:r>
      <w:r>
        <w:fldChar w:fldCharType="separate"/>
      </w:r>
      <w:r>
        <w:rPr>
          <w:rFonts w:hint="eastAsia" w:ascii="宋体" w:hAnsi="宋体" w:eastAsia="宋体" w:cs="宋体"/>
          <w:b/>
          <w:bCs/>
          <w:kern w:val="0"/>
          <w:sz w:val="56"/>
          <w:szCs w:val="56"/>
        </w:rPr>
        <w:t>购</w:t>
      </w:r>
      <w:r>
        <w:rPr>
          <w:rFonts w:hint="eastAsia" w:ascii="宋体" w:hAnsi="宋体" w:eastAsia="宋体" w:cs="宋体"/>
          <w:b/>
          <w:bCs/>
          <w:kern w:val="0"/>
          <w:sz w:val="56"/>
          <w:szCs w:val="56"/>
        </w:rPr>
        <w:fldChar w:fldCharType="end"/>
      </w:r>
      <w:r>
        <w:rPr>
          <w:rFonts w:hint="eastAsia" w:ascii="宋体" w:hAnsi="宋体" w:eastAsia="宋体" w:cs="宋体"/>
          <w:b/>
          <w:bCs/>
          <w:kern w:val="0"/>
          <w:sz w:val="56"/>
          <w:szCs w:val="56"/>
        </w:rPr>
        <w:t>销合同</w:t>
      </w:r>
    </w:p>
    <w:p>
      <w:pPr>
        <w:autoSpaceDE w:val="0"/>
        <w:autoSpaceDN w:val="0"/>
        <w:adjustRightInd w:val="0"/>
        <w:snapToGrid w:val="0"/>
        <w:spacing w:line="360" w:lineRule="auto"/>
        <w:jc w:val="center"/>
        <w:rPr>
          <w:rFonts w:hint="eastAsia" w:ascii="宋体" w:hAnsi="宋体" w:eastAsia="宋体" w:cs="宋体"/>
          <w:b/>
          <w:bCs/>
          <w:spacing w:val="60"/>
          <w:kern w:val="0"/>
          <w:sz w:val="72"/>
          <w:szCs w:val="72"/>
          <w:lang w:eastAsia="zh-CN"/>
        </w:rPr>
      </w:pPr>
      <w:r>
        <w:rPr>
          <w:rFonts w:hint="eastAsia" w:ascii="宋体" w:hAnsi="宋体" w:eastAsia="宋体" w:cs="宋体"/>
          <w:b/>
          <w:bCs/>
          <w:spacing w:val="60"/>
          <w:kern w:val="0"/>
          <w:sz w:val="22"/>
          <w:szCs w:val="22"/>
          <w:lang w:eastAsia="zh-CN"/>
        </w:rPr>
        <w:t>（</w:t>
      </w:r>
      <w:r>
        <w:rPr>
          <w:rFonts w:hint="eastAsia" w:ascii="宋体" w:hAnsi="宋体" w:eastAsia="宋体" w:cs="宋体"/>
          <w:b/>
          <w:bCs/>
          <w:spacing w:val="60"/>
          <w:kern w:val="0"/>
          <w:sz w:val="22"/>
          <w:szCs w:val="22"/>
          <w:lang w:val="en-US" w:eastAsia="zh-CN"/>
        </w:rPr>
        <w:t>以最终签订合同形式为准</w:t>
      </w:r>
      <w:r>
        <w:rPr>
          <w:rFonts w:hint="eastAsia" w:ascii="宋体" w:hAnsi="宋体" w:eastAsia="宋体" w:cs="宋体"/>
          <w:b/>
          <w:bCs/>
          <w:spacing w:val="60"/>
          <w:kern w:val="0"/>
          <w:sz w:val="22"/>
          <w:szCs w:val="22"/>
          <w:lang w:eastAsia="zh-CN"/>
        </w:rPr>
        <w:t>）</w:t>
      </w: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pStyle w:val="16"/>
        <w:ind w:left="0" w:leftChars="0" w:firstLine="0" w:firstLineChars="0"/>
        <w:rPr>
          <w:rFonts w:ascii="宋体" w:hAnsi="宋体" w:eastAsia="宋体" w:cs="Times New Roman"/>
          <w:b/>
          <w:bCs/>
          <w:spacing w:val="60"/>
          <w:kern w:val="0"/>
          <w:sz w:val="72"/>
          <w:szCs w:val="72"/>
        </w:rPr>
      </w:pPr>
    </w:p>
    <w:p>
      <w:pPr>
        <w:rPr>
          <w:rFonts w:hint="eastAsia"/>
        </w:rPr>
      </w:pPr>
      <w:r>
        <w:rPr>
          <w:rFonts w:hint="eastAsia"/>
        </w:rPr>
        <w:br w:type="page"/>
      </w:r>
    </w:p>
    <w:p>
      <w:pPr>
        <w:widowControl/>
        <w:spacing w:before="100" w:beforeAutospacing="1" w:after="100" w:afterAutospacing="1"/>
        <w:ind w:left="360"/>
        <w:jc w:val="center"/>
        <w:rPr>
          <w:rFonts w:ascii="宋体" w:hAnsi="宋体"/>
          <w:b/>
          <w:kern w:val="0"/>
          <w:sz w:val="44"/>
          <w:szCs w:val="44"/>
        </w:rPr>
      </w:pPr>
      <w:r>
        <w:rPr>
          <w:rStyle w:val="21"/>
          <w:rFonts w:hint="eastAsia"/>
          <w:b w:val="0"/>
          <w:sz w:val="44"/>
          <w:szCs w:val="44"/>
        </w:rPr>
        <w:t>郑州市第九人民医院</w:t>
      </w:r>
      <w:r>
        <w:fldChar w:fldCharType="begin"/>
      </w:r>
      <w:r>
        <w:instrText xml:space="preserve"> HYPERLINK "java:;" \t "_self=" </w:instrText>
      </w:r>
      <w:r>
        <w:fldChar w:fldCharType="separate"/>
      </w:r>
      <w:r>
        <w:rPr>
          <w:rStyle w:val="21"/>
          <w:rFonts w:hint="eastAsia"/>
          <w:b w:val="0"/>
          <w:color w:val="333333"/>
          <w:sz w:val="44"/>
          <w:szCs w:val="44"/>
        </w:rPr>
        <w:t>医疗</w:t>
      </w:r>
      <w:r>
        <w:rPr>
          <w:rStyle w:val="21"/>
          <w:rFonts w:hint="eastAsia"/>
          <w:b w:val="0"/>
          <w:color w:val="333333"/>
          <w:sz w:val="44"/>
          <w:szCs w:val="44"/>
        </w:rPr>
        <w:fldChar w:fldCharType="end"/>
      </w:r>
      <w:r>
        <w:fldChar w:fldCharType="begin"/>
      </w:r>
      <w:r>
        <w:instrText xml:space="preserve"> HYPERLINK "java:;" \t "_self=" </w:instrText>
      </w:r>
      <w:r>
        <w:fldChar w:fldCharType="separate"/>
      </w:r>
      <w:r>
        <w:rPr>
          <w:rStyle w:val="21"/>
          <w:rFonts w:hint="eastAsia"/>
          <w:b w:val="0"/>
          <w:color w:val="333333"/>
          <w:sz w:val="44"/>
          <w:szCs w:val="44"/>
        </w:rPr>
        <w:t>设备</w:t>
      </w:r>
      <w:r>
        <w:rPr>
          <w:rStyle w:val="21"/>
          <w:rFonts w:hint="eastAsia"/>
          <w:b w:val="0"/>
          <w:color w:val="333333"/>
          <w:sz w:val="44"/>
          <w:szCs w:val="44"/>
        </w:rPr>
        <w:fldChar w:fldCharType="end"/>
      </w:r>
      <w:r>
        <w:fldChar w:fldCharType="begin"/>
      </w:r>
      <w:r>
        <w:instrText xml:space="preserve"> HYPERLINK "java:;" \t "_self=" </w:instrText>
      </w:r>
      <w:r>
        <w:fldChar w:fldCharType="separate"/>
      </w:r>
      <w:r>
        <w:rPr>
          <w:rStyle w:val="21"/>
          <w:rFonts w:hint="eastAsia"/>
          <w:b w:val="0"/>
          <w:color w:val="333333"/>
          <w:sz w:val="44"/>
          <w:szCs w:val="44"/>
        </w:rPr>
        <w:t>购销合同</w:t>
      </w:r>
      <w:r>
        <w:rPr>
          <w:rStyle w:val="21"/>
          <w:rFonts w:hint="eastAsia"/>
          <w:b w:val="0"/>
          <w:color w:val="333333"/>
          <w:sz w:val="44"/>
          <w:szCs w:val="44"/>
        </w:rPr>
        <w:fldChar w:fldCharType="end"/>
      </w:r>
    </w:p>
    <w:p>
      <w:pPr>
        <w:widowControl/>
        <w:spacing w:before="100" w:beforeAutospacing="1" w:after="100" w:afterAutospacing="1"/>
        <w:ind w:left="6264" w:hanging="6264" w:hangingChars="2600"/>
        <w:rPr>
          <w:b/>
          <w:sz w:val="24"/>
        </w:rPr>
      </w:pPr>
      <w:r>
        <w:rPr>
          <w:rFonts w:hint="eastAsia"/>
          <w:b/>
          <w:sz w:val="24"/>
        </w:rPr>
        <w:t>采购方：（甲方）郑州市第九人民医院   供货方：（乙方）</w:t>
      </w:r>
      <w:r>
        <w:rPr>
          <w:rFonts w:hint="eastAsia"/>
          <w:sz w:val="24"/>
        </w:rPr>
        <w:t xml:space="preserve"> </w:t>
      </w:r>
    </w:p>
    <w:p>
      <w:pPr>
        <w:spacing w:line="360" w:lineRule="auto"/>
        <w:ind w:left="4961" w:hanging="4960" w:hangingChars="2067"/>
        <w:rPr>
          <w:rFonts w:ascii="宋体" w:hAnsi="宋体"/>
          <w:sz w:val="24"/>
        </w:rPr>
      </w:pPr>
      <w:r>
        <w:rPr>
          <w:sz w:val="24"/>
        </w:rPr>
        <w:t>地址：</w:t>
      </w:r>
      <w:r>
        <w:rPr>
          <w:rFonts w:hint="eastAsia"/>
          <w:sz w:val="24"/>
        </w:rPr>
        <w:t>郑州市沙口路25号                  地址：</w:t>
      </w:r>
    </w:p>
    <w:p>
      <w:pPr>
        <w:spacing w:line="360" w:lineRule="auto"/>
        <w:rPr>
          <w:rFonts w:ascii="宋体" w:hAnsi="宋体"/>
          <w:sz w:val="24"/>
        </w:rPr>
      </w:pPr>
      <w:r>
        <w:rPr>
          <w:rFonts w:hint="eastAsia" w:ascii="宋体" w:hAnsi="宋体"/>
          <w:sz w:val="24"/>
        </w:rPr>
        <w:t>联系电话：                      联系电话：</w:t>
      </w:r>
    </w:p>
    <w:p>
      <w:pPr>
        <w:spacing w:line="360" w:lineRule="auto"/>
        <w:ind w:firstLine="420" w:firstLineChars="200"/>
        <w:rPr>
          <w:rFonts w:ascii="宋体" w:hAnsi="宋体"/>
          <w:sz w:val="24"/>
        </w:rPr>
      </w:pPr>
      <w:r>
        <w:rPr>
          <w:rFonts w:hint="eastAsia"/>
        </w:rPr>
        <w:t>根据《民法典》以及相关</w:t>
      </w:r>
      <w:r>
        <w:fldChar w:fldCharType="begin"/>
      </w:r>
      <w:r>
        <w:instrText xml:space="preserve"> HYPERLINK "java:;" \t "_self=" </w:instrText>
      </w:r>
      <w:r>
        <w:fldChar w:fldCharType="separate"/>
      </w:r>
      <w:r>
        <w:rPr>
          <w:rStyle w:val="21"/>
          <w:rFonts w:hint="eastAsia"/>
          <w:color w:val="333333"/>
          <w:u w:val="single"/>
        </w:rPr>
        <w:t>法律</w:t>
      </w:r>
      <w:r>
        <w:rPr>
          <w:rStyle w:val="21"/>
          <w:rFonts w:hint="eastAsia"/>
          <w:color w:val="333333"/>
          <w:u w:val="single"/>
        </w:rPr>
        <w:fldChar w:fldCharType="end"/>
      </w:r>
      <w:r>
        <w:rPr>
          <w:rFonts w:hint="eastAsia"/>
        </w:rPr>
        <w:t>法规的规定，经甲、乙双方协商，就甲方采购乙方医疗设备事宜，双方自愿签订如下</w:t>
      </w:r>
      <w:r>
        <w:rPr>
          <w:rStyle w:val="21"/>
          <w:rFonts w:hint="eastAsia"/>
          <w:color w:val="333333"/>
          <w:u w:val="single"/>
        </w:rPr>
        <w:t>合同</w:t>
      </w:r>
      <w:r>
        <w:rPr>
          <w:rFonts w:hint="eastAsia"/>
        </w:rPr>
        <w:t>。</w:t>
      </w:r>
    </w:p>
    <w:p>
      <w:pPr>
        <w:spacing w:line="360" w:lineRule="auto"/>
        <w:ind w:firstLine="422" w:firstLineChars="200"/>
      </w:pPr>
      <w:r>
        <w:rPr>
          <w:rFonts w:hint="eastAsia"/>
          <w:b/>
        </w:rPr>
        <w:t>第一条</w:t>
      </w:r>
      <w:r>
        <w:t xml:space="preserve"> </w:t>
      </w:r>
      <w:r>
        <w:rPr>
          <w:rFonts w:hint="eastAsia"/>
        </w:rPr>
        <w:t>设备的名称、规格、单价、数量及产地等详见明细表，明细表是本合同的一部分。乙方应随货免费提供设备的技术文件，包括相应的图纸、操作手册、维护手册、质量保证文件、合格证、配置清单、服务指南等。</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3"/>
        <w:gridCol w:w="2835"/>
        <w:gridCol w:w="840"/>
        <w:gridCol w:w="1155"/>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产品名称</w:t>
            </w:r>
          </w:p>
        </w:tc>
        <w:tc>
          <w:tcPr>
            <w:tcW w:w="2835" w:type="dxa"/>
          </w:tcPr>
          <w:p>
            <w:pPr>
              <w:spacing w:line="360" w:lineRule="auto"/>
              <w:jc w:val="center"/>
            </w:pPr>
            <w:r>
              <w:rPr>
                <w:rFonts w:hint="eastAsia"/>
              </w:rPr>
              <w:t>品牌型号</w:t>
            </w:r>
          </w:p>
        </w:tc>
        <w:tc>
          <w:tcPr>
            <w:tcW w:w="840" w:type="dxa"/>
          </w:tcPr>
          <w:p>
            <w:pPr>
              <w:spacing w:line="360" w:lineRule="auto"/>
              <w:jc w:val="center"/>
            </w:pPr>
            <w:r>
              <w:rPr>
                <w:rFonts w:hint="eastAsia"/>
              </w:rPr>
              <w:t>产地</w:t>
            </w:r>
          </w:p>
        </w:tc>
        <w:tc>
          <w:tcPr>
            <w:tcW w:w="1155" w:type="dxa"/>
          </w:tcPr>
          <w:p>
            <w:pPr>
              <w:spacing w:line="360" w:lineRule="auto"/>
              <w:jc w:val="center"/>
            </w:pPr>
            <w:r>
              <w:rPr>
                <w:rFonts w:hint="eastAsia"/>
              </w:rPr>
              <w:t>数量（台）</w:t>
            </w:r>
          </w:p>
        </w:tc>
        <w:tc>
          <w:tcPr>
            <w:tcW w:w="1385" w:type="dxa"/>
          </w:tcPr>
          <w:p>
            <w:pPr>
              <w:spacing w:line="360" w:lineRule="auto"/>
              <w:jc w:val="center"/>
            </w:pPr>
            <w:r>
              <w:rPr>
                <w:rFonts w:hint="eastAsia"/>
              </w:rPr>
              <w:t>单价（万元）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p>
        </w:tc>
        <w:tc>
          <w:tcPr>
            <w:tcW w:w="2835" w:type="dxa"/>
          </w:tcPr>
          <w:p>
            <w:pPr>
              <w:spacing w:line="360" w:lineRule="auto"/>
            </w:pPr>
          </w:p>
        </w:tc>
        <w:tc>
          <w:tcPr>
            <w:tcW w:w="840" w:type="dxa"/>
          </w:tcPr>
          <w:p>
            <w:pPr>
              <w:spacing w:line="360" w:lineRule="auto"/>
              <w:jc w:val="center"/>
              <w:rPr>
                <w:b/>
                <w:bCs/>
              </w:rPr>
            </w:pPr>
          </w:p>
        </w:tc>
        <w:tc>
          <w:tcPr>
            <w:tcW w:w="1155" w:type="dxa"/>
          </w:tcPr>
          <w:p>
            <w:pPr>
              <w:spacing w:line="360" w:lineRule="auto"/>
              <w:jc w:val="center"/>
            </w:pPr>
          </w:p>
        </w:tc>
        <w:tc>
          <w:tcPr>
            <w:tcW w:w="1385" w:type="dxa"/>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总价（大小写）</w:t>
            </w:r>
          </w:p>
        </w:tc>
        <w:tc>
          <w:tcPr>
            <w:tcW w:w="6215" w:type="dxa"/>
            <w:gridSpan w:val="4"/>
          </w:tcPr>
          <w:p>
            <w:pPr>
              <w:spacing w:line="360" w:lineRule="auto"/>
            </w:pPr>
            <w:r>
              <w:rPr>
                <w:rFonts w:hint="eastAsia"/>
              </w:rPr>
              <w:t>大写：     小写：</w:t>
            </w:r>
            <w: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优惠承诺</w:t>
            </w:r>
          </w:p>
        </w:tc>
        <w:tc>
          <w:tcPr>
            <w:tcW w:w="6215" w:type="dxa"/>
            <w:gridSpan w:val="4"/>
          </w:tcPr>
          <w:p>
            <w:pPr>
              <w:spacing w:line="360" w:lineRule="auto"/>
              <w:jc w:val="center"/>
            </w:pPr>
            <w:r>
              <w:rPr>
                <w:rFonts w:hint="eastAsia"/>
              </w:rPr>
              <w:t>无</w:t>
            </w:r>
          </w:p>
        </w:tc>
      </w:tr>
    </w:tbl>
    <w:p>
      <w:pPr>
        <w:spacing w:line="360" w:lineRule="auto"/>
        <w:ind w:firstLine="422" w:firstLineChars="200"/>
      </w:pPr>
      <w:r>
        <w:rPr>
          <w:rFonts w:hint="eastAsia"/>
          <w:b/>
        </w:rPr>
        <w:t>第二条</w:t>
      </w:r>
      <w:r>
        <w:rPr>
          <w:b/>
        </w:rPr>
        <w:t xml:space="preserve"> </w:t>
      </w:r>
      <w:r>
        <w:rPr>
          <w:rFonts w:hint="eastAsia"/>
          <w:b/>
        </w:rPr>
        <w:t>技术标准</w:t>
      </w:r>
    </w:p>
    <w:p>
      <w:pPr>
        <w:spacing w:line="360" w:lineRule="auto"/>
        <w:ind w:firstLine="420" w:firstLineChars="200"/>
      </w:pPr>
      <w:r>
        <w:rPr>
          <w:rFonts w:hint="eastAsia"/>
        </w:rPr>
        <w:t>在符合国家相关技术标准的基础上，甲、乙双方根据投标文件和合同约定</w:t>
      </w:r>
      <w:r>
        <w:t>(</w:t>
      </w:r>
      <w:r>
        <w:rPr>
          <w:rFonts w:hint="eastAsia"/>
        </w:rPr>
        <w:t>见附件</w:t>
      </w:r>
      <w:r>
        <w:t>)</w:t>
      </w:r>
      <w:r>
        <w:rPr>
          <w:rFonts w:hint="eastAsia"/>
        </w:rPr>
        <w:t>进行技术验收；如根据样品进行验收，乙方所供医疗产品应与样品质量一致。甲方验收合格后，双方需在甲方《设备验收单》上签字确认。</w:t>
      </w:r>
    </w:p>
    <w:p>
      <w:pPr>
        <w:spacing w:line="360" w:lineRule="auto"/>
        <w:ind w:firstLine="413" w:firstLineChars="196"/>
        <w:rPr>
          <w:b/>
        </w:rPr>
      </w:pPr>
      <w:r>
        <w:rPr>
          <w:rFonts w:hint="eastAsia"/>
          <w:b/>
        </w:rPr>
        <w:t>第三条</w:t>
      </w:r>
      <w:r>
        <w:rPr>
          <w:b/>
        </w:rPr>
        <w:t xml:space="preserve"> </w:t>
      </w:r>
      <w:r>
        <w:rPr>
          <w:rFonts w:hint="eastAsia"/>
          <w:b/>
        </w:rPr>
        <w:t>供货时间及地点</w:t>
      </w:r>
    </w:p>
    <w:p>
      <w:pPr>
        <w:spacing w:line="360" w:lineRule="auto"/>
        <w:ind w:firstLine="420" w:firstLineChars="200"/>
      </w:pPr>
      <w:r>
        <w:rPr>
          <w:rFonts w:hint="eastAsia"/>
        </w:rPr>
        <w:t>交付时间：乙方向甲方交付设备于</w:t>
      </w:r>
      <w:r>
        <w:t xml:space="preserve">   </w:t>
      </w:r>
      <w:r>
        <w:rPr>
          <w:u w:val="single"/>
        </w:rPr>
        <w:t xml:space="preserve">      </w:t>
      </w:r>
      <w:r>
        <w:rPr>
          <w:rFonts w:hint="eastAsia"/>
          <w:u w:val="single"/>
        </w:rPr>
        <w:t>年</w:t>
      </w:r>
      <w:r>
        <w:rPr>
          <w:u w:val="single"/>
        </w:rPr>
        <w:t> </w:t>
      </w:r>
      <w:r>
        <w:rPr>
          <w:rFonts w:hint="eastAsia"/>
          <w:u w:val="single"/>
        </w:rPr>
        <w:t xml:space="preserve"> </w:t>
      </w:r>
      <w:r>
        <w:rPr>
          <w:u w:val="single"/>
        </w:rPr>
        <w:t xml:space="preserve">  </w:t>
      </w:r>
      <w:r>
        <w:rPr>
          <w:rFonts w:hint="eastAsia"/>
          <w:u w:val="single"/>
        </w:rPr>
        <w:t xml:space="preserve">月 </w:t>
      </w:r>
      <w:r>
        <w:rPr>
          <w:u w:val="single"/>
        </w:rPr>
        <w:t xml:space="preserve">   </w:t>
      </w:r>
      <w:r>
        <w:rPr>
          <w:rFonts w:hint="eastAsia"/>
          <w:u w:val="single"/>
        </w:rPr>
        <w:t>  日</w:t>
      </w:r>
      <w:r>
        <w:rPr>
          <w:rFonts w:hint="eastAsia"/>
        </w:rPr>
        <w:t>前。</w:t>
      </w:r>
    </w:p>
    <w:p>
      <w:pPr>
        <w:spacing w:line="360" w:lineRule="auto"/>
        <w:ind w:firstLine="420" w:firstLineChars="200"/>
      </w:pPr>
      <w:r>
        <w:rPr>
          <w:rFonts w:hint="eastAsia"/>
        </w:rPr>
        <w:t>交付地点：郑州市第九人民医院指定地点</w:t>
      </w:r>
    </w:p>
    <w:p>
      <w:pPr>
        <w:spacing w:line="360" w:lineRule="auto"/>
        <w:ind w:firstLine="420" w:firstLineChars="200"/>
      </w:pPr>
      <w:r>
        <w:rPr>
          <w:rFonts w:hint="eastAsia"/>
        </w:rPr>
        <w:t>乙方送货并承担运费、保险费、税费等，货物交付甲方并验收合格后转移所有权。</w:t>
      </w:r>
    </w:p>
    <w:p>
      <w:pPr>
        <w:spacing w:line="360" w:lineRule="auto"/>
        <w:ind w:firstLine="413" w:firstLineChars="196"/>
        <w:rPr>
          <w:b/>
        </w:rPr>
      </w:pPr>
      <w:r>
        <w:rPr>
          <w:rFonts w:hint="eastAsia"/>
          <w:b/>
        </w:rPr>
        <w:t>第四条</w:t>
      </w:r>
      <w:r>
        <w:rPr>
          <w:b/>
        </w:rPr>
        <w:t xml:space="preserve"> </w:t>
      </w:r>
      <w:r>
        <w:rPr>
          <w:rFonts w:hint="eastAsia"/>
          <w:b/>
        </w:rPr>
        <w:t>验收标准及方式</w:t>
      </w:r>
    </w:p>
    <w:p>
      <w:pPr>
        <w:spacing w:line="360" w:lineRule="auto"/>
        <w:ind w:firstLine="420" w:firstLineChars="200"/>
      </w:pPr>
      <w:r>
        <w:rPr>
          <w:rFonts w:hint="eastAsia"/>
        </w:rPr>
        <w:t>甲、乙双方共同对设备进行开箱清点、检查验收，如果发现数量不足或有质量、技术等问题，甲方出具《验收报告》，详细列明验收情况及问题清单，乙方应在</w:t>
      </w:r>
      <w:r>
        <w:rPr>
          <w:rFonts w:hint="eastAsia"/>
          <w:b/>
          <w:u w:val="single"/>
        </w:rPr>
        <w:t>七日</w:t>
      </w:r>
      <w:r>
        <w:rPr>
          <w:rFonts w:hint="eastAsia"/>
        </w:rPr>
        <w:t>内，按照甲方的要求，采取补足、更换或退货等处理措施，并承担由此发生的一切损失和费用。</w:t>
      </w:r>
    </w:p>
    <w:p>
      <w:pPr>
        <w:spacing w:line="440" w:lineRule="exact"/>
        <w:ind w:firstLine="420" w:firstLineChars="200"/>
      </w:pPr>
      <w:r>
        <w:rPr>
          <w:rFonts w:hint="eastAsia"/>
        </w:rPr>
        <w:t>设备到货后，乙方应在接到甲方通知后，按甲方规定时间内完成设备的安装调试。</w:t>
      </w:r>
    </w:p>
    <w:p>
      <w:pPr>
        <w:spacing w:line="440" w:lineRule="exact"/>
        <w:ind w:firstLine="413" w:firstLineChars="196"/>
        <w:rPr>
          <w:b/>
        </w:rPr>
      </w:pPr>
      <w:r>
        <w:rPr>
          <w:rFonts w:hint="eastAsia"/>
          <w:b/>
        </w:rPr>
        <w:t>第五条</w:t>
      </w:r>
      <w:r>
        <w:rPr>
          <w:b/>
        </w:rPr>
        <w:t xml:space="preserve"> </w:t>
      </w:r>
      <w:r>
        <w:rPr>
          <w:rFonts w:hint="eastAsia"/>
          <w:b/>
        </w:rPr>
        <w:t>货款及支付方式</w:t>
      </w:r>
    </w:p>
    <w:p>
      <w:pPr>
        <w:spacing w:line="440" w:lineRule="exact"/>
        <w:ind w:firstLine="420" w:firstLineChars="200"/>
      </w:pPr>
      <w:r>
        <w:rPr>
          <w:rFonts w:hint="eastAsia"/>
        </w:rPr>
        <w:t>合同签订后，设备到货验收合格后付设备总货款的9</w:t>
      </w:r>
      <w:r>
        <w:t>5</w:t>
      </w:r>
      <w:r>
        <w:rPr>
          <w:rFonts w:hint="eastAsia"/>
        </w:rPr>
        <w:t>%，设备安装调试验收合格、正常使用满一年后甲方向乙方无息支付总货款</w:t>
      </w:r>
      <w:r>
        <w:t>5%</w:t>
      </w:r>
      <w:r>
        <w:rPr>
          <w:rFonts w:hint="eastAsia"/>
        </w:rPr>
        <w:t>。</w:t>
      </w:r>
    </w:p>
    <w:p>
      <w:pPr>
        <w:spacing w:line="440" w:lineRule="exact"/>
        <w:ind w:firstLine="413" w:firstLineChars="196"/>
        <w:rPr>
          <w:b/>
        </w:rPr>
      </w:pPr>
      <w:r>
        <w:rPr>
          <w:rFonts w:hint="eastAsia"/>
          <w:b/>
        </w:rPr>
        <w:t>第六条</w:t>
      </w:r>
      <w:r>
        <w:rPr>
          <w:b/>
        </w:rPr>
        <w:t xml:space="preserve"> </w:t>
      </w:r>
      <w:r>
        <w:rPr>
          <w:rFonts w:hint="eastAsia"/>
          <w:b/>
        </w:rPr>
        <w:t>售后服务及质量保证</w:t>
      </w:r>
    </w:p>
    <w:p>
      <w:pPr>
        <w:spacing w:line="440" w:lineRule="exact"/>
        <w:ind w:firstLine="420" w:firstLineChars="200"/>
      </w:pPr>
      <w:r>
        <w:t>1.</w:t>
      </w:r>
      <w:r>
        <w:rPr>
          <w:rFonts w:hint="eastAsia"/>
        </w:rPr>
        <w:t>甲方收到货物后应在三日内验收，该验收仅为对产品数量和表面是否存在瑕疵进行验收。产品在质保期内出现质量问题的，乙方需按本合同第七条第5款支付违约金。产品在质保期内出现质量问题的，乙方需按本合同第七条第5款支付违约金。乙方对货物实行三包（包修、包换、包退）。</w:t>
      </w:r>
    </w:p>
    <w:p>
      <w:pPr>
        <w:spacing w:line="440" w:lineRule="exact"/>
        <w:ind w:firstLine="420" w:firstLineChars="200"/>
      </w:pPr>
      <w:r>
        <w:t>2.</w:t>
      </w:r>
      <w:r>
        <w:rPr>
          <w:rFonts w:hint="eastAsia"/>
        </w:rPr>
        <w:t>乙方免费提供设备安装所需的专用工具和辅助材料、易耗件。</w:t>
      </w:r>
    </w:p>
    <w:p>
      <w:pPr>
        <w:spacing w:line="440" w:lineRule="exact"/>
        <w:ind w:firstLine="420" w:firstLineChars="200"/>
      </w:pPr>
      <w:r>
        <w:t>3.</w:t>
      </w:r>
      <w:r>
        <w:rPr>
          <w:rFonts w:hint="eastAsia"/>
        </w:rPr>
        <w:t>乙方自收到甲方电话、传真等维修要求后应当在</w:t>
      </w:r>
      <w:r>
        <w:rPr>
          <w:rFonts w:hint="eastAsia"/>
          <w:u w:val="single"/>
        </w:rPr>
        <w:t xml:space="preserve"> 24 </w:t>
      </w:r>
      <w:r>
        <w:rPr>
          <w:rFonts w:hint="eastAsia"/>
        </w:rPr>
        <w:t>小时内进行维修；逾期甲方可自行组织维修，费用由乙方承担。</w:t>
      </w:r>
    </w:p>
    <w:p>
      <w:pPr>
        <w:spacing w:line="440" w:lineRule="exact"/>
        <w:ind w:firstLine="420" w:firstLineChars="200"/>
      </w:pPr>
      <w:r>
        <w:t>4.</w:t>
      </w:r>
      <w:r>
        <w:rPr>
          <w:rFonts w:hint="eastAsia"/>
        </w:rPr>
        <w:t>免费质保期为</w:t>
      </w:r>
      <w:r>
        <w:rPr>
          <w:rFonts w:hint="eastAsia"/>
          <w:u w:val="single"/>
        </w:rPr>
        <w:t xml:space="preserve">  </w:t>
      </w:r>
      <w:r>
        <w:rPr>
          <w:rFonts w:hint="eastAsia"/>
        </w:rPr>
        <w:t>年，自设备安装调试合格之日起算。在免费质保期内，乙方履行保修义务应免收材料和人工等一切费用；免费质保期满后，乙方履行保修义务只收取配件费。</w:t>
      </w:r>
    </w:p>
    <w:p>
      <w:pPr>
        <w:spacing w:line="440" w:lineRule="exact"/>
        <w:ind w:firstLine="420" w:firstLineChars="200"/>
      </w:pPr>
      <w:r>
        <w:t>5.</w:t>
      </w:r>
      <w:r>
        <w:rPr>
          <w:rFonts w:hint="eastAsia"/>
        </w:rPr>
        <w:t>设备运至甲方指定地点，乙方应指派技师三人对甲方操作人员安装、使用设备进行培训，直至甲方操作人员能熟练操作为止，乙方承担培训技师的薪资、差旅等全部费用。</w:t>
      </w:r>
    </w:p>
    <w:p>
      <w:pPr>
        <w:tabs>
          <w:tab w:val="left" w:pos="2865"/>
        </w:tabs>
        <w:spacing w:line="440" w:lineRule="exact"/>
        <w:ind w:firstLine="413" w:firstLineChars="196"/>
        <w:rPr>
          <w:b/>
        </w:rPr>
      </w:pPr>
      <w:r>
        <w:rPr>
          <w:rFonts w:hint="eastAsia"/>
          <w:b/>
        </w:rPr>
        <w:t>第七条</w:t>
      </w:r>
      <w:r>
        <w:rPr>
          <w:b/>
        </w:rPr>
        <w:t xml:space="preserve"> </w:t>
      </w:r>
      <w:r>
        <w:rPr>
          <w:rFonts w:hint="eastAsia"/>
          <w:b/>
        </w:rPr>
        <w:t>违约</w:t>
      </w:r>
      <w:r>
        <w:fldChar w:fldCharType="begin"/>
      </w:r>
      <w:r>
        <w:instrText xml:space="preserve"> HYPERLINK "java:;" \t "_self=" </w:instrText>
      </w:r>
      <w:r>
        <w:fldChar w:fldCharType="separate"/>
      </w:r>
      <w:r>
        <w:rPr>
          <w:rStyle w:val="21"/>
          <w:rFonts w:hint="eastAsia"/>
          <w:color w:val="333333"/>
          <w:u w:val="single"/>
        </w:rPr>
        <w:t>责任</w:t>
      </w:r>
      <w:r>
        <w:rPr>
          <w:rStyle w:val="21"/>
          <w:rFonts w:hint="eastAsia"/>
          <w:color w:val="333333"/>
          <w:u w:val="single"/>
        </w:rPr>
        <w:fldChar w:fldCharType="end"/>
      </w:r>
      <w:r>
        <w:rPr>
          <w:b/>
        </w:rPr>
        <w:tab/>
      </w:r>
    </w:p>
    <w:p>
      <w:pPr>
        <w:spacing w:line="440" w:lineRule="exact"/>
        <w:ind w:firstLine="420" w:firstLineChars="200"/>
        <w:rPr>
          <w:rFonts w:ascii="宋体" w:hAnsi="宋体"/>
        </w:rPr>
      </w:pPr>
      <w:r>
        <w:t>1</w:t>
      </w:r>
      <w:r>
        <w:rPr>
          <w:rFonts w:hint="eastAsia"/>
        </w:rPr>
        <w:t>．甲方逾期支付货款满三个月后，每日按逾期未付金额的</w:t>
      </w:r>
      <w:r>
        <w:rPr>
          <w:rFonts w:hint="eastAsia"/>
          <w:u w:val="single"/>
        </w:rPr>
        <w:t>千分之一</w:t>
      </w:r>
      <w:r>
        <w:rPr>
          <w:rFonts w:hint="eastAsia"/>
        </w:rPr>
        <w:t>向乙方支付违约金。</w:t>
      </w:r>
    </w:p>
    <w:p>
      <w:pPr>
        <w:spacing w:line="440" w:lineRule="exact"/>
        <w:ind w:firstLine="420" w:firstLineChars="200"/>
      </w:pPr>
      <w:r>
        <w:t>2</w:t>
      </w:r>
      <w:r>
        <w:rPr>
          <w:rFonts w:hint="eastAsia"/>
        </w:rPr>
        <w:t>．非乙方供货质量问题，甲方中途不得退货，否则，甲方应按合同总额的</w:t>
      </w:r>
      <w:r>
        <w:rPr>
          <w:rFonts w:hint="eastAsia"/>
          <w:u w:val="single"/>
        </w:rPr>
        <w:t>百分之一</w:t>
      </w:r>
      <w:r>
        <w:rPr>
          <w:rFonts w:hint="eastAsia"/>
        </w:rPr>
        <w:t>向乙方支付违约金。</w:t>
      </w:r>
    </w:p>
    <w:p>
      <w:pPr>
        <w:spacing w:line="440" w:lineRule="exact"/>
        <w:ind w:firstLine="420" w:firstLineChars="200"/>
      </w:pPr>
      <w:r>
        <w:t xml:space="preserve">3. </w:t>
      </w:r>
      <w:r>
        <w:rPr>
          <w:rFonts w:hint="eastAsia"/>
        </w:rPr>
        <w:t>乙方逾期供货，每逾期一日，按合同总金额的</w:t>
      </w:r>
      <w:r>
        <w:rPr>
          <w:rFonts w:hint="eastAsia"/>
          <w:u w:val="single"/>
        </w:rPr>
        <w:t>千分之一</w:t>
      </w:r>
      <w:r>
        <w:rPr>
          <w:rFonts w:hint="eastAsia"/>
        </w:rPr>
        <w:t>向甲方支付违约金。</w:t>
      </w:r>
    </w:p>
    <w:p>
      <w:pPr>
        <w:spacing w:line="440" w:lineRule="exact"/>
        <w:ind w:firstLine="420" w:firstLineChars="200"/>
      </w:pPr>
      <w:r>
        <w:t xml:space="preserve">4. </w:t>
      </w:r>
      <w:r>
        <w:rPr>
          <w:rFonts w:hint="eastAsia"/>
        </w:rPr>
        <w:t>乙方逾期供货超过</w:t>
      </w:r>
      <w:r>
        <w:rPr>
          <w:rFonts w:hint="eastAsia"/>
          <w:u w:val="single"/>
        </w:rPr>
        <w:t>10</w:t>
      </w:r>
      <w:r>
        <w:rPr>
          <w:rFonts w:hint="eastAsia"/>
        </w:rPr>
        <w:t>日，甲方有权</w:t>
      </w:r>
      <w:r>
        <w:fldChar w:fldCharType="begin"/>
      </w:r>
      <w:r>
        <w:instrText xml:space="preserve"> HYPERLINK "java:;" \t "_self=" </w:instrText>
      </w:r>
      <w:r>
        <w:fldChar w:fldCharType="separate"/>
      </w:r>
      <w:r>
        <w:rPr>
          <w:rStyle w:val="21"/>
          <w:rFonts w:hint="eastAsia"/>
          <w:color w:val="333333"/>
          <w:u w:val="single"/>
        </w:rPr>
        <w:t>解除</w:t>
      </w:r>
      <w:r>
        <w:rPr>
          <w:rStyle w:val="21"/>
          <w:rFonts w:hint="eastAsia"/>
          <w:color w:val="333333"/>
          <w:u w:val="single"/>
        </w:rPr>
        <w:fldChar w:fldCharType="end"/>
      </w:r>
      <w:r>
        <w:rPr>
          <w:rFonts w:hint="eastAsia"/>
        </w:rPr>
        <w:t>合同，乙方应返还甲方所支付款项，并按合同总金额的</w:t>
      </w:r>
      <w:r>
        <w:rPr>
          <w:rFonts w:hint="eastAsia"/>
          <w:u w:val="single"/>
        </w:rPr>
        <w:t>百分之二十</w:t>
      </w:r>
      <w:r>
        <w:rPr>
          <w:rFonts w:hint="eastAsia"/>
        </w:rPr>
        <w:t>向甲方支付违约金。</w:t>
      </w:r>
    </w:p>
    <w:p>
      <w:pPr>
        <w:spacing w:line="440" w:lineRule="exact"/>
        <w:ind w:firstLine="420" w:firstLineChars="200"/>
      </w:pPr>
      <w:r>
        <w:t xml:space="preserve">5. </w:t>
      </w:r>
      <w:r>
        <w:rPr>
          <w:rFonts w:hint="eastAsia"/>
        </w:rPr>
        <w:t>乙方交付产品存在质量问题的，甲方有权解除合同或要求乙方更换产品。甲方要求解除合同的，乙方应承担合同总金额的百分之二十的违约金；甲方要求更换产品的，乙方应在甲方通知的七日内提供符合质量标准的产品，每逾期一日承担合同总金额百分之一的违约金，逾期20日仍未更换的，甲方有权解除合同的，并要求乙方承担合同总金额百分之二十的违约金。</w:t>
      </w:r>
    </w:p>
    <w:p>
      <w:pPr>
        <w:spacing w:line="360" w:lineRule="auto"/>
        <w:ind w:firstLine="413" w:firstLineChars="196"/>
        <w:rPr>
          <w:b/>
        </w:rPr>
      </w:pPr>
      <w:r>
        <w:rPr>
          <w:rFonts w:hint="eastAsia"/>
          <w:b/>
        </w:rPr>
        <w:t>第八条</w:t>
      </w:r>
      <w:r>
        <w:rPr>
          <w:b/>
        </w:rPr>
        <w:t xml:space="preserve"> </w:t>
      </w:r>
      <w:r>
        <w:rPr>
          <w:rFonts w:hint="eastAsia"/>
          <w:b/>
        </w:rPr>
        <w:t>不可抗力</w:t>
      </w:r>
    </w:p>
    <w:p>
      <w:pPr>
        <w:spacing w:line="360" w:lineRule="auto"/>
        <w:ind w:firstLine="420" w:firstLineChars="200"/>
        <w:rPr>
          <w:u w:val="single"/>
        </w:rPr>
      </w:pPr>
      <w:r>
        <w:rPr>
          <w:rFonts w:hint="eastAsia"/>
        </w:rPr>
        <w:t>甲、乙任何一方由于不可抗力原因不能履行合同时，在不可抗力解除后应及时向对方通报不能履行或不能完全履行的理由，以减轻可能给对方造成的损失，并根据情况可部分或全部免予承担违约责任。</w:t>
      </w:r>
    </w:p>
    <w:p>
      <w:pPr>
        <w:spacing w:line="360" w:lineRule="auto"/>
        <w:ind w:firstLine="413" w:firstLineChars="196"/>
        <w:rPr>
          <w:b/>
        </w:rPr>
      </w:pPr>
      <w:r>
        <w:rPr>
          <w:rFonts w:hint="eastAsia"/>
          <w:b/>
        </w:rPr>
        <w:t>第九条</w:t>
      </w:r>
      <w:r>
        <w:rPr>
          <w:b/>
        </w:rPr>
        <w:t xml:space="preserve"> </w:t>
      </w:r>
      <w:r>
        <w:fldChar w:fldCharType="begin"/>
      </w:r>
      <w:r>
        <w:instrText xml:space="preserve"> HYPERLINK "java:;" \t "_self=" </w:instrText>
      </w:r>
      <w:r>
        <w:fldChar w:fldCharType="separate"/>
      </w:r>
      <w:r>
        <w:rPr>
          <w:rStyle w:val="21"/>
          <w:rFonts w:hint="eastAsia"/>
          <w:color w:val="333333"/>
          <w:u w:val="single"/>
        </w:rPr>
        <w:t>争议</w:t>
      </w:r>
      <w:r>
        <w:rPr>
          <w:rStyle w:val="21"/>
          <w:rFonts w:hint="eastAsia"/>
          <w:color w:val="333333"/>
          <w:u w:val="single"/>
        </w:rPr>
        <w:fldChar w:fldCharType="end"/>
      </w:r>
      <w:r>
        <w:rPr>
          <w:rFonts w:hint="eastAsia"/>
          <w:b/>
        </w:rPr>
        <w:t>解决方法</w:t>
      </w:r>
    </w:p>
    <w:p>
      <w:pPr>
        <w:spacing w:line="360" w:lineRule="auto"/>
        <w:ind w:firstLine="420" w:firstLineChars="200"/>
      </w:pPr>
      <w:r>
        <w:rPr>
          <w:rFonts w:hint="eastAsia"/>
        </w:rPr>
        <w:t>甲、乙双方因履行本合同发生争议时，应友好协商；如协商未果，由甲方住所地</w:t>
      </w:r>
      <w:r>
        <w:fldChar w:fldCharType="begin"/>
      </w:r>
      <w:r>
        <w:instrText xml:space="preserve"> HYPERLINK "java:;" \t "_self=" </w:instrText>
      </w:r>
      <w:r>
        <w:fldChar w:fldCharType="separate"/>
      </w:r>
      <w:r>
        <w:rPr>
          <w:rStyle w:val="21"/>
          <w:rFonts w:hint="eastAsia"/>
          <w:color w:val="333333"/>
          <w:u w:val="single"/>
        </w:rPr>
        <w:t>人民法院</w:t>
      </w:r>
      <w:r>
        <w:rPr>
          <w:rStyle w:val="21"/>
          <w:rFonts w:hint="eastAsia"/>
          <w:color w:val="333333"/>
          <w:u w:val="single"/>
        </w:rPr>
        <w:fldChar w:fldCharType="end"/>
      </w:r>
      <w:r>
        <w:rPr>
          <w:rFonts w:hint="eastAsia"/>
        </w:rPr>
        <w:t>管辖。</w:t>
      </w:r>
    </w:p>
    <w:p>
      <w:pPr>
        <w:spacing w:line="360" w:lineRule="auto"/>
        <w:ind w:firstLine="413" w:firstLineChars="196"/>
        <w:rPr>
          <w:b/>
        </w:rPr>
      </w:pPr>
      <w:r>
        <w:rPr>
          <w:rFonts w:hint="eastAsia"/>
          <w:b/>
        </w:rPr>
        <w:t>第十条</w:t>
      </w:r>
      <w:r>
        <w:rPr>
          <w:b/>
        </w:rPr>
        <w:t xml:space="preserve"> </w:t>
      </w:r>
      <w:r>
        <w:rPr>
          <w:rFonts w:hint="eastAsia"/>
          <w:b/>
        </w:rPr>
        <w:t>合同附件</w:t>
      </w:r>
    </w:p>
    <w:p>
      <w:pPr>
        <w:spacing w:line="360" w:lineRule="auto"/>
        <w:ind w:firstLine="420" w:firstLineChars="200"/>
        <w:rPr>
          <w:rFonts w:ascii="宋体" w:hAnsi="宋体"/>
        </w:rPr>
      </w:pPr>
      <w:r>
        <w:rPr>
          <w:rFonts w:hint="eastAsia"/>
        </w:rPr>
        <w:t>合同附件是本合同的不可分割的组成部分，与合同具有同等法律效力。本合同附件包括：配置清单、技术标准、设备技术说明、招标文件。</w:t>
      </w:r>
    </w:p>
    <w:p>
      <w:pPr>
        <w:spacing w:line="360" w:lineRule="auto"/>
        <w:ind w:firstLine="422" w:firstLineChars="200"/>
        <w:rPr>
          <w:b/>
        </w:rPr>
      </w:pPr>
      <w:r>
        <w:rPr>
          <w:rFonts w:hint="eastAsia"/>
          <w:b/>
        </w:rPr>
        <w:t>第十一条 甲方招标文件、乙方投标文件及乙方投标最终报价单附属内容均为本合同一部分。</w:t>
      </w:r>
    </w:p>
    <w:p>
      <w:pPr>
        <w:spacing w:line="360" w:lineRule="auto"/>
        <w:ind w:firstLine="413" w:firstLineChars="196"/>
        <w:rPr>
          <w:bCs/>
        </w:rPr>
      </w:pPr>
      <w:r>
        <w:rPr>
          <w:rFonts w:hint="eastAsia"/>
          <w:b/>
        </w:rPr>
        <w:t>第十二条</w:t>
      </w:r>
      <w:r>
        <w:rPr>
          <w:b/>
        </w:rPr>
        <w:t xml:space="preserve"> </w:t>
      </w:r>
      <w:r>
        <w:rPr>
          <w:rFonts w:hint="eastAsia"/>
          <w:bCs/>
        </w:rPr>
        <w:t>双方按（本合同首部）确定的地址、电话进行联络，一方的联系地址、电话如有变动，应提前5日内书面通知对方，否则由此造成不能送达的一切后果由责任方承担；</w:t>
      </w:r>
    </w:p>
    <w:p>
      <w:pPr>
        <w:spacing w:line="360" w:lineRule="auto"/>
        <w:ind w:firstLine="411" w:firstLineChars="196"/>
        <w:rPr>
          <w:b/>
        </w:rPr>
      </w:pPr>
      <w:r>
        <w:rPr>
          <w:rFonts w:hint="eastAsia"/>
          <w:bCs/>
        </w:rPr>
        <w:t>本协议通讯地址、联系方式亦为解决纠纷时，法院向双方送达法律文书的地址，双方对此已充分知悉并无异议。如一方按上述通讯地址、联系方式发送文件给另一方，或法院按上述通讯地址、联系方式向任何一方送达法律文书，但因另一方拒收、查无此人、地址不详、无法送达等原因未能收取的，均视为文件已经送达</w:t>
      </w:r>
      <w:r>
        <w:rPr>
          <w:rFonts w:hint="eastAsia"/>
          <w:b/>
        </w:rPr>
        <w:t>。</w:t>
      </w:r>
    </w:p>
    <w:p>
      <w:pPr>
        <w:spacing w:line="360" w:lineRule="auto"/>
        <w:ind w:firstLine="413" w:firstLineChars="196"/>
        <w:rPr>
          <w:rFonts w:ascii="宋体" w:hAnsi="宋体"/>
          <w:b/>
        </w:rPr>
      </w:pPr>
      <w:r>
        <w:rPr>
          <w:rFonts w:hint="eastAsia"/>
          <w:b/>
        </w:rPr>
        <w:t>第十三条 其它</w:t>
      </w:r>
    </w:p>
    <w:p>
      <w:pPr>
        <w:spacing w:line="360" w:lineRule="auto"/>
        <w:ind w:firstLine="420" w:firstLineChars="200"/>
      </w:pPr>
      <w:r>
        <w:rPr>
          <w:rFonts w:hint="eastAsia"/>
        </w:rPr>
        <w:t>本合同未尽事宜，由甲乙双方另行签订补充协议，补充协议是本合同的组成部分，与本合同具有同等法律效力。</w:t>
      </w:r>
    </w:p>
    <w:p>
      <w:pPr>
        <w:spacing w:line="360" w:lineRule="auto"/>
        <w:ind w:firstLine="420" w:firstLineChars="200"/>
      </w:pPr>
      <w:r>
        <w:rPr>
          <w:rFonts w:hint="eastAsia"/>
        </w:rPr>
        <w:t>本合同壹式肆份，甲方执叁份，乙方执壹份。自双方签字、盖章之日生效。</w:t>
      </w:r>
    </w:p>
    <w:p>
      <w:pPr>
        <w:spacing w:line="360" w:lineRule="auto"/>
        <w:ind w:left="720" w:firstLine="420" w:firstLineChars="200"/>
      </w:pPr>
      <w:r>
        <w:t> </w:t>
      </w:r>
    </w:p>
    <w:p>
      <w:pPr>
        <w:spacing w:line="360" w:lineRule="auto"/>
        <w:ind w:left="720" w:firstLine="420" w:firstLineChars="200"/>
      </w:pPr>
    </w:p>
    <w:p>
      <w:pPr>
        <w:spacing w:line="360" w:lineRule="auto"/>
      </w:pPr>
    </w:p>
    <w:p>
      <w:pPr>
        <w:spacing w:line="360" w:lineRule="auto"/>
        <w:ind w:left="720" w:firstLine="14" w:firstLineChars="7"/>
      </w:pPr>
      <w:r>
        <w:rPr>
          <w:rFonts w:hint="eastAsia"/>
        </w:rPr>
        <w:t>甲方（盖章）</w:t>
      </w:r>
      <w:r>
        <w:t xml:space="preserve">                                 </w:t>
      </w:r>
      <w:r>
        <w:rPr>
          <w:rFonts w:hint="eastAsia"/>
        </w:rPr>
        <w:t>乙方（盖章）</w:t>
      </w:r>
    </w:p>
    <w:p>
      <w:pPr>
        <w:spacing w:line="360" w:lineRule="auto"/>
        <w:ind w:left="720" w:firstLine="420" w:firstLineChars="200"/>
      </w:pPr>
    </w:p>
    <w:p>
      <w:pPr>
        <w:spacing w:line="360" w:lineRule="auto"/>
        <w:ind w:left="720" w:firstLine="420" w:firstLineChars="200"/>
      </w:pPr>
    </w:p>
    <w:p>
      <w:pPr>
        <w:spacing w:line="360" w:lineRule="auto"/>
        <w:ind w:left="720" w:firstLine="14" w:firstLineChars="7"/>
      </w:pPr>
      <w:r>
        <w:rPr>
          <w:rFonts w:hint="eastAsia"/>
        </w:rPr>
        <w:t xml:space="preserve">签约代表     </w:t>
      </w:r>
      <w:r>
        <w:t xml:space="preserve">                                </w:t>
      </w:r>
      <w:r>
        <w:rPr>
          <w:rFonts w:hint="eastAsia"/>
        </w:rPr>
        <w:t>签约代表</w:t>
      </w:r>
    </w:p>
    <w:p>
      <w:pPr>
        <w:spacing w:line="360" w:lineRule="auto"/>
        <w:ind w:left="720" w:firstLine="420" w:firstLineChars="200"/>
      </w:pPr>
    </w:p>
    <w:p>
      <w:pPr>
        <w:spacing w:line="360" w:lineRule="auto"/>
        <w:ind w:left="90" w:leftChars="43" w:firstLine="1050" w:firstLineChars="500"/>
      </w:pPr>
      <w:r>
        <w:rPr>
          <w:rFonts w:hint="eastAsia"/>
        </w:rPr>
        <w:t xml:space="preserve">   </w:t>
      </w:r>
      <w:r>
        <w:t xml:space="preserve">                                              </w:t>
      </w:r>
    </w:p>
    <w:p>
      <w:pPr>
        <w:spacing w:line="360" w:lineRule="auto"/>
        <w:ind w:left="90" w:leftChars="43" w:firstLine="1050" w:firstLineChars="500"/>
      </w:pPr>
    </w:p>
    <w:p>
      <w:pPr>
        <w:spacing w:line="360" w:lineRule="auto"/>
        <w:ind w:left="90" w:leftChars="43" w:firstLine="644" w:firstLineChars="307"/>
      </w:pPr>
      <w:r>
        <w:t>______</w:t>
      </w:r>
      <w:r>
        <w:rPr>
          <w:rFonts w:hint="eastAsia"/>
        </w:rPr>
        <w:t>年</w:t>
      </w:r>
      <w:r>
        <w:t>___</w:t>
      </w:r>
      <w:r>
        <w:rPr>
          <w:rFonts w:hint="eastAsia"/>
          <w:u w:val="single"/>
        </w:rPr>
        <w:t xml:space="preserve">   </w:t>
      </w:r>
      <w:r>
        <w:rPr>
          <w:rFonts w:hint="eastAsia"/>
        </w:rPr>
        <w:t>月</w:t>
      </w:r>
      <w:r>
        <w:t>__</w:t>
      </w:r>
      <w:r>
        <w:rPr>
          <w:rFonts w:hint="eastAsia"/>
          <w:u w:val="single"/>
        </w:rPr>
        <w:t xml:space="preserve">  </w:t>
      </w:r>
      <w:r>
        <w:t>__</w:t>
      </w:r>
      <w:r>
        <w:rPr>
          <w:rFonts w:hint="eastAsia"/>
        </w:rPr>
        <w:t xml:space="preserve">日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pPr>
        <w:rPr>
          <w:rFonts w:hint="eastAsia"/>
        </w:rPr>
      </w:pPr>
    </w:p>
    <w:p>
      <w:pPr>
        <w:pStyle w:val="35"/>
      </w:pPr>
    </w:p>
    <w:p>
      <w:pP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pPr>
      <w:bookmarkStart w:id="185" w:name="_Toc16593"/>
      <w:bookmarkStart w:id="186" w:name="_Toc3728"/>
      <w:bookmarkStart w:id="187" w:name="_Toc7319"/>
      <w: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br w:type="page"/>
      </w: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t>第五章</w:t>
      </w:r>
      <w:r>
        <w:rPr>
          <w:rFonts w:hint="eastAsia" w:ascii="Times New Roman" w:hAnsi="Times New Roman" w:eastAsia="宋体" w:cs="Times New Roman"/>
          <w:b/>
          <w:bCs/>
          <w:color w:val="000000" w:themeColor="text1"/>
          <w:spacing w:val="2"/>
          <w:kern w:val="0"/>
          <w:sz w:val="32"/>
          <w:szCs w:val="32"/>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技术标准和要求</w:t>
      </w:r>
      <w:bookmarkEnd w:id="185"/>
      <w:bookmarkEnd w:id="186"/>
      <w:bookmarkEnd w:id="187"/>
    </w:p>
    <w:p>
      <w:pPr>
        <w:numPr>
          <w:ilvl w:val="0"/>
          <w:numId w:val="0"/>
        </w:numPr>
        <w:jc w:val="both"/>
        <w:rPr>
          <w:rFonts w:hint="eastAsia" w:asciiTheme="minorEastAsia" w:hAnsiTheme="minorEastAsia" w:eastAsiaTheme="minorEastAsia" w:cstheme="minorEastAsia"/>
          <w:sz w:val="28"/>
          <w:szCs w:val="32"/>
          <w:lang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A包：耳鼻喉图文工作站</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一、医用内窥镜摄像系统（含摄像主机和摄像头）</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1、主芯片：数字全高清成像器件，1/1.8 CMOS</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2、分辨率：1920*1080 P，逐行扫描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3、扫描频率：≥60帧高速无拖影传输</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4、支持输出格式：16:9、16:10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5、调制传递函数：MTF为50%≥55lp/mm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6、亮度响应特性：≥0.98</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7、空间频率响应：SFR50%≥15C/°</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8、静态图像宽容度：40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9、★智能医用LED双液晶感控触摸屏，可在触屏进行功能设置和参数调节，实时显示图像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10、视频输出端口：HDMI*4，BNC*1，VGA*1，SDI*1、RS232*1(网络远程数据控制接口）</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11、支持2K、4K,31寸、32寸、43寸、55寸及以上监视器图像传输</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12、专业集成抗干扰模组，解决手术环境中磁场及静电干扰</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13、★数字全高清摄像头防水：IPX8防水级别，支持低温等离子消毒</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14、手术视野，调焦范围：F14至F35定焦及变焦光学适配器，国际C型标准，可根据医院科室需求选择不同光学适配器，可连接国内外硬管及纤维内窥镜。</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15、★数字全高清摄像头：摄像头具有5个按键，具有亮度调节，影像冻结，放大等15种调节模式满足临床手术要求</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w:t>
      </w:r>
      <w:r>
        <w:rPr>
          <w:rFonts w:hint="eastAsia" w:ascii="宋体" w:hAnsi="宋体" w:cs="宋体"/>
          <w:iCs/>
          <w:sz w:val="22"/>
          <w:szCs w:val="22"/>
          <w:u w:val="none"/>
          <w:lang w:val="en-US" w:eastAsia="zh-CN"/>
        </w:rPr>
        <w:t>6</w:t>
      </w:r>
      <w:r>
        <w:rPr>
          <w:rFonts w:hint="eastAsia" w:ascii="宋体" w:hAnsi="宋体" w:eastAsia="宋体" w:cs="宋体"/>
          <w:iCs/>
          <w:sz w:val="22"/>
          <w:szCs w:val="22"/>
          <w:u w:val="none"/>
        </w:rPr>
        <w:t>、支持互联网远程服务、远程升级、手术直播、手术示教、实时调节等功能</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二、LED医用内窥镜冷光源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1、采用LED发光组件，稳定性强，抗震性强</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2、智能医用LED液晶感控触摸屏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3、液晶屏实时显示LED灯珠温度</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4、★LED发光寿命6万小时</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5、色温5500K±20％，通透性好</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6、光输出孔直径为（10±0.30）mm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7、显色指数；≧90。输入功率：150VA</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8、可连接国内外硬管及纤维内窥镜</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9、支持互联网远程服务</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三、显示器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1、≥24寸液晶屏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2、比例；16:10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3、分辨率；≥1920×1200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4、色彩；≥1670万</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5、对比度；1000:1</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6、视角；178/178</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7、响应时间；8ms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8、支持互联网远程服务</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四、配件</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1、光学接口</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2、玻璃光纤束：φ4mm*2500mm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3、仪器台车：托板间距可自行调整，方便移动，具有静音、带锁轮</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五、配置清单：</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76"/>
        <w:gridCol w:w="2205"/>
        <w:gridCol w:w="2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b/>
                <w:bCs/>
                <w:sz w:val="22"/>
                <w:szCs w:val="22"/>
              </w:rPr>
            </w:pPr>
            <w:r>
              <w:rPr>
                <w:rFonts w:hint="eastAsia" w:ascii="宋体" w:hAnsi="宋体" w:eastAsia="宋体" w:cs="宋体"/>
                <w:b/>
                <w:bCs/>
                <w:sz w:val="22"/>
                <w:szCs w:val="22"/>
              </w:rPr>
              <w:t>名称</w:t>
            </w:r>
          </w:p>
        </w:tc>
        <w:tc>
          <w:tcPr>
            <w:tcW w:w="2205" w:type="dxa"/>
            <w:tcBorders>
              <w:top w:val="nil"/>
              <w:left w:val="nil"/>
              <w:bottom w:val="nil"/>
              <w:right w:val="nil"/>
            </w:tcBorders>
            <w:vAlign w:val="center"/>
          </w:tcPr>
          <w:p>
            <w:pPr>
              <w:spacing w:after="120"/>
              <w:jc w:val="center"/>
              <w:rPr>
                <w:rFonts w:hint="eastAsia" w:ascii="宋体" w:hAnsi="宋体" w:eastAsia="宋体" w:cs="宋体"/>
                <w:b/>
                <w:bCs/>
                <w:sz w:val="22"/>
                <w:szCs w:val="22"/>
              </w:rPr>
            </w:pPr>
            <w:r>
              <w:rPr>
                <w:rFonts w:hint="eastAsia" w:ascii="宋体" w:hAnsi="宋体" w:eastAsia="宋体" w:cs="宋体"/>
                <w:b/>
                <w:bCs/>
                <w:sz w:val="22"/>
                <w:szCs w:val="22"/>
              </w:rPr>
              <w:t>数量</w:t>
            </w:r>
          </w:p>
        </w:tc>
        <w:tc>
          <w:tcPr>
            <w:tcW w:w="2505" w:type="dxa"/>
            <w:tcBorders>
              <w:top w:val="nil"/>
              <w:left w:val="nil"/>
              <w:bottom w:val="nil"/>
              <w:right w:val="nil"/>
            </w:tcBorders>
            <w:vAlign w:val="center"/>
          </w:tcPr>
          <w:p>
            <w:pPr>
              <w:spacing w:after="120"/>
              <w:jc w:val="center"/>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医用摄像系统主机</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1台</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医用冷光源</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1台</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摄像头</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1个</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台车</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1个</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高清工作站</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远程控制软件</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电脑+打印机</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耳镜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鼻镜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喉镜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bl>
    <w:p>
      <w:pPr>
        <w:pStyle w:val="35"/>
        <w:rPr>
          <w:rFonts w:hint="eastAsia" w:ascii="宋体" w:hAnsi="宋体" w:eastAsia="宋体" w:cs="宋体"/>
          <w:sz w:val="21"/>
          <w:szCs w:val="21"/>
        </w:rPr>
      </w:pPr>
    </w:p>
    <w:p>
      <w:pPr>
        <w:numPr>
          <w:ilvl w:val="0"/>
          <w:numId w:val="0"/>
        </w:numPr>
        <w:jc w:val="both"/>
        <w:rPr>
          <w:rFonts w:hint="eastAsia" w:asciiTheme="minorEastAsia" w:hAnsiTheme="minorEastAsia" w:eastAsia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B包：便携式彩色多普勒超声系统</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tbl>
      <w:tblPr>
        <w:tblStyle w:val="18"/>
        <w:tblW w:w="8880" w:type="dxa"/>
        <w:tblInd w:w="0" w:type="dxa"/>
        <w:tblLayout w:type="fixed"/>
        <w:tblCellMar>
          <w:top w:w="15" w:type="dxa"/>
          <w:left w:w="15" w:type="dxa"/>
          <w:bottom w:w="15" w:type="dxa"/>
          <w:right w:w="15" w:type="dxa"/>
        </w:tblCellMar>
      </w:tblPr>
      <w:tblGrid>
        <w:gridCol w:w="8880"/>
      </w:tblGrid>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bookmarkStart w:id="188" w:name="_Hlk144969578"/>
            <w:r>
              <w:rPr>
                <w:rFonts w:hint="eastAsia" w:ascii="宋体" w:hAnsi="宋体" w:cs="宋体"/>
                <w:kern w:val="0"/>
                <w:sz w:val="22"/>
                <w:szCs w:val="22"/>
                <w:lang w:bidi="ar"/>
              </w:rPr>
              <w:t>1、应用于全身超声检查：腹部、妇科、心脏、小器官、泌尿、血管、儿科、急诊及其它</w:t>
            </w:r>
          </w:p>
        </w:tc>
      </w:tr>
      <w:tr>
        <w:tblPrEx>
          <w:tblCellMar>
            <w:top w:w="15" w:type="dxa"/>
            <w:left w:w="15" w:type="dxa"/>
            <w:bottom w:w="15" w:type="dxa"/>
            <w:right w:w="15" w:type="dxa"/>
          </w:tblCellMar>
        </w:tblPrEx>
        <w:trPr>
          <w:trHeight w:val="3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2、探头接口1个，为无针式接口。</w:t>
            </w:r>
          </w:p>
        </w:tc>
      </w:tr>
      <w:tr>
        <w:tblPrEx>
          <w:tblCellMar>
            <w:top w:w="15" w:type="dxa"/>
            <w:left w:w="15" w:type="dxa"/>
            <w:bottom w:w="15" w:type="dxa"/>
            <w:right w:w="15" w:type="dxa"/>
          </w:tblCellMar>
        </w:tblPrEx>
        <w:trPr>
          <w:trHeight w:val="348"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3、探头配置：单晶体相控阵、凸阵、线阵探头。</w:t>
            </w:r>
          </w:p>
        </w:tc>
      </w:tr>
      <w:tr>
        <w:tblPrEx>
          <w:tblCellMar>
            <w:top w:w="15" w:type="dxa"/>
            <w:left w:w="15" w:type="dxa"/>
            <w:bottom w:w="15" w:type="dxa"/>
            <w:right w:w="15" w:type="dxa"/>
          </w:tblCellMar>
        </w:tblPrEx>
        <w:trPr>
          <w:trHeight w:val="327"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w:t>
            </w:r>
            <w:r>
              <w:rPr>
                <w:rFonts w:ascii="宋体" w:hAnsi="宋体" w:cs="宋体"/>
                <w:kern w:val="0"/>
                <w:sz w:val="22"/>
                <w:szCs w:val="22"/>
              </w:rPr>
              <w:t>★</w:t>
            </w:r>
            <w:r>
              <w:rPr>
                <w:rFonts w:hint="eastAsia" w:ascii="宋体" w:hAnsi="宋体" w:cs="宋体"/>
                <w:kern w:val="0"/>
                <w:sz w:val="22"/>
                <w:szCs w:val="22"/>
                <w:lang w:bidi="ar"/>
              </w:rPr>
              <w:t>质量层次：国产，且在品牌所在国制造生产。</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一、主机及技术参数要求：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1、通用功能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1.1、</w:t>
            </w:r>
            <w:r>
              <w:rPr>
                <w:rFonts w:ascii="宋体" w:hAnsi="宋体" w:cs="宋体"/>
                <w:kern w:val="0"/>
                <w:sz w:val="22"/>
                <w:szCs w:val="22"/>
              </w:rPr>
              <w:t>★</w:t>
            </w:r>
            <w:r>
              <w:rPr>
                <w:rFonts w:hint="eastAsia" w:ascii="宋体" w:hAnsi="宋体" w:cs="宋体"/>
                <w:kern w:val="0"/>
                <w:sz w:val="22"/>
                <w:szCs w:val="22"/>
                <w:lang w:bidi="ar"/>
              </w:rPr>
              <w:t>彩色液晶显示器≥15英寸，传统轨迹球操作面板设计</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rPr>
                <w:rFonts w:hint="eastAsia" w:ascii="宋体" w:hAnsi="宋体" w:cs="宋体"/>
                <w:sz w:val="22"/>
                <w:szCs w:val="22"/>
              </w:rPr>
            </w:pPr>
            <w:r>
              <w:rPr>
                <w:rFonts w:hint="eastAsia" w:ascii="宋体" w:hAnsi="宋体" w:cs="宋体"/>
                <w:sz w:val="22"/>
                <w:szCs w:val="22"/>
              </w:rPr>
              <w:t>1.2、 扩展成像技术 ，支持线阵探头、凸阵探头</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 测量和分析:(B型,M型,频谱多普勒,彩色多普勒)</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1.3.1一般测量</w:t>
            </w:r>
          </w:p>
        </w:tc>
      </w:tr>
      <w:tr>
        <w:tblPrEx>
          <w:tblCellMar>
            <w:top w:w="15" w:type="dxa"/>
            <w:left w:w="15" w:type="dxa"/>
            <w:bottom w:w="15" w:type="dxa"/>
            <w:right w:w="15" w:type="dxa"/>
          </w:tblCellMar>
        </w:tblPrEx>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1.3.2  产科测量</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1.3.3  心脏功能测量</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1.3.4  妇科测量包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1.3.5  神经测量包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1.3.6  腹部测量包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1.3.7  急诊科测量包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1.3.8  外周血管血流测量分析报告功能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1.4、主机标配探头接口：1个，配备一拖三扩展器。</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1.5、台车可升降</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1.6、二维灰阶模式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1.7、谐波成像模式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1.8、M型模式、彩色M型模式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★1.9、解剖M型模式，</w:t>
            </w:r>
            <w:r>
              <w:rPr>
                <w:rFonts w:hint="eastAsia" w:ascii="宋体" w:hAnsi="宋体" w:cs="宋体"/>
                <w:sz w:val="22"/>
                <w:szCs w:val="22"/>
              </w:rPr>
              <w:t>要求具有≥2条取样线，要求能360度任意旋转角度，同时要求支持实时扫描以及后处理离线分析过程中重构M型图像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1.10、具有组织特征成像，能够独立选择肌肉、常规、脂肪、液性成像模式</w:t>
            </w:r>
          </w:p>
        </w:tc>
      </w:tr>
      <w:tr>
        <w:tblPrEx>
          <w:tblCellMar>
            <w:top w:w="15" w:type="dxa"/>
            <w:left w:w="15" w:type="dxa"/>
            <w:bottom w:w="15" w:type="dxa"/>
            <w:right w:w="15" w:type="dxa"/>
          </w:tblCellMar>
        </w:tblPrEx>
        <w:trPr>
          <w:trHeight w:val="641"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1.11、彩色多普勒成像（包括彩色、能量、方向能量多普勒模式）</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1.11.1、多普勒频率≥2段可视可独立调节</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1.11.2、B/Color双幅实时显示</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1.11.3、扫描帧率最大帧频≥260帧／秒</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 xml:space="preserve">1.12、频谱多普勒成像 </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1.12.1  支持脉冲多普勒（PW），高脉冲重复频率（HPRF）,连续多普勒（CW）模式</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1.12.2  取样宽度及位置范围：0.5mm~20mm</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1.12.3  线阵探头多普勒取样线偏转≥±20°可调</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1.12.4  多普勒取样音可开关，音量大小可调</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1.13、组织多普勒成像（包括TVI, TVD, TVM, TEI4种模式，提供图片证明）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 xml:space="preserve">1.14、宽景成像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1.15、空间复合成像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1.16、斑点噪声抑制技术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w:t>
            </w:r>
            <w:r>
              <w:rPr>
                <w:rFonts w:ascii="宋体" w:hAnsi="宋体" w:cs="宋体"/>
                <w:kern w:val="0"/>
                <w:sz w:val="22"/>
                <w:szCs w:val="22"/>
                <w:lang w:bidi="ar"/>
              </w:rPr>
              <w:t>17</w:t>
            </w:r>
            <w:r>
              <w:rPr>
                <w:rFonts w:ascii="宋体" w:hAnsi="宋体" w:cs="宋体"/>
                <w:kern w:val="0"/>
                <w:sz w:val="22"/>
                <w:szCs w:val="22"/>
              </w:rPr>
              <w:t>★</w:t>
            </w:r>
            <w:r>
              <w:rPr>
                <w:rFonts w:hint="eastAsia" w:ascii="宋体" w:hAnsi="宋体" w:cs="宋体"/>
                <w:kern w:val="0"/>
                <w:sz w:val="22"/>
                <w:szCs w:val="22"/>
                <w:lang w:bidi="ar"/>
              </w:rPr>
              <w:t>造影成像及造影定量分析功能</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.1支持浅表、腹部探头</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.2支持微血管造影成像</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.3支持造影图和组织图位置互换</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1.17.</w:t>
            </w:r>
            <w:r>
              <w:rPr>
                <w:rFonts w:ascii="宋体" w:hAnsi="宋体" w:cs="宋体"/>
                <w:kern w:val="0"/>
                <w:sz w:val="22"/>
                <w:szCs w:val="22"/>
                <w:lang w:bidi="ar"/>
              </w:rPr>
              <w:t>4</w:t>
            </w:r>
            <w:r>
              <w:rPr>
                <w:rFonts w:hint="eastAsia" w:ascii="宋体" w:hAnsi="宋体" w:cs="宋体"/>
                <w:kern w:val="0"/>
                <w:sz w:val="22"/>
                <w:szCs w:val="22"/>
                <w:lang w:bidi="ar"/>
              </w:rPr>
              <w:t>支持造影定量分析曲线显示和表格显示</w:t>
            </w:r>
          </w:p>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1.17.</w:t>
            </w:r>
            <w:r>
              <w:rPr>
                <w:rFonts w:ascii="宋体" w:hAnsi="宋体" w:cs="宋体"/>
                <w:kern w:val="0"/>
                <w:sz w:val="22"/>
                <w:szCs w:val="22"/>
                <w:lang w:bidi="ar"/>
              </w:rPr>
              <w:t>5</w:t>
            </w:r>
            <w:r>
              <w:rPr>
                <w:rFonts w:hint="eastAsia" w:ascii="宋体" w:hAnsi="宋体" w:cs="宋体"/>
                <w:kern w:val="0"/>
                <w:sz w:val="22"/>
                <w:szCs w:val="22"/>
                <w:lang w:bidi="ar"/>
              </w:rPr>
              <w:t>支持运动追踪功能</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★1.18、心脏检查支持兼容高速血流和低速血流同时显示技术</w:t>
            </w:r>
          </w:p>
        </w:tc>
      </w:tr>
      <w:tr>
        <w:tblPrEx>
          <w:tblCellMar>
            <w:top w:w="15" w:type="dxa"/>
            <w:left w:w="15" w:type="dxa"/>
            <w:bottom w:w="15" w:type="dxa"/>
            <w:right w:w="15" w:type="dxa"/>
          </w:tblCellMar>
        </w:tblPrEx>
        <w:trPr>
          <w:trHeight w:val="82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★1.19、心腔心肌对比显示技术，降低心腔噪声，提升心肌心腔对比显示率，获得优异的心脏图像</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1.20、★弹性成像及定量分析单元</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w:t>
            </w:r>
            <w:r>
              <w:rPr>
                <w:rFonts w:ascii="宋体" w:hAnsi="宋体" w:cs="宋体"/>
                <w:kern w:val="0"/>
                <w:sz w:val="22"/>
                <w:szCs w:val="22"/>
                <w:lang w:bidi="ar"/>
              </w:rPr>
              <w:t>0</w:t>
            </w:r>
            <w:r>
              <w:rPr>
                <w:rFonts w:hint="eastAsia" w:ascii="宋体" w:hAnsi="宋体" w:cs="宋体"/>
                <w:kern w:val="0"/>
                <w:sz w:val="22"/>
                <w:szCs w:val="22"/>
                <w:lang w:bidi="ar"/>
              </w:rPr>
              <w:t>.1组织硬度定量分析软件和压力曲线提示图标</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w:t>
            </w:r>
            <w:r>
              <w:rPr>
                <w:rFonts w:ascii="宋体" w:hAnsi="宋体" w:cs="宋体"/>
                <w:kern w:val="0"/>
                <w:sz w:val="22"/>
                <w:szCs w:val="22"/>
                <w:lang w:bidi="ar"/>
              </w:rPr>
              <w:t>0</w:t>
            </w:r>
            <w:r>
              <w:rPr>
                <w:rFonts w:hint="eastAsia" w:ascii="宋体" w:hAnsi="宋体" w:cs="宋体"/>
                <w:kern w:val="0"/>
                <w:sz w:val="22"/>
                <w:szCs w:val="22"/>
                <w:lang w:bidi="ar"/>
              </w:rPr>
              <w:t>.2支持应变率测量和肿块周边组织弹性定量分析（提供证明图片）</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1.21、图像局部放大功能(实时和冻结放大，放大倍率≥8倍)，支持智能全屏放大实时显示功能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1.22、支持自动工作流协议，试用于体检中心、超声科等重复性检查，可以用户自定义操作流，节约检查时间，提升工作效率</w:t>
            </w:r>
          </w:p>
        </w:tc>
      </w:tr>
      <w:tr>
        <w:tblPrEx>
          <w:tblCellMar>
            <w:top w:w="15" w:type="dxa"/>
            <w:left w:w="15" w:type="dxa"/>
            <w:bottom w:w="15" w:type="dxa"/>
            <w:right w:w="15" w:type="dxa"/>
          </w:tblCellMar>
        </w:tblPrEx>
        <w:trPr>
          <w:trHeight w:val="5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★1.23、支持基于辛普森的自动左心室收缩功能测量</w:t>
            </w:r>
          </w:p>
        </w:tc>
      </w:tr>
      <w:tr>
        <w:tblPrEx>
          <w:tblCellMar>
            <w:top w:w="15" w:type="dxa"/>
            <w:left w:w="15" w:type="dxa"/>
            <w:bottom w:w="15" w:type="dxa"/>
            <w:right w:w="15" w:type="dxa"/>
          </w:tblCellMar>
        </w:tblPrEx>
        <w:trPr>
          <w:trHeight w:val="5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1.24、穿刺针增强技术，可以增强针尖针体的显示，提高穿刺的可视性</w:t>
            </w:r>
          </w:p>
        </w:tc>
      </w:tr>
      <w:tr>
        <w:tblPrEx>
          <w:tblCellMar>
            <w:top w:w="15" w:type="dxa"/>
            <w:left w:w="15" w:type="dxa"/>
            <w:bottom w:w="15" w:type="dxa"/>
            <w:right w:w="15" w:type="dxa"/>
          </w:tblCellMar>
        </w:tblPrEx>
        <w:trPr>
          <w:trHeight w:val="81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1.25、支持移动终端系统：超声设备与智能设备无线连接，通过无线连接将超声机器的临床图像传输到手机或平板电脑,方便医生会诊。</w:t>
            </w:r>
          </w:p>
        </w:tc>
      </w:tr>
      <w:tr>
        <w:tblPrEx>
          <w:tblCellMar>
            <w:top w:w="15" w:type="dxa"/>
            <w:left w:w="15" w:type="dxa"/>
            <w:bottom w:w="15" w:type="dxa"/>
            <w:right w:w="15" w:type="dxa"/>
          </w:tblCellMar>
        </w:tblPrEx>
        <w:trPr>
          <w:trHeight w:val="49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1.26、预设置全面检查条件，一键快速切换至所需模式界面</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★1.27、自助超声教学系统，帮助医生更快掌握超声扫查的手法，实现标准化</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1.28、全中文操作系统界面、操作菜单并可选多种语言。</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1.29、 图像存储与(电影)回放重现单元：支持同步存储(支持单帧图像文件包含： DCM、TIFF、BMP、JEPG单帧，电影文件包括：CIN、AVI、DCM)，即后台存储或导出图像数据的同时前台可以完成实时扫描。直接一键存储至硬盘，无需格式转换；支持网格硬盘直接存储；突然关机或未结束检查关机资料不丢失</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2.探头规格</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2.1、超宽频变频探头，基波、谐波、彩色、多普勒模式下独立变频均≥3种</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2.2、凸振探头：频率范围1.5-5.0MHz，最大显示深度≥38cm（提供证明图片）</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2.3、线阵探头：频率范围3.0-13.0MHz</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2.4</w:t>
            </w:r>
            <w:r>
              <w:rPr>
                <w:rFonts w:ascii="宋体" w:hAnsi="宋体" w:cs="宋体"/>
                <w:kern w:val="0"/>
                <w:sz w:val="22"/>
                <w:szCs w:val="22"/>
              </w:rPr>
              <w:t>★</w:t>
            </w:r>
            <w:r>
              <w:rPr>
                <w:rFonts w:hint="eastAsia" w:ascii="宋体" w:hAnsi="宋体" w:cs="宋体"/>
                <w:kern w:val="0"/>
                <w:sz w:val="22"/>
                <w:szCs w:val="22"/>
                <w:lang w:bidi="ar"/>
              </w:rPr>
              <w:t xml:space="preserve">单晶体相控阵探头：频率范围1.2-4.2MHz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ascii="宋体" w:hAnsi="宋体" w:cs="宋体"/>
                <w:kern w:val="0"/>
                <w:sz w:val="22"/>
                <w:szCs w:val="22"/>
                <w:lang w:bidi="ar"/>
              </w:rPr>
              <w:t>2.5</w:t>
            </w:r>
            <w:r>
              <w:rPr>
                <w:rFonts w:ascii="宋体" w:hAnsi="宋体" w:cs="宋体"/>
                <w:kern w:val="0"/>
                <w:sz w:val="22"/>
                <w:szCs w:val="22"/>
              </w:rPr>
              <w:t>★</w:t>
            </w:r>
            <w:r>
              <w:rPr>
                <w:rFonts w:hint="eastAsia" w:ascii="宋体" w:hAnsi="宋体" w:cs="宋体"/>
                <w:kern w:val="0"/>
                <w:sz w:val="22"/>
                <w:szCs w:val="22"/>
                <w:lang w:bidi="ar"/>
              </w:rPr>
              <w:t>可选配经食道探头，带宽：4.0-7.0MHZ</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ascii="宋体" w:hAnsi="宋体" w:cs="宋体"/>
                <w:kern w:val="0"/>
                <w:sz w:val="22"/>
                <w:szCs w:val="22"/>
              </w:rPr>
              <w:t>2.6★生产厂家可生产探头类型：相控阵、电子扇扫、凸阵、线阵、腔内、容积探头、经食道探头，双平面探头，腹腔镜探头。</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3、系统技术参数及要求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3.1、二维灰阶成像单元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3.1.1、数字波束增强器</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3.1.2、接收方式：发射、接收通道≥60,000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3.1.3、最大显示深度:≥38cm</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3.1.4、最大帧率: ≥800 帧/秒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★3.1.5、TGC: ≥8段,LGC:≥4段</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3.2、彩色多普勒参数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3.2.1、包括彩色、能量、方向性能量多普勒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3.2.2、支持高分辨率血流模式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3.2.3、取样框偏转: ±30度 (线阵探头)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3.2.4、最大帧率: ≥260 帧/秒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3.3、频谱多普勒参数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3.3.1、频谱多普勒模式：包括脉冲多普勒、高脉冲重复频率、连续多普勒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3.3.2、频谱多普勒最大速度≥7.0m/s</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3.3.3、连续多普勒速度最大速度≥30.0m/s</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3.3.4、取样容积: 0.5-20mm</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4、测量功能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 xml:space="preserve">4.1、具备常规测量：包括距离、周长、面积、预产期、分娩日期等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4.2、妇产科测量：多胞胎对比测量分析，胎儿生长曲线显示、生理评分 </w:t>
            </w:r>
          </w:p>
        </w:tc>
      </w:tr>
      <w:tr>
        <w:tblPrEx>
          <w:tblCellMar>
            <w:top w:w="15" w:type="dxa"/>
            <w:left w:w="15" w:type="dxa"/>
            <w:bottom w:w="15" w:type="dxa"/>
            <w:right w:w="15" w:type="dxa"/>
          </w:tblCellMar>
        </w:tblPrEx>
        <w:trPr>
          <w:trHeight w:val="46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★4.3、血管内中膜自动测量，取样框选定后自动计算血管前/后壁内中膜的厚度，测量角度。</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4.4、胎儿心脏评分用于胎儿心脏发育异常产前筛查评估，支持心脏≥15个测量项目，并同时获得胎儿心脏发育评分。</w:t>
            </w:r>
          </w:p>
        </w:tc>
      </w:tr>
      <w:tr>
        <w:tblPrEx>
          <w:tblCellMar>
            <w:top w:w="15" w:type="dxa"/>
            <w:left w:w="15" w:type="dxa"/>
            <w:bottom w:w="15" w:type="dxa"/>
            <w:right w:w="15" w:type="dxa"/>
          </w:tblCellMar>
        </w:tblPrEx>
        <w:trPr>
          <w:trHeight w:val="411"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4.5、</w:t>
            </w:r>
            <w:r>
              <w:rPr>
                <w:rFonts w:hint="eastAsia" w:ascii="宋体" w:hAnsi="宋体" w:cs="宋体"/>
                <w:sz w:val="22"/>
                <w:szCs w:val="22"/>
              </w:rPr>
              <w:t xml:space="preserve"> 外周血管专用测量及分析</w:t>
            </w:r>
          </w:p>
        </w:tc>
      </w:tr>
      <w:tr>
        <w:tblPrEx>
          <w:tblCellMar>
            <w:top w:w="15" w:type="dxa"/>
            <w:left w:w="15" w:type="dxa"/>
            <w:bottom w:w="15" w:type="dxa"/>
            <w:right w:w="15" w:type="dxa"/>
          </w:tblCellMar>
        </w:tblPrEx>
        <w:trPr>
          <w:trHeight w:val="424" w:hRule="atLeast"/>
        </w:trPr>
        <w:tc>
          <w:tcPr>
            <w:tcW w:w="8880" w:type="dxa"/>
            <w:tcBorders>
              <w:top w:val="nil"/>
              <w:left w:val="nil"/>
              <w:bottom w:val="nil"/>
              <w:right w:val="nil"/>
            </w:tcBorders>
            <w:vAlign w:val="center"/>
          </w:tcPr>
          <w:p>
            <w:pPr>
              <w:autoSpaceDE w:val="0"/>
              <w:autoSpaceDN w:val="0"/>
              <w:adjustRightInd w:val="0"/>
              <w:jc w:val="left"/>
              <w:rPr>
                <w:rFonts w:hint="eastAsia" w:ascii="宋体" w:hAnsi="宋体" w:cs="宋体"/>
                <w:kern w:val="0"/>
                <w:sz w:val="22"/>
                <w:szCs w:val="22"/>
                <w:lang w:bidi="ar"/>
              </w:rPr>
            </w:pPr>
            <w:r>
              <w:rPr>
                <w:rFonts w:hint="eastAsia" w:ascii="宋体" w:hAnsi="宋体" w:cs="宋体"/>
                <w:kern w:val="0"/>
                <w:sz w:val="22"/>
                <w:szCs w:val="22"/>
                <w:lang w:bidi="ar"/>
              </w:rPr>
              <w:t>4.6、</w:t>
            </w:r>
            <w:r>
              <w:rPr>
                <w:rFonts w:hint="eastAsia" w:ascii="宋体" w:hAnsi="宋体" w:cs="宋体"/>
                <w:sz w:val="22"/>
                <w:szCs w:val="22"/>
              </w:rPr>
              <w:t>心脏功能专用测量及分析</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ind w:left="220" w:hanging="220" w:hangingChars="100"/>
              <w:rPr>
                <w:rFonts w:hint="eastAsia" w:ascii="宋体" w:hAnsi="宋体" w:cs="宋体"/>
                <w:kern w:val="0"/>
                <w:sz w:val="22"/>
                <w:szCs w:val="22"/>
                <w:lang w:bidi="ar"/>
              </w:rPr>
            </w:pPr>
            <w:r>
              <w:rPr>
                <w:rFonts w:hint="eastAsia" w:ascii="宋体" w:hAnsi="宋体" w:cs="宋体"/>
                <w:sz w:val="22"/>
                <w:szCs w:val="22"/>
              </w:rPr>
              <w:t>4.6.1、左室心功能计算方法支持Teichholz，Cube,Gibson，Simpson Single-plane，Simpson-Bi-plane,Modified Simpson,Bullet,S-P Ellipse，B-P Ellipse</w:t>
            </w:r>
          </w:p>
        </w:tc>
      </w:tr>
      <w:tr>
        <w:tblPrEx>
          <w:tblCellMar>
            <w:top w:w="15" w:type="dxa"/>
            <w:left w:w="15" w:type="dxa"/>
            <w:bottom w:w="15" w:type="dxa"/>
            <w:right w:w="15" w:type="dxa"/>
          </w:tblCellMar>
        </w:tblPrEx>
        <w:trPr>
          <w:trHeight w:val="487"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4.6.2、支持左室TEI指数，右室TEI指数</w:t>
            </w:r>
          </w:p>
        </w:tc>
      </w:tr>
      <w:tr>
        <w:tblPrEx>
          <w:tblCellMar>
            <w:top w:w="15" w:type="dxa"/>
            <w:left w:w="15" w:type="dxa"/>
            <w:bottom w:w="15" w:type="dxa"/>
            <w:right w:w="15" w:type="dxa"/>
          </w:tblCellMar>
        </w:tblPrEx>
        <w:trPr>
          <w:trHeight w:val="45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4.6.3、左室心肌重量计算方法支持长度面积法，截断椭圆法，Cube法</w:t>
            </w:r>
          </w:p>
        </w:tc>
      </w:tr>
      <w:tr>
        <w:tblPrEx>
          <w:tblCellMar>
            <w:top w:w="15" w:type="dxa"/>
            <w:left w:w="15" w:type="dxa"/>
            <w:bottom w:w="15" w:type="dxa"/>
            <w:right w:w="15" w:type="dxa"/>
          </w:tblCellMar>
        </w:tblPrEx>
        <w:trPr>
          <w:trHeight w:val="47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4.6.4、支持辛普森测左室收缩功能</w:t>
            </w:r>
          </w:p>
        </w:tc>
      </w:tr>
      <w:tr>
        <w:tblPrEx>
          <w:tblCellMar>
            <w:top w:w="15" w:type="dxa"/>
            <w:left w:w="15" w:type="dxa"/>
            <w:bottom w:w="15" w:type="dxa"/>
            <w:right w:w="15" w:type="dxa"/>
          </w:tblCellMar>
        </w:tblPrEx>
        <w:trPr>
          <w:trHeight w:val="45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4.7、多普勒测量及分析（自动或手动包络测量，自动计算测量参数）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5、检查存储和管理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5.1、≥200G固态硬盘 </w:t>
            </w:r>
          </w:p>
        </w:tc>
      </w:tr>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5.2、多种导出图像格式：动态图像、静态图像以PC格式直接导出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6、连通性要求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6.1、支持网络连接、DICOM 3.0  支持</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6.2、USB 3.0接口2个</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6.3、 外设数据模块：包含下列接口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ECG 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2 USB</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串行接口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1左/右音频输出接口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麦克风接口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遥控控制接口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复合视频输出接口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DVI-I 输出接口</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7、安全和认证</w:t>
            </w:r>
          </w:p>
        </w:tc>
      </w:tr>
      <w:tr>
        <w:tblPrEx>
          <w:tblCellMar>
            <w:top w:w="15" w:type="dxa"/>
            <w:left w:w="15" w:type="dxa"/>
            <w:bottom w:w="15" w:type="dxa"/>
            <w:right w:w="15" w:type="dxa"/>
          </w:tblCellMar>
        </w:tblPrEx>
        <w:trPr>
          <w:trHeight w:val="359"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 xml:space="preserve">二、 外设和附件     </w:t>
            </w:r>
          </w:p>
        </w:tc>
      </w:tr>
      <w:tr>
        <w:tblPrEx>
          <w:tblCellMar>
            <w:top w:w="15" w:type="dxa"/>
            <w:left w:w="15" w:type="dxa"/>
            <w:bottom w:w="15" w:type="dxa"/>
            <w:right w:w="15" w:type="dxa"/>
          </w:tblCellMar>
        </w:tblPrEx>
        <w:trPr>
          <w:trHeight w:val="50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1、具备专业探头放置架≥5个（不包括藕合剂放置架）</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2、支持数字黑白、模拟黑白、数字彩色、模拟彩色、文本及无线打印机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3、整机重量：≤</w:t>
            </w:r>
            <w:r>
              <w:rPr>
                <w:rFonts w:ascii="宋体" w:hAnsi="宋体" w:cs="宋体"/>
                <w:kern w:val="0"/>
                <w:sz w:val="22"/>
                <w:szCs w:val="22"/>
                <w:lang w:bidi="ar"/>
              </w:rPr>
              <w:t>6.5</w:t>
            </w:r>
            <w:r>
              <w:rPr>
                <w:rFonts w:hint="eastAsia" w:ascii="宋体" w:hAnsi="宋体" w:cs="宋体"/>
                <w:kern w:val="0"/>
                <w:sz w:val="22"/>
                <w:szCs w:val="22"/>
                <w:lang w:bidi="ar"/>
              </w:rPr>
              <w:t xml:space="preserve">Kg，（无外设）   </w:t>
            </w:r>
          </w:p>
        </w:tc>
      </w:tr>
      <w:tr>
        <w:tblPrEx>
          <w:tblCellMar>
            <w:top w:w="15" w:type="dxa"/>
            <w:left w:w="15" w:type="dxa"/>
            <w:bottom w:w="15" w:type="dxa"/>
            <w:right w:w="15" w:type="dxa"/>
          </w:tblCellMar>
        </w:tblPrEx>
        <w:trPr>
          <w:trHeight w:val="31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三、 配置要求：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1、便携式彩色多普勒超声系统主机1台</w:t>
            </w:r>
          </w:p>
        </w:tc>
      </w:tr>
      <w:tr>
        <w:tblPrEx>
          <w:tblCellMar>
            <w:top w:w="15" w:type="dxa"/>
            <w:left w:w="15" w:type="dxa"/>
            <w:bottom w:w="15" w:type="dxa"/>
            <w:right w:w="15" w:type="dxa"/>
          </w:tblCellMar>
        </w:tblPrEx>
        <w:trPr>
          <w:trHeight w:val="401"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2、配置探头：腹部探头1把、浅表探头1把、心脏探头1把</w:t>
            </w:r>
          </w:p>
        </w:tc>
      </w:tr>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、技术及维修服务、备件、培训要求及其它</w:t>
            </w:r>
          </w:p>
        </w:tc>
      </w:tr>
      <w:tr>
        <w:tblPrEx>
          <w:tblCellMar>
            <w:top w:w="15" w:type="dxa"/>
            <w:left w:w="15" w:type="dxa"/>
            <w:bottom w:w="15" w:type="dxa"/>
            <w:right w:w="15" w:type="dxa"/>
          </w:tblCellMar>
        </w:tblPrEx>
        <w:trPr>
          <w:trHeight w:val="128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w:t>
            </w:r>
            <w:r>
              <w:rPr>
                <w:rFonts w:hint="eastAsia" w:ascii="宋体" w:hAnsi="宋体" w:cs="宋体"/>
                <w:kern w:val="0"/>
                <w:sz w:val="22"/>
                <w:szCs w:val="22"/>
                <w:lang w:val="en-US" w:eastAsia="zh-CN" w:bidi="ar"/>
              </w:rPr>
              <w:t>1</w:t>
            </w:r>
            <w:r>
              <w:rPr>
                <w:rFonts w:hint="eastAsia" w:ascii="宋体" w:hAnsi="宋体" w:cs="宋体"/>
                <w:kern w:val="0"/>
                <w:sz w:val="22"/>
                <w:szCs w:val="22"/>
                <w:lang w:bidi="ar"/>
              </w:rPr>
              <w:t>备件要求</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卖方应在用户当地或省会中心城市设置备件库，存入所有必须的备件，保证必要时可以及时供应。</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w:t>
            </w:r>
            <w:r>
              <w:rPr>
                <w:rFonts w:hint="eastAsia" w:ascii="宋体" w:hAnsi="宋体" w:cs="宋体"/>
                <w:kern w:val="0"/>
                <w:sz w:val="22"/>
                <w:szCs w:val="22"/>
                <w:lang w:val="en-US" w:eastAsia="zh-CN" w:bidi="ar"/>
              </w:rPr>
              <w:t>2</w:t>
            </w:r>
            <w:r>
              <w:rPr>
                <w:rFonts w:hint="eastAsia" w:ascii="宋体" w:hAnsi="宋体" w:cs="宋体"/>
                <w:kern w:val="0"/>
                <w:sz w:val="22"/>
                <w:szCs w:val="22"/>
                <w:lang w:bidi="ar"/>
              </w:rPr>
              <w:t>技术培训要求</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在用户当地或省会中心城市，卖方应配置专业技术人员提供现场技术培训，保证使用人员正常操作设备的各种功能。</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kern w:val="0"/>
                <w:sz w:val="22"/>
                <w:szCs w:val="22"/>
                <w:lang w:bidi="ar"/>
              </w:rPr>
            </w:pPr>
            <w:r>
              <w:rPr>
                <w:rFonts w:hint="eastAsia" w:ascii="宋体" w:hAnsi="宋体" w:cs="宋体"/>
                <w:kern w:val="0"/>
                <w:sz w:val="22"/>
                <w:szCs w:val="22"/>
                <w:lang w:bidi="ar"/>
              </w:rPr>
              <w:t>★</w:t>
            </w:r>
            <w:r>
              <w:rPr>
                <w:rFonts w:hint="eastAsia" w:ascii="宋体" w:hAnsi="宋体" w:cs="宋体"/>
                <w:kern w:val="0"/>
                <w:sz w:val="22"/>
                <w:szCs w:val="22"/>
                <w:lang w:val="en-US" w:eastAsia="zh-CN" w:bidi="ar"/>
              </w:rPr>
              <w:t>4</w:t>
            </w:r>
            <w:r>
              <w:rPr>
                <w:rFonts w:hint="eastAsia" w:ascii="宋体" w:hAnsi="宋体" w:cs="宋体"/>
                <w:kern w:val="0"/>
                <w:sz w:val="22"/>
                <w:szCs w:val="22"/>
                <w:lang w:bidi="ar"/>
              </w:rPr>
              <w:t>、为适应医院信息化系统建设，保证医院远程会诊需要，制造商应具备生产远程超声会诊系统的能力（提供与超声主设备同品牌远程超声会诊系统医疗器械注册证为准）</w:t>
            </w:r>
          </w:p>
        </w:tc>
      </w:tr>
      <w:tr>
        <w:tblPrEx>
          <w:tblCellMar>
            <w:top w:w="15" w:type="dxa"/>
            <w:left w:w="15" w:type="dxa"/>
            <w:bottom w:w="15" w:type="dxa"/>
            <w:right w:w="15" w:type="dxa"/>
          </w:tblCellMar>
        </w:tblPrEx>
        <w:trPr>
          <w:trHeight w:val="316"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kern w:val="0"/>
                <w:sz w:val="22"/>
                <w:szCs w:val="22"/>
                <w:lang w:bidi="ar"/>
              </w:rPr>
            </w:pPr>
            <w:r>
              <w:rPr>
                <w:rFonts w:hint="eastAsia" w:ascii="宋体" w:hAnsi="宋体" w:cs="宋体"/>
                <w:color w:val="auto"/>
                <w:kern w:val="0"/>
                <w:sz w:val="22"/>
                <w:szCs w:val="22"/>
                <w:lang w:bidi="ar"/>
              </w:rPr>
              <w:t>★</w:t>
            </w:r>
            <w:r>
              <w:rPr>
                <w:rFonts w:hint="eastAsia" w:ascii="宋体" w:hAnsi="宋体" w:cs="宋体"/>
                <w:color w:val="auto"/>
                <w:kern w:val="0"/>
                <w:sz w:val="22"/>
                <w:szCs w:val="22"/>
                <w:lang w:val="en-US" w:eastAsia="zh-CN" w:bidi="ar"/>
              </w:rPr>
              <w:t>5</w:t>
            </w:r>
            <w:r>
              <w:rPr>
                <w:rFonts w:hint="eastAsia" w:ascii="宋体" w:hAnsi="宋体" w:cs="宋体"/>
                <w:color w:val="auto"/>
                <w:kern w:val="0"/>
                <w:sz w:val="22"/>
                <w:szCs w:val="22"/>
                <w:lang w:bidi="ar"/>
              </w:rPr>
              <w:t>、整机（含探头）质保三年</w:t>
            </w:r>
          </w:p>
        </w:tc>
      </w:tr>
    </w:tbl>
    <w:p>
      <w:pPr>
        <w:rPr>
          <w:rFonts w:hint="eastAsia" w:ascii="宋体" w:hAnsi="宋体" w:eastAsia="宋体" w:cs="宋体"/>
          <w:sz w:val="22"/>
          <w:szCs w:val="22"/>
        </w:rPr>
      </w:pPr>
      <w:r>
        <w:rPr>
          <w:rFonts w:hint="eastAsia" w:ascii="宋体" w:hAnsi="宋体" w:eastAsia="宋体" w:cs="宋体"/>
          <w:sz w:val="22"/>
          <w:szCs w:val="22"/>
        </w:rPr>
        <w:t>产品配置清单：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4"/>
        <w:gridCol w:w="3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514"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产品配置清单</w:t>
            </w:r>
          </w:p>
        </w:tc>
        <w:tc>
          <w:tcPr>
            <w:tcW w:w="3008"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14"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便携式超声主机</w:t>
            </w:r>
          </w:p>
        </w:tc>
        <w:tc>
          <w:tcPr>
            <w:tcW w:w="3008"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腹部探头</w:t>
            </w:r>
          </w:p>
        </w:tc>
        <w:tc>
          <w:tcPr>
            <w:tcW w:w="3008" w:type="dxa"/>
            <w:tcBorders>
              <w:top w:val="nil"/>
              <w:left w:val="nil"/>
              <w:bottom w:val="nil"/>
              <w:right w:val="nil"/>
            </w:tcBorders>
            <w:vAlign w:val="center"/>
          </w:tcPr>
          <w:p>
            <w:pPr>
              <w:widowControl/>
              <w:jc w:val="center"/>
              <w:textAlignment w:val="top"/>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浅表探头</w:t>
            </w:r>
          </w:p>
        </w:tc>
        <w:tc>
          <w:tcPr>
            <w:tcW w:w="3008" w:type="dxa"/>
            <w:tcBorders>
              <w:top w:val="nil"/>
              <w:left w:val="nil"/>
              <w:bottom w:val="nil"/>
              <w:right w:val="nil"/>
            </w:tcBorders>
            <w:vAlign w:val="center"/>
          </w:tcPr>
          <w:p>
            <w:pPr>
              <w:widowControl/>
              <w:jc w:val="center"/>
              <w:textAlignment w:val="top"/>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心脏探头</w:t>
            </w:r>
          </w:p>
        </w:tc>
        <w:tc>
          <w:tcPr>
            <w:tcW w:w="3008"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sz w:val="22"/>
                <w:szCs w:val="22"/>
              </w:rPr>
              <w:t>超声工作站（电脑，打印机，超声专用检查床，超声专用检查椅子）</w:t>
            </w:r>
          </w:p>
        </w:tc>
        <w:tc>
          <w:tcPr>
            <w:tcW w:w="3008"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sz w:val="22"/>
                <w:szCs w:val="22"/>
              </w:rPr>
              <w:t>一套</w:t>
            </w:r>
          </w:p>
        </w:tc>
      </w:tr>
    </w:tbl>
    <w:p>
      <w:pPr>
        <w:spacing w:line="560" w:lineRule="exact"/>
        <w:jc w:val="left"/>
        <w:rPr>
          <w:rFonts w:ascii="仿宋" w:hAnsi="仿宋" w:eastAsia="仿宋"/>
          <w:sz w:val="32"/>
          <w:szCs w:val="32"/>
          <w:u w:val="single"/>
        </w:rPr>
      </w:pPr>
      <w:r>
        <w:rPr>
          <w:rFonts w:hint="eastAsia" w:ascii="宋体" w:hAnsi="宋体" w:eastAsia="宋体" w:cs="宋体"/>
          <w:sz w:val="22"/>
          <w:szCs w:val="22"/>
          <w:u w:val="none"/>
        </w:rPr>
        <w:t xml:space="preserve">    </w:t>
      </w:r>
      <w:r>
        <w:rPr>
          <w:rFonts w:hint="eastAsia" w:ascii="仿宋" w:hAnsi="仿宋" w:eastAsia="仿宋"/>
          <w:sz w:val="32"/>
          <w:szCs w:val="32"/>
          <w:u w:val="none"/>
        </w:rPr>
        <w:t xml:space="preserve">   </w:t>
      </w:r>
      <w:bookmarkEnd w:id="188"/>
    </w:p>
    <w:p>
      <w:pPr>
        <w:numPr>
          <w:ilvl w:val="0"/>
          <w:numId w:val="0"/>
        </w:numPr>
        <w:jc w:val="both"/>
        <w:rPr>
          <w:rFonts w:hint="eastAsia" w:asciiTheme="minorEastAsia" w:hAnsiTheme="minorEastAsia" w:eastAsiaTheme="minorEastAsia" w:cstheme="minorEastAsia"/>
          <w:b/>
          <w:bCs/>
          <w:sz w:val="28"/>
          <w:szCs w:val="32"/>
          <w:lang w:val="en-US" w:eastAsia="zh-CN"/>
        </w:rPr>
      </w:pPr>
      <w:bookmarkStart w:id="189" w:name="_Hlk144969768"/>
      <w:r>
        <w:rPr>
          <w:rFonts w:hint="eastAsia" w:asciiTheme="minorEastAsia" w:hAnsiTheme="minorEastAsia" w:cstheme="minorEastAsia"/>
          <w:b/>
          <w:bCs/>
          <w:sz w:val="28"/>
          <w:szCs w:val="32"/>
          <w:lang w:val="en-US" w:eastAsia="zh-CN"/>
        </w:rPr>
        <w:t>C包</w:t>
      </w:r>
      <w:r>
        <w:rPr>
          <w:rFonts w:hint="eastAsia" w:asciiTheme="minorEastAsia" w:hAnsiTheme="minorEastAsia" w:eastAsiaTheme="minorEastAsia" w:cstheme="minorEastAsia"/>
          <w:b/>
          <w:bCs/>
          <w:sz w:val="28"/>
          <w:szCs w:val="32"/>
          <w:lang w:val="en-US" w:eastAsia="zh-CN"/>
        </w:rPr>
        <w:t>：眼表综合分析仪</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bookmarkEnd w:id="189"/>
    <w:p>
      <w:pPr>
        <w:rPr>
          <w:rFonts w:hint="eastAsia" w:ascii="宋体" w:hAnsi="宋体" w:eastAsia="宋体" w:cs="宋体"/>
          <w:sz w:val="22"/>
          <w:szCs w:val="22"/>
        </w:rPr>
      </w:pPr>
      <w:r>
        <w:rPr>
          <w:rFonts w:hint="eastAsia" w:ascii="宋体" w:hAnsi="宋体" w:eastAsia="宋体" w:cs="宋体"/>
          <w:sz w:val="22"/>
          <w:szCs w:val="22"/>
        </w:rPr>
        <w:t xml:space="preserve"> ★1、Placido环数量：50环</w:t>
      </w:r>
    </w:p>
    <w:p>
      <w:pPr>
        <w:rPr>
          <w:rFonts w:hint="eastAsia" w:ascii="宋体" w:hAnsi="宋体" w:eastAsia="宋体" w:cs="宋体"/>
          <w:sz w:val="22"/>
          <w:szCs w:val="22"/>
        </w:rPr>
      </w:pPr>
      <w:r>
        <w:rPr>
          <w:rFonts w:hint="eastAsia" w:ascii="宋体" w:hAnsi="宋体" w:eastAsia="宋体" w:cs="宋体"/>
          <w:sz w:val="22"/>
          <w:szCs w:val="22"/>
        </w:rPr>
        <w:t>2、检测点 ：18000个</w:t>
      </w:r>
    </w:p>
    <w:p>
      <w:pPr>
        <w:rPr>
          <w:rFonts w:hint="eastAsia" w:ascii="宋体" w:hAnsi="宋体" w:eastAsia="宋体" w:cs="宋体"/>
          <w:sz w:val="22"/>
          <w:szCs w:val="22"/>
        </w:rPr>
      </w:pPr>
      <w:r>
        <w:rPr>
          <w:rFonts w:hint="eastAsia" w:ascii="宋体" w:hAnsi="宋体" w:eastAsia="宋体" w:cs="宋体"/>
          <w:sz w:val="22"/>
          <w:szCs w:val="22"/>
        </w:rPr>
        <w:t>3、投影环直径：</w:t>
      </w:r>
    </w:p>
    <w:p>
      <w:pPr>
        <w:rPr>
          <w:rFonts w:hint="eastAsia" w:ascii="宋体" w:hAnsi="宋体" w:eastAsia="宋体" w:cs="宋体"/>
          <w:sz w:val="22"/>
          <w:szCs w:val="22"/>
        </w:rPr>
      </w:pPr>
      <w:r>
        <w:rPr>
          <w:rFonts w:hint="eastAsia" w:ascii="宋体" w:hAnsi="宋体" w:eastAsia="宋体" w:cs="宋体"/>
          <w:sz w:val="22"/>
          <w:szCs w:val="22"/>
        </w:rPr>
        <w:t>3.1、直径8.8mm(43D)</w:t>
      </w:r>
    </w:p>
    <w:p>
      <w:pPr>
        <w:rPr>
          <w:rFonts w:hint="eastAsia" w:ascii="宋体" w:hAnsi="宋体" w:eastAsia="宋体" w:cs="宋体"/>
          <w:sz w:val="22"/>
          <w:szCs w:val="22"/>
        </w:rPr>
      </w:pPr>
      <w:r>
        <w:rPr>
          <w:rFonts w:hint="eastAsia" w:ascii="宋体" w:hAnsi="宋体" w:eastAsia="宋体" w:cs="宋体"/>
          <w:sz w:val="22"/>
          <w:szCs w:val="22"/>
        </w:rPr>
        <w:t>3.2、直径11mm(43D)</w:t>
      </w:r>
    </w:p>
    <w:p>
      <w:pPr>
        <w:rPr>
          <w:rFonts w:hint="eastAsia" w:ascii="宋体" w:hAnsi="宋体" w:eastAsia="宋体" w:cs="宋体"/>
          <w:sz w:val="22"/>
          <w:szCs w:val="22"/>
        </w:rPr>
      </w:pPr>
      <w:r>
        <w:rPr>
          <w:rFonts w:hint="eastAsia" w:ascii="宋体" w:hAnsi="宋体" w:eastAsia="宋体" w:cs="宋体"/>
          <w:sz w:val="22"/>
          <w:szCs w:val="22"/>
        </w:rPr>
        <w:t>4、曲率半径：32.14D~61.36D (5.5mm~10.5mm)</w:t>
      </w:r>
    </w:p>
    <w:p>
      <w:pPr>
        <w:rPr>
          <w:rFonts w:hint="eastAsia" w:ascii="宋体" w:hAnsi="宋体" w:eastAsia="宋体" w:cs="宋体"/>
          <w:sz w:val="22"/>
          <w:szCs w:val="22"/>
        </w:rPr>
      </w:pPr>
      <w:r>
        <w:rPr>
          <w:rFonts w:hint="eastAsia" w:ascii="宋体" w:hAnsi="宋体" w:eastAsia="宋体" w:cs="宋体"/>
          <w:sz w:val="22"/>
          <w:szCs w:val="22"/>
        </w:rPr>
        <w:t>精度：土0.1D(±0.02mm)</w:t>
      </w:r>
    </w:p>
    <w:p>
      <w:pPr>
        <w:rPr>
          <w:rFonts w:hint="eastAsia" w:ascii="宋体" w:hAnsi="宋体" w:eastAsia="宋体" w:cs="宋体"/>
          <w:sz w:val="22"/>
          <w:szCs w:val="22"/>
        </w:rPr>
      </w:pPr>
      <w:r>
        <w:rPr>
          <w:rFonts w:hint="eastAsia" w:ascii="宋体" w:hAnsi="宋体" w:eastAsia="宋体" w:cs="宋体"/>
          <w:sz w:val="22"/>
          <w:szCs w:val="22"/>
        </w:rPr>
        <w:t>5、散光轴位：0~180°，允差：土2°</w:t>
      </w:r>
    </w:p>
    <w:p>
      <w:pPr>
        <w:rPr>
          <w:rFonts w:hint="eastAsia" w:ascii="宋体" w:hAnsi="宋体" w:eastAsia="宋体" w:cs="宋体"/>
          <w:sz w:val="22"/>
          <w:szCs w:val="22"/>
        </w:rPr>
      </w:pPr>
      <w:r>
        <w:rPr>
          <w:rFonts w:hint="eastAsia" w:ascii="宋体" w:hAnsi="宋体" w:eastAsia="宋体" w:cs="宋体"/>
          <w:sz w:val="22"/>
          <w:szCs w:val="22"/>
        </w:rPr>
        <w:t>6、白到白范围：6~17mm ，允差：土0.1mm</w:t>
      </w:r>
    </w:p>
    <w:p>
      <w:pPr>
        <w:rPr>
          <w:rFonts w:hint="eastAsia" w:ascii="宋体" w:hAnsi="宋体" w:eastAsia="宋体" w:cs="宋体"/>
          <w:sz w:val="22"/>
          <w:szCs w:val="22"/>
        </w:rPr>
      </w:pPr>
      <w:r>
        <w:rPr>
          <w:rFonts w:hint="eastAsia" w:ascii="宋体" w:hAnsi="宋体" w:eastAsia="宋体" w:cs="宋体"/>
          <w:sz w:val="22"/>
          <w:szCs w:val="22"/>
        </w:rPr>
        <w:t>7、瞳孔直径 ：1~13mm，允差：土0.1mm</w:t>
      </w:r>
    </w:p>
    <w:p>
      <w:pPr>
        <w:rPr>
          <w:rFonts w:hint="eastAsia" w:ascii="宋体" w:hAnsi="宋体" w:eastAsia="宋体" w:cs="宋体"/>
          <w:sz w:val="22"/>
          <w:szCs w:val="22"/>
        </w:rPr>
      </w:pPr>
      <w:r>
        <w:rPr>
          <w:rFonts w:hint="eastAsia" w:ascii="宋体" w:hAnsi="宋体" w:eastAsia="宋体" w:cs="宋体"/>
          <w:sz w:val="22"/>
          <w:szCs w:val="22"/>
        </w:rPr>
        <w:t>8、地形功能：</w:t>
      </w:r>
    </w:p>
    <w:p>
      <w:pPr>
        <w:rPr>
          <w:rFonts w:hint="eastAsia" w:ascii="宋体" w:hAnsi="宋体" w:eastAsia="宋体" w:cs="宋体"/>
          <w:sz w:val="22"/>
          <w:szCs w:val="22"/>
        </w:rPr>
      </w:pPr>
      <w:r>
        <w:rPr>
          <w:rFonts w:hint="eastAsia" w:ascii="宋体" w:hAnsi="宋体" w:eastAsia="宋体" w:cs="宋体"/>
          <w:sz w:val="22"/>
          <w:szCs w:val="22"/>
        </w:rPr>
        <w:t>8.1、轴向曲率</w:t>
      </w:r>
    </w:p>
    <w:p>
      <w:pPr>
        <w:rPr>
          <w:rFonts w:hint="eastAsia" w:ascii="宋体" w:hAnsi="宋体" w:eastAsia="宋体" w:cs="宋体"/>
          <w:sz w:val="22"/>
          <w:szCs w:val="22"/>
        </w:rPr>
      </w:pPr>
      <w:r>
        <w:rPr>
          <w:rFonts w:hint="eastAsia" w:ascii="宋体" w:hAnsi="宋体" w:eastAsia="宋体" w:cs="宋体"/>
          <w:sz w:val="22"/>
          <w:szCs w:val="22"/>
        </w:rPr>
        <w:t>8.2、切向曲率</w:t>
      </w:r>
    </w:p>
    <w:p>
      <w:pPr>
        <w:rPr>
          <w:rFonts w:hint="eastAsia" w:ascii="宋体" w:hAnsi="宋体" w:eastAsia="宋体" w:cs="宋体"/>
          <w:sz w:val="22"/>
          <w:szCs w:val="22"/>
        </w:rPr>
      </w:pPr>
      <w:r>
        <w:rPr>
          <w:rFonts w:hint="eastAsia" w:ascii="宋体" w:hAnsi="宋体" w:eastAsia="宋体" w:cs="宋体"/>
          <w:sz w:val="22"/>
          <w:szCs w:val="22"/>
        </w:rPr>
        <w:t>8.3、高度图</w:t>
      </w:r>
    </w:p>
    <w:p>
      <w:pPr>
        <w:rPr>
          <w:rFonts w:hint="eastAsia" w:ascii="宋体" w:hAnsi="宋体" w:eastAsia="宋体" w:cs="宋体"/>
          <w:sz w:val="22"/>
          <w:szCs w:val="22"/>
        </w:rPr>
      </w:pPr>
      <w:r>
        <w:rPr>
          <w:rFonts w:hint="eastAsia" w:ascii="宋体" w:hAnsi="宋体" w:eastAsia="宋体" w:cs="宋体"/>
          <w:sz w:val="22"/>
          <w:szCs w:val="22"/>
        </w:rPr>
        <w:t>8.4、屈光力</w:t>
      </w:r>
    </w:p>
    <w:p>
      <w:pPr>
        <w:rPr>
          <w:rFonts w:hint="eastAsia" w:ascii="宋体" w:hAnsi="宋体" w:eastAsia="宋体" w:cs="宋体"/>
          <w:sz w:val="22"/>
          <w:szCs w:val="22"/>
        </w:rPr>
      </w:pPr>
      <w:r>
        <w:rPr>
          <w:rFonts w:hint="eastAsia" w:ascii="宋体" w:hAnsi="宋体" w:eastAsia="宋体" w:cs="宋体"/>
          <w:sz w:val="22"/>
          <w:szCs w:val="22"/>
        </w:rPr>
        <w:t>9、四联图：四地形图显示</w:t>
      </w:r>
    </w:p>
    <w:p>
      <w:pPr>
        <w:rPr>
          <w:rFonts w:hint="eastAsia" w:ascii="宋体" w:hAnsi="宋体" w:eastAsia="宋体" w:cs="宋体"/>
          <w:sz w:val="22"/>
          <w:szCs w:val="22"/>
        </w:rPr>
      </w:pPr>
      <w:r>
        <w:rPr>
          <w:rFonts w:hint="eastAsia" w:ascii="宋体" w:hAnsi="宋体" w:eastAsia="宋体" w:cs="宋体"/>
          <w:sz w:val="22"/>
          <w:szCs w:val="22"/>
        </w:rPr>
        <w:t>★10、形态因子：E,ecc,P,Q值</w:t>
      </w:r>
    </w:p>
    <w:p>
      <w:pPr>
        <w:rPr>
          <w:rFonts w:hint="eastAsia" w:ascii="宋体" w:hAnsi="宋体" w:eastAsia="宋体" w:cs="宋体"/>
          <w:sz w:val="22"/>
          <w:szCs w:val="22"/>
        </w:rPr>
      </w:pPr>
      <w:r>
        <w:rPr>
          <w:rFonts w:hint="eastAsia" w:ascii="宋体" w:hAnsi="宋体" w:eastAsia="宋体" w:cs="宋体"/>
          <w:sz w:val="22"/>
          <w:szCs w:val="22"/>
        </w:rPr>
        <w:t>★11、像差：不同瞳孔直径范围内的角膜波前像差，PSF图，MTF曲线，视网膜模拟成像图</w:t>
      </w:r>
    </w:p>
    <w:p>
      <w:pPr>
        <w:rPr>
          <w:rFonts w:hint="eastAsia" w:ascii="宋体" w:hAnsi="宋体" w:eastAsia="宋体" w:cs="宋体"/>
          <w:sz w:val="22"/>
          <w:szCs w:val="22"/>
        </w:rPr>
      </w:pPr>
      <w:r>
        <w:rPr>
          <w:rFonts w:hint="eastAsia" w:ascii="宋体" w:hAnsi="宋体" w:eastAsia="宋体" w:cs="宋体"/>
          <w:sz w:val="22"/>
          <w:szCs w:val="22"/>
        </w:rPr>
        <w:t>12、检查结果对比：支持2次结果对比，地形图差值对比</w:t>
      </w:r>
    </w:p>
    <w:p>
      <w:pPr>
        <w:rPr>
          <w:rFonts w:hint="eastAsia" w:ascii="宋体" w:hAnsi="宋体" w:eastAsia="宋体" w:cs="宋体"/>
          <w:sz w:val="22"/>
          <w:szCs w:val="22"/>
        </w:rPr>
      </w:pPr>
      <w:r>
        <w:rPr>
          <w:rFonts w:hint="eastAsia" w:ascii="宋体" w:hAnsi="宋体" w:eastAsia="宋体" w:cs="宋体"/>
          <w:sz w:val="22"/>
          <w:szCs w:val="22"/>
        </w:rPr>
        <w:t>13、干眼分析参数</w:t>
      </w:r>
    </w:p>
    <w:p>
      <w:pPr>
        <w:rPr>
          <w:rFonts w:hint="eastAsia" w:ascii="宋体" w:hAnsi="宋体" w:eastAsia="宋体" w:cs="宋体"/>
          <w:sz w:val="22"/>
          <w:szCs w:val="22"/>
        </w:rPr>
      </w:pPr>
      <w:r>
        <w:rPr>
          <w:rFonts w:hint="eastAsia" w:ascii="宋体" w:hAnsi="宋体" w:eastAsia="宋体" w:cs="宋体"/>
          <w:sz w:val="22"/>
          <w:szCs w:val="22"/>
        </w:rPr>
        <w:t>13.1、问卷调查：提供中国干眼问卷量表、OSDI量表</w:t>
      </w:r>
    </w:p>
    <w:p>
      <w:pPr>
        <w:rPr>
          <w:rFonts w:hint="eastAsia" w:ascii="宋体" w:hAnsi="宋体" w:eastAsia="宋体" w:cs="宋体"/>
          <w:sz w:val="22"/>
          <w:szCs w:val="22"/>
        </w:rPr>
      </w:pPr>
      <w:r>
        <w:rPr>
          <w:rFonts w:hint="eastAsia" w:ascii="宋体" w:hAnsi="宋体" w:eastAsia="宋体" w:cs="宋体"/>
          <w:sz w:val="22"/>
          <w:szCs w:val="22"/>
        </w:rPr>
        <w:t>13.2、NIBUT：泪膜破裂饼图和趋势图，首次破裂时间和平均破裂时间</w:t>
      </w:r>
    </w:p>
    <w:p>
      <w:pPr>
        <w:rPr>
          <w:rFonts w:hint="eastAsia" w:ascii="宋体" w:hAnsi="宋体" w:eastAsia="宋体" w:cs="宋体"/>
          <w:sz w:val="22"/>
          <w:szCs w:val="22"/>
        </w:rPr>
      </w:pPr>
      <w:r>
        <w:rPr>
          <w:rFonts w:hint="eastAsia" w:ascii="宋体" w:hAnsi="宋体" w:eastAsia="宋体" w:cs="宋体"/>
          <w:sz w:val="22"/>
          <w:szCs w:val="22"/>
        </w:rPr>
        <w:t>★13.3、非侵入式泪河高度：0.01~2mm，AI自动识别并测量泪河高度</w:t>
      </w:r>
    </w:p>
    <w:p>
      <w:pPr>
        <w:rPr>
          <w:rFonts w:hint="eastAsia" w:ascii="宋体" w:hAnsi="宋体" w:eastAsia="宋体" w:cs="宋体"/>
          <w:sz w:val="22"/>
          <w:szCs w:val="22"/>
        </w:rPr>
      </w:pPr>
      <w:r>
        <w:rPr>
          <w:rFonts w:hint="eastAsia" w:ascii="宋体" w:hAnsi="宋体" w:eastAsia="宋体" w:cs="宋体"/>
          <w:sz w:val="22"/>
          <w:szCs w:val="22"/>
        </w:rPr>
        <w:t>★13.4、睑板腺：自动计算睑板腺缺失率占比和分级</w:t>
      </w:r>
    </w:p>
    <w:p>
      <w:pPr>
        <w:rPr>
          <w:rFonts w:hint="eastAsia" w:ascii="宋体" w:hAnsi="宋体" w:eastAsia="宋体" w:cs="宋体"/>
          <w:sz w:val="22"/>
          <w:szCs w:val="22"/>
        </w:rPr>
      </w:pPr>
      <w:r>
        <w:rPr>
          <w:rFonts w:hint="eastAsia" w:ascii="宋体" w:hAnsi="宋体" w:eastAsia="宋体" w:cs="宋体"/>
          <w:sz w:val="22"/>
          <w:szCs w:val="22"/>
        </w:rPr>
        <w:t>13.5、脂质层：模板匹配</w:t>
      </w:r>
    </w:p>
    <w:p>
      <w:pPr>
        <w:rPr>
          <w:rFonts w:hint="eastAsia" w:ascii="宋体" w:hAnsi="宋体" w:eastAsia="宋体" w:cs="宋体"/>
          <w:sz w:val="22"/>
          <w:szCs w:val="22"/>
        </w:rPr>
      </w:pPr>
      <w:r>
        <w:rPr>
          <w:rFonts w:hint="eastAsia" w:ascii="宋体" w:hAnsi="宋体" w:eastAsia="宋体" w:cs="宋体"/>
          <w:sz w:val="22"/>
          <w:szCs w:val="22"/>
        </w:rPr>
        <w:t>13.6、眼红：眼红占比和分级</w:t>
      </w:r>
    </w:p>
    <w:p>
      <w:pPr>
        <w:rPr>
          <w:rFonts w:hint="eastAsia" w:ascii="宋体" w:hAnsi="宋体" w:eastAsia="宋体" w:cs="宋体"/>
          <w:sz w:val="22"/>
          <w:szCs w:val="22"/>
        </w:rPr>
      </w:pPr>
      <w:r>
        <w:rPr>
          <w:rFonts w:hint="eastAsia" w:ascii="宋体" w:hAnsi="宋体" w:eastAsia="宋体" w:cs="宋体"/>
          <w:sz w:val="22"/>
          <w:szCs w:val="22"/>
        </w:rPr>
        <w:t>13.7、睑缘 ：支持图片电子放大</w:t>
      </w:r>
    </w:p>
    <w:p>
      <w:pPr>
        <w:rPr>
          <w:rFonts w:hint="eastAsia" w:ascii="宋体" w:hAnsi="宋体" w:eastAsia="宋体" w:cs="宋体"/>
          <w:sz w:val="22"/>
          <w:szCs w:val="22"/>
        </w:rPr>
      </w:pPr>
      <w:r>
        <w:rPr>
          <w:rFonts w:hint="eastAsia" w:ascii="宋体" w:hAnsi="宋体" w:eastAsia="宋体" w:cs="宋体"/>
          <w:sz w:val="22"/>
          <w:szCs w:val="22"/>
        </w:rPr>
        <w:t>★13.8、眼表：内置黄色滤色片</w:t>
      </w:r>
    </w:p>
    <w:p>
      <w:pPr>
        <w:rPr>
          <w:rFonts w:hint="eastAsia" w:ascii="宋体" w:hAnsi="宋体" w:eastAsia="宋体" w:cs="宋体"/>
          <w:sz w:val="22"/>
          <w:szCs w:val="22"/>
        </w:rPr>
      </w:pPr>
      <w:r>
        <w:rPr>
          <w:rFonts w:hint="eastAsia" w:ascii="宋体" w:hAnsi="宋体" w:eastAsia="宋体" w:cs="宋体"/>
          <w:sz w:val="22"/>
          <w:szCs w:val="22"/>
        </w:rPr>
        <w:t>★14、屏幕：</w:t>
      </w:r>
      <w:r>
        <w:rPr>
          <w:rFonts w:hint="eastAsia" w:ascii="宋体" w:hAnsi="宋体" w:cs="宋体"/>
          <w:kern w:val="0"/>
          <w:sz w:val="22"/>
          <w:szCs w:val="22"/>
          <w:lang w:bidi="ar"/>
        </w:rPr>
        <w:t>≥</w:t>
      </w:r>
      <w:r>
        <w:rPr>
          <w:rFonts w:hint="eastAsia" w:ascii="宋体" w:hAnsi="宋体" w:eastAsia="宋体" w:cs="宋体"/>
          <w:sz w:val="22"/>
          <w:szCs w:val="22"/>
        </w:rPr>
        <w:t>10.1"全触摸高清液晶屏</w:t>
      </w:r>
    </w:p>
    <w:p>
      <w:pPr>
        <w:rPr>
          <w:rFonts w:hint="eastAsia" w:ascii="宋体" w:hAnsi="宋体" w:eastAsia="宋体" w:cs="宋体"/>
          <w:sz w:val="22"/>
          <w:szCs w:val="22"/>
        </w:rPr>
      </w:pPr>
      <w:r>
        <w:rPr>
          <w:rFonts w:hint="eastAsia" w:ascii="宋体" w:hAnsi="宋体" w:eastAsia="宋体" w:cs="宋体"/>
          <w:sz w:val="22"/>
          <w:szCs w:val="22"/>
        </w:rPr>
        <w:t>15、光源：白光、红外光、钴蓝光</w:t>
      </w:r>
    </w:p>
    <w:p>
      <w:pPr>
        <w:rPr>
          <w:rFonts w:hint="eastAsia" w:ascii="宋体" w:hAnsi="宋体" w:eastAsia="宋体" w:cs="宋体"/>
          <w:sz w:val="22"/>
          <w:szCs w:val="22"/>
        </w:rPr>
      </w:pPr>
      <w:r>
        <w:rPr>
          <w:rFonts w:hint="eastAsia" w:ascii="宋体" w:hAnsi="宋体" w:eastAsia="宋体" w:cs="宋体"/>
          <w:sz w:val="22"/>
          <w:szCs w:val="22"/>
        </w:rPr>
        <w:t>16、通信接口：WIFI</w:t>
      </w:r>
    </w:p>
    <w:p>
      <w:pPr>
        <w:rPr>
          <w:rFonts w:hint="eastAsia" w:ascii="宋体" w:hAnsi="宋体" w:eastAsia="宋体" w:cs="宋体"/>
          <w:sz w:val="22"/>
          <w:szCs w:val="22"/>
        </w:rPr>
      </w:pPr>
      <w:r>
        <w:rPr>
          <w:rFonts w:hint="eastAsia" w:ascii="宋体" w:hAnsi="宋体" w:eastAsia="宋体" w:cs="宋体"/>
          <w:sz w:val="22"/>
          <w:szCs w:val="22"/>
        </w:rPr>
        <w:t>17、打印机接口：WIFI, USB</w:t>
      </w:r>
    </w:p>
    <w:p>
      <w:pPr>
        <w:rPr>
          <w:rFonts w:hint="eastAsia" w:ascii="宋体" w:hAnsi="宋体" w:eastAsia="宋体" w:cs="宋体"/>
          <w:sz w:val="22"/>
          <w:szCs w:val="22"/>
        </w:rPr>
      </w:pPr>
      <w:r>
        <w:rPr>
          <w:rFonts w:hint="eastAsia" w:ascii="宋体" w:hAnsi="宋体" w:eastAsia="宋体" w:cs="宋体"/>
          <w:sz w:val="22"/>
          <w:szCs w:val="22"/>
        </w:rPr>
        <w:t>18、扩展显示接口：DisplayPort</w:t>
      </w:r>
    </w:p>
    <w:p>
      <w:pPr>
        <w:rPr>
          <w:rFonts w:hint="eastAsia" w:ascii="宋体" w:hAnsi="宋体" w:eastAsia="宋体" w:cs="宋体"/>
          <w:sz w:val="22"/>
          <w:szCs w:val="22"/>
        </w:rPr>
      </w:pPr>
      <w:r>
        <w:rPr>
          <w:rFonts w:hint="eastAsia" w:ascii="宋体" w:hAnsi="宋体" w:eastAsia="宋体" w:cs="宋体"/>
          <w:sz w:val="22"/>
          <w:szCs w:val="22"/>
        </w:rPr>
        <w:t>19、左右眼识别：自动</w:t>
      </w:r>
    </w:p>
    <w:p>
      <w:pPr>
        <w:rPr>
          <w:rFonts w:hint="eastAsia" w:ascii="宋体" w:hAnsi="宋体" w:eastAsia="宋体" w:cs="宋体"/>
          <w:sz w:val="22"/>
          <w:szCs w:val="22"/>
        </w:rPr>
      </w:pPr>
      <w:r>
        <w:rPr>
          <w:rFonts w:hint="eastAsia" w:ascii="宋体" w:hAnsi="宋体" w:eastAsia="宋体" w:cs="宋体"/>
          <w:sz w:val="22"/>
          <w:szCs w:val="22"/>
        </w:rPr>
        <w:t>20、语言：中文／英文</w:t>
      </w:r>
    </w:p>
    <w:p>
      <w:pPr>
        <w:spacing w:line="360" w:lineRule="auto"/>
        <w:rPr>
          <w:rFonts w:hint="eastAsia" w:ascii="仿宋" w:hAnsi="仿宋" w:eastAsia="仿宋"/>
          <w:sz w:val="32"/>
          <w:szCs w:val="32"/>
        </w:rPr>
      </w:pPr>
      <w:r>
        <w:rPr>
          <w:rFonts w:hint="eastAsia" w:ascii="宋体" w:hAnsi="宋体" w:eastAsia="宋体" w:cs="宋体"/>
          <w:sz w:val="22"/>
          <w:szCs w:val="22"/>
        </w:rPr>
        <w:t xml:space="preserve">21、DICOM：支持       </w:t>
      </w:r>
      <w:r>
        <w:rPr>
          <w:rFonts w:hint="eastAsia" w:ascii="仿宋" w:hAnsi="仿宋" w:eastAsia="仿宋"/>
          <w:sz w:val="32"/>
          <w:szCs w:val="32"/>
        </w:rPr>
        <w:t xml:space="preserve"> </w:t>
      </w:r>
      <w:r>
        <w:rPr>
          <w:rFonts w:hint="eastAsia" w:ascii="宋体" w:hAnsi="宋体" w:eastAsia="宋体" w:cs="宋体"/>
          <w:sz w:val="22"/>
          <w:szCs w:val="22"/>
        </w:rPr>
        <w:t xml:space="preserve">   </w:t>
      </w:r>
      <w:r>
        <w:rPr>
          <w:rFonts w:hint="eastAsia" w:ascii="仿宋" w:hAnsi="仿宋" w:eastAsia="仿宋"/>
          <w:sz w:val="32"/>
          <w:szCs w:val="32"/>
        </w:rPr>
        <w:t xml:space="preserve">                                        </w:t>
      </w:r>
    </w:p>
    <w:p>
      <w:pPr>
        <w:pStyle w:val="35"/>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D包</w:t>
      </w:r>
      <w:r>
        <w:rPr>
          <w:rFonts w:hint="eastAsia" w:asciiTheme="minorEastAsia" w:hAnsiTheme="minorEastAsia" w:eastAsiaTheme="minorEastAsia" w:cstheme="minorEastAsia"/>
          <w:b/>
          <w:bCs/>
          <w:sz w:val="28"/>
          <w:szCs w:val="32"/>
          <w:lang w:val="en-US" w:eastAsia="zh-CN"/>
        </w:rPr>
        <w:t>：心肺转流离心系统（ECMO）</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tbl>
      <w:tblPr>
        <w:tblStyle w:val="44"/>
        <w:tblW w:w="86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49"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1、具有体外生命支持功能，满足临床和突发公共卫生事件的需要，方便转运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2、系统显示：中文操作界面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★3、工作原理：磁力耦合驱动，无金属轴承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4、泵头驱动和工作台体积小，重量轻，利于转运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★5、双泵头驱动器设置，既可以单独使用，也可以同时支持双人使用，并可以互为备份，快速互换，降低事故的发生几率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6、泵头驱动器内置UPS电源，每分钟4L流量时，续航能力≥120min，且可以更换电池或使用直流电源供电，利于院内检查和转运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7、泵头驱动器，具有可快速更换的内部电池，也可以由直流电源或者控制台供电，利于救护车长途转运需求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8、泵头驱动器独立工作，通过主流量/气泡传感器进行监测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9、泵头驱动最高转速</w:t>
            </w:r>
            <w:r>
              <w:rPr>
                <w:rFonts w:hint="eastAsia" w:ascii="宋体" w:hAnsi="宋体" w:cs="宋体"/>
                <w:kern w:val="0"/>
                <w:sz w:val="22"/>
                <w:szCs w:val="22"/>
                <w:lang w:bidi="ar"/>
              </w:rPr>
              <w:t>≥</w:t>
            </w:r>
            <w:r>
              <w:rPr>
                <w:rFonts w:hint="eastAsia" w:ascii="宋体" w:hAnsi="宋体" w:eastAsia="宋体" w:cs="宋体"/>
                <w:sz w:val="22"/>
                <w:szCs w:val="22"/>
              </w:rPr>
              <w:t>5500 rpm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★10、具有双流量、气泡、压力、温度监测和告警功能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★11、双流量监测模式，除了利于实现VA-ECMO和VV-ECMO对任意位置流量监测外，还可以实现系统内对带分支回路ECMO模式的血流监测支持，便于医护人员选择最适合的体外生命支持方式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12、流量监测：-8 L/min～8 L/min，误差≤±5%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13、具有双路（3/8或1/4管路）流量传感器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14、具有双路（3/8或1/4管路）气泡传感器监测，告警阈值≥500 uL</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15、具有≥4路压力监测：压力监测范围，-50 mmHg～500 mmHg，误差≤±3%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16、具有≥2路温度监测：监测范围10 ℃～42 ℃, 误差≤±0.5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17、具有零流量模式及气泡零流量干预功能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w:t>
            </w:r>
            <w:r>
              <w:rPr>
                <w:rFonts w:ascii="宋体" w:hAnsi="宋体" w:eastAsia="宋体" w:cs="宋体"/>
                <w:spacing w:val="9"/>
                <w:sz w:val="24"/>
                <w:szCs w:val="24"/>
              </w:rPr>
              <w:t>18.</w:t>
            </w:r>
            <w:r>
              <w:t xml:space="preserve"> </w:t>
            </w:r>
            <w:r>
              <w:rPr>
                <w:rFonts w:hint="eastAsia" w:ascii="宋体" w:hAnsi="宋体" w:eastAsia="宋体" w:cs="宋体"/>
                <w:spacing w:val="9"/>
                <w:sz w:val="24"/>
                <w:szCs w:val="24"/>
              </w:rPr>
              <w:t>设备所使用的配套耗材均可在河南省公共资源交易中心网采平台采购。所使用耗材提供全网采购目录截图。</w:t>
            </w:r>
          </w:p>
        </w:tc>
      </w:tr>
    </w:tbl>
    <w:p>
      <w:pPr>
        <w:rPr>
          <w:rFonts w:hint="eastAsia" w:ascii="仿宋" w:hAnsi="仿宋" w:eastAsia="仿宋"/>
          <w:sz w:val="32"/>
          <w:szCs w:val="32"/>
        </w:rPr>
      </w:pPr>
      <w:r>
        <w:rPr>
          <w:rFonts w:hint="eastAsia" w:ascii="仿宋" w:hAnsi="仿宋" w:eastAsia="仿宋"/>
          <w:sz w:val="32"/>
          <w:szCs w:val="32"/>
        </w:rPr>
        <w:t>二、设备配置清单</w:t>
      </w:r>
    </w:p>
    <w:tbl>
      <w:tblPr>
        <w:tblStyle w:val="44"/>
        <w:tblW w:w="8647"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8"/>
        <w:gridCol w:w="3864"/>
        <w:gridCol w:w="1680"/>
        <w:gridCol w:w="15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z w:val="22"/>
                <w:szCs w:val="22"/>
              </w:rPr>
            </w:pPr>
            <w:r>
              <w:rPr>
                <w:rFonts w:hint="eastAsia" w:ascii="宋体" w:hAnsi="宋体" w:eastAsia="宋体" w:cs="宋体"/>
                <w:spacing w:val="4"/>
                <w:sz w:val="22"/>
                <w:szCs w:val="22"/>
              </w:rPr>
              <w:t>编</w:t>
            </w:r>
            <w:r>
              <w:rPr>
                <w:rFonts w:ascii="宋体" w:hAnsi="宋体" w:eastAsia="宋体" w:cs="宋体"/>
                <w:spacing w:val="4"/>
                <w:sz w:val="22"/>
                <w:szCs w:val="22"/>
              </w:rPr>
              <w:t>号</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jc w:val="center"/>
              <w:textAlignment w:val="auto"/>
              <w:rPr>
                <w:rFonts w:ascii="宋体" w:hAnsi="宋体" w:eastAsia="宋体" w:cs="宋体"/>
                <w:sz w:val="22"/>
                <w:szCs w:val="22"/>
              </w:rPr>
            </w:pPr>
            <w:r>
              <w:rPr>
                <w:rFonts w:ascii="宋体" w:hAnsi="宋体" w:eastAsia="宋体" w:cs="宋体"/>
                <w:spacing w:val="9"/>
                <w:sz w:val="22"/>
                <w:szCs w:val="22"/>
              </w:rPr>
              <w:t>★</w:t>
            </w:r>
            <w:r>
              <w:rPr>
                <w:rFonts w:ascii="宋体" w:hAnsi="宋体" w:eastAsia="宋体" w:cs="宋体"/>
                <w:spacing w:val="7"/>
                <w:sz w:val="22"/>
                <w:szCs w:val="22"/>
              </w:rPr>
              <w:t>产品配置清单 (必备)</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z w:val="22"/>
                <w:szCs w:val="22"/>
              </w:rPr>
            </w:pPr>
            <w:r>
              <w:rPr>
                <w:rFonts w:hint="eastAsia" w:ascii="宋体" w:hAnsi="宋体" w:eastAsia="宋体" w:cs="宋体"/>
                <w:spacing w:val="4"/>
                <w:sz w:val="22"/>
                <w:szCs w:val="22"/>
              </w:rPr>
              <w:t>数</w:t>
            </w:r>
            <w:r>
              <w:rPr>
                <w:rFonts w:ascii="宋体" w:hAnsi="宋体" w:eastAsia="宋体" w:cs="宋体"/>
                <w:spacing w:val="4"/>
                <w:sz w:val="22"/>
                <w:szCs w:val="22"/>
              </w:rPr>
              <w:t>量</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pacing w:val="4"/>
                <w:sz w:val="22"/>
                <w:szCs w:val="22"/>
              </w:rPr>
            </w:pPr>
            <w:r>
              <w:rPr>
                <w:rFonts w:hint="eastAsia" w:ascii="宋体" w:hAnsi="宋体" w:eastAsia="宋体" w:cs="宋体"/>
                <w:spacing w:val="4"/>
                <w:sz w:val="22"/>
                <w:szCs w:val="22"/>
              </w:rPr>
              <w:t>单位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控制台</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电动泵头驱动器</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3</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流量传感器</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hint="eastAsia" w:ascii="宋体" w:hAnsi="宋体" w:eastAsia="宋体" w:cs="宋体"/>
                <w:sz w:val="22"/>
                <w:szCs w:val="22"/>
              </w:rPr>
              <w:t>4</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7" w:line="240" w:lineRule="exact"/>
              <w:jc w:val="center"/>
              <w:textAlignment w:val="auto"/>
              <w:rPr>
                <w:rFonts w:ascii="宋体" w:hAnsi="宋体" w:eastAsia="宋体" w:cs="宋体"/>
                <w:sz w:val="22"/>
                <w:szCs w:val="22"/>
              </w:rPr>
            </w:pPr>
            <w:r>
              <w:rPr>
                <w:rFonts w:hint="eastAsia" w:ascii="宋体" w:hAnsi="宋体" w:eastAsia="宋体" w:cs="宋体"/>
                <w:spacing w:val="8"/>
                <w:sz w:val="22"/>
                <w:szCs w:val="22"/>
              </w:rPr>
              <w:t>台车</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hint="eastAsia" w:ascii="宋体" w:hAnsi="宋体" w:eastAsia="宋体" w:cs="宋体"/>
                <w:sz w:val="22"/>
                <w:szCs w:val="22"/>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hint="eastAsia" w:ascii="宋体" w:hAnsi="宋体" w:eastAsia="宋体" w:cs="宋体"/>
                <w:sz w:val="22"/>
                <w:szCs w:val="22"/>
              </w:rPr>
              <w:t>5</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jc w:val="center"/>
              <w:textAlignment w:val="auto"/>
              <w:rPr>
                <w:rFonts w:ascii="宋体" w:hAnsi="宋体" w:eastAsia="宋体" w:cs="宋体"/>
                <w:sz w:val="22"/>
                <w:szCs w:val="22"/>
              </w:rPr>
            </w:pPr>
            <w:r>
              <w:rPr>
                <w:rFonts w:ascii="宋体" w:hAnsi="宋体" w:eastAsia="宋体" w:cs="宋体"/>
                <w:spacing w:val="9"/>
                <w:sz w:val="22"/>
                <w:szCs w:val="22"/>
              </w:rPr>
              <w:t>空</w:t>
            </w:r>
            <w:r>
              <w:rPr>
                <w:rFonts w:ascii="宋体" w:hAnsi="宋体" w:eastAsia="宋体" w:cs="宋体"/>
                <w:spacing w:val="6"/>
                <w:sz w:val="22"/>
                <w:szCs w:val="22"/>
              </w:rPr>
              <w:t>氧混合器</w:t>
            </w:r>
            <w:r>
              <w:rPr>
                <w:rFonts w:hint="eastAsia" w:ascii="宋体" w:hAnsi="宋体" w:eastAsia="宋体" w:cs="宋体"/>
                <w:spacing w:val="6"/>
                <w:sz w:val="22"/>
                <w:szCs w:val="22"/>
              </w:rPr>
              <w:t>（原装进口）</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hint="eastAsia" w:ascii="宋体" w:hAnsi="宋体" w:eastAsia="宋体" w:cs="宋体"/>
                <w:sz w:val="22"/>
                <w:szCs w:val="22"/>
              </w:rPr>
              <w:t>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hint="eastAsia" w:ascii="宋体" w:hAnsi="宋体" w:eastAsia="宋体" w:cs="宋体"/>
                <w:sz w:val="22"/>
                <w:szCs w:val="22"/>
              </w:rPr>
              <w:t>6</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9" w:line="240" w:lineRule="exact"/>
              <w:jc w:val="center"/>
              <w:textAlignment w:val="auto"/>
              <w:rPr>
                <w:rFonts w:ascii="宋体" w:hAnsi="宋体" w:eastAsia="宋体" w:cs="宋体"/>
                <w:sz w:val="22"/>
                <w:szCs w:val="22"/>
              </w:rPr>
            </w:pPr>
            <w:r>
              <w:rPr>
                <w:rFonts w:hint="eastAsia" w:ascii="宋体" w:hAnsi="宋体" w:eastAsia="宋体" w:cs="宋体"/>
                <w:sz w:val="22"/>
                <w:szCs w:val="22"/>
              </w:rPr>
              <w:t>物理升降温仪器</w:t>
            </w:r>
            <w:r>
              <w:rPr>
                <w:rFonts w:hint="eastAsia" w:ascii="宋体" w:hAnsi="宋体" w:eastAsia="宋体" w:cs="宋体"/>
                <w:spacing w:val="6"/>
                <w:sz w:val="22"/>
                <w:szCs w:val="22"/>
              </w:rPr>
              <w:t>（原装进口）</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bl>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E包</w:t>
      </w:r>
      <w:r>
        <w:rPr>
          <w:rFonts w:hint="eastAsia" w:asciiTheme="minorEastAsia" w:hAnsiTheme="minorEastAsia" w:eastAsiaTheme="minorEastAsia" w:cstheme="minorEastAsia"/>
          <w:b/>
          <w:bCs/>
          <w:sz w:val="28"/>
          <w:szCs w:val="32"/>
          <w:lang w:val="en-US" w:eastAsia="zh-CN"/>
        </w:rPr>
        <w:t>：静息代谢测试仪</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rPr>
          <w:rFonts w:hint="eastAsia" w:ascii="宋体" w:hAnsi="宋体" w:eastAsia="宋体" w:cs="宋体"/>
          <w:sz w:val="22"/>
          <w:szCs w:val="22"/>
        </w:rPr>
      </w:pPr>
      <w:bookmarkStart w:id="190" w:name="_Hlk144970708"/>
      <w:r>
        <w:rPr>
          <w:rFonts w:hint="eastAsia" w:ascii="宋体" w:hAnsi="宋体" w:eastAsia="宋体" w:cs="宋体"/>
          <w:sz w:val="22"/>
          <w:szCs w:val="22"/>
        </w:rPr>
        <w:t>1、产品用途：用于6岁以上的健康人、自主呼吸患者进行静息代谢测试。（提供注册证）</w:t>
      </w:r>
    </w:p>
    <w:p>
      <w:pPr>
        <w:rPr>
          <w:rFonts w:hint="eastAsia" w:ascii="宋体" w:hAnsi="宋体" w:eastAsia="宋体" w:cs="宋体"/>
          <w:sz w:val="22"/>
          <w:szCs w:val="22"/>
        </w:rPr>
      </w:pPr>
      <w:r>
        <w:rPr>
          <w:rFonts w:hint="eastAsia" w:ascii="宋体" w:hAnsi="宋体" w:eastAsia="宋体" w:cs="宋体"/>
          <w:sz w:val="22"/>
          <w:szCs w:val="22"/>
        </w:rPr>
        <w:t>2、测试原理：</w:t>
      </w:r>
    </w:p>
    <w:p>
      <w:pPr>
        <w:rPr>
          <w:rFonts w:hint="eastAsia" w:ascii="宋体" w:hAnsi="宋体" w:eastAsia="宋体" w:cs="宋体"/>
          <w:sz w:val="22"/>
          <w:szCs w:val="22"/>
        </w:rPr>
      </w:pPr>
      <w:r>
        <w:rPr>
          <w:rFonts w:hint="eastAsia" w:ascii="宋体" w:hAnsi="宋体" w:eastAsia="宋体" w:cs="宋体"/>
          <w:sz w:val="22"/>
          <w:szCs w:val="22"/>
        </w:rPr>
        <w:t>2.1肺功能测量原理：通过流量传感器，测量患者呼出或吸入的气体流量及容量，根据时间-容积曲线和流量-容积曲线，分析得出人体呼吸生理的肺通气指标。</w:t>
      </w:r>
    </w:p>
    <w:p>
      <w:pPr>
        <w:rPr>
          <w:rFonts w:hint="eastAsia" w:ascii="宋体" w:hAnsi="宋体" w:eastAsia="宋体" w:cs="宋体"/>
          <w:sz w:val="22"/>
          <w:szCs w:val="22"/>
        </w:rPr>
      </w:pPr>
      <w:r>
        <w:rPr>
          <w:rFonts w:hint="eastAsia" w:ascii="宋体" w:hAnsi="宋体" w:eastAsia="宋体" w:cs="宋体"/>
          <w:sz w:val="22"/>
          <w:szCs w:val="22"/>
        </w:rPr>
        <w:t>★2.2呼吸检测原理：根据呼吸过程中消耗的氧气浓度、产生的二氧化碳浓度与通气量计算，分析得出VO2、VCO2等人体静息代谢指标。</w:t>
      </w:r>
    </w:p>
    <w:p>
      <w:pPr>
        <w:rPr>
          <w:rFonts w:hint="eastAsia" w:ascii="宋体" w:hAnsi="宋体" w:eastAsia="宋体" w:cs="宋体"/>
          <w:sz w:val="22"/>
          <w:szCs w:val="22"/>
        </w:rPr>
      </w:pPr>
      <w:r>
        <w:rPr>
          <w:rFonts w:hint="eastAsia" w:ascii="宋体" w:hAnsi="宋体" w:eastAsia="宋体" w:cs="宋体"/>
          <w:sz w:val="22"/>
          <w:szCs w:val="22"/>
        </w:rPr>
        <w:t>3、测量参数：</w:t>
      </w:r>
    </w:p>
    <w:p>
      <w:pPr>
        <w:rPr>
          <w:rFonts w:hint="eastAsia" w:ascii="宋体" w:hAnsi="宋体" w:eastAsia="宋体" w:cs="宋体"/>
          <w:sz w:val="22"/>
          <w:szCs w:val="22"/>
        </w:rPr>
      </w:pPr>
      <w:r>
        <w:rPr>
          <w:rFonts w:hint="eastAsia" w:ascii="宋体" w:hAnsi="宋体" w:eastAsia="宋体" w:cs="宋体"/>
          <w:sz w:val="22"/>
          <w:szCs w:val="22"/>
        </w:rPr>
        <w:t>★3.1静息能量消耗量REE</w:t>
      </w:r>
    </w:p>
    <w:p>
      <w:pPr>
        <w:rPr>
          <w:rFonts w:hint="eastAsia" w:ascii="宋体" w:hAnsi="宋体" w:eastAsia="宋体" w:cs="宋体"/>
          <w:sz w:val="22"/>
          <w:szCs w:val="22"/>
        </w:rPr>
      </w:pPr>
      <w:r>
        <w:rPr>
          <w:rFonts w:hint="eastAsia" w:ascii="宋体" w:hAnsi="宋体" w:eastAsia="宋体" w:cs="宋体"/>
          <w:sz w:val="22"/>
          <w:szCs w:val="22"/>
        </w:rPr>
        <w:t>★3.2静息能量代谢预计值REE pred；</w:t>
      </w:r>
    </w:p>
    <w:p>
      <w:pPr>
        <w:rPr>
          <w:rFonts w:hint="eastAsia" w:ascii="宋体" w:hAnsi="宋体" w:eastAsia="宋体" w:cs="宋体"/>
          <w:sz w:val="22"/>
          <w:szCs w:val="22"/>
        </w:rPr>
      </w:pPr>
      <w:r>
        <w:rPr>
          <w:rFonts w:hint="eastAsia" w:ascii="宋体" w:hAnsi="宋体" w:eastAsia="宋体" w:cs="宋体"/>
          <w:sz w:val="22"/>
          <w:szCs w:val="22"/>
        </w:rPr>
        <w:t>★3.3呼吸熵RQ；</w:t>
      </w:r>
    </w:p>
    <w:p>
      <w:pPr>
        <w:rPr>
          <w:rFonts w:hint="eastAsia" w:ascii="宋体" w:hAnsi="宋体" w:eastAsia="宋体" w:cs="宋体"/>
          <w:sz w:val="22"/>
          <w:szCs w:val="22"/>
        </w:rPr>
      </w:pPr>
      <w:r>
        <w:rPr>
          <w:rFonts w:hint="eastAsia" w:ascii="宋体" w:hAnsi="宋体" w:eastAsia="宋体" w:cs="宋体"/>
          <w:sz w:val="22"/>
          <w:szCs w:val="22"/>
        </w:rPr>
        <w:t>★3.4碳水化合物消耗占比CHO/REE*100%；</w:t>
      </w:r>
    </w:p>
    <w:p>
      <w:pPr>
        <w:rPr>
          <w:rFonts w:hint="eastAsia" w:ascii="宋体" w:hAnsi="宋体" w:eastAsia="宋体" w:cs="宋体"/>
          <w:sz w:val="22"/>
          <w:szCs w:val="22"/>
        </w:rPr>
      </w:pPr>
      <w:r>
        <w:rPr>
          <w:rFonts w:hint="eastAsia" w:ascii="宋体" w:hAnsi="宋体" w:eastAsia="宋体" w:cs="宋体"/>
          <w:sz w:val="22"/>
          <w:szCs w:val="22"/>
        </w:rPr>
        <w:t>★3.5脂肪消耗占比FAT/REE*100%；</w:t>
      </w:r>
    </w:p>
    <w:p>
      <w:pPr>
        <w:rPr>
          <w:rFonts w:hint="eastAsia" w:ascii="宋体" w:hAnsi="宋体" w:eastAsia="宋体" w:cs="宋体"/>
          <w:sz w:val="22"/>
          <w:szCs w:val="22"/>
        </w:rPr>
      </w:pPr>
      <w:r>
        <w:rPr>
          <w:rFonts w:hint="eastAsia" w:ascii="宋体" w:hAnsi="宋体" w:eastAsia="宋体" w:cs="宋体"/>
          <w:sz w:val="22"/>
          <w:szCs w:val="22"/>
        </w:rPr>
        <w:t>★3.6蛋白质消耗占比PRO/REE*100%；</w:t>
      </w:r>
    </w:p>
    <w:p>
      <w:pPr>
        <w:rPr>
          <w:rFonts w:hint="eastAsia" w:ascii="宋体" w:hAnsi="宋体" w:eastAsia="宋体" w:cs="宋体"/>
          <w:sz w:val="22"/>
          <w:szCs w:val="22"/>
        </w:rPr>
      </w:pPr>
      <w:r>
        <w:rPr>
          <w:rFonts w:hint="eastAsia" w:ascii="宋体" w:hAnsi="宋体" w:eastAsia="宋体" w:cs="宋体"/>
          <w:sz w:val="22"/>
          <w:szCs w:val="22"/>
        </w:rPr>
        <w:t>★3.7每分钟摄氧量VO2</w:t>
      </w:r>
    </w:p>
    <w:p>
      <w:pPr>
        <w:rPr>
          <w:rFonts w:hint="eastAsia" w:ascii="宋体" w:hAnsi="宋体" w:eastAsia="宋体" w:cs="宋体"/>
          <w:sz w:val="22"/>
          <w:szCs w:val="22"/>
        </w:rPr>
      </w:pPr>
      <w:r>
        <w:rPr>
          <w:rFonts w:hint="eastAsia" w:ascii="宋体" w:hAnsi="宋体" w:eastAsia="宋体" w:cs="宋体"/>
          <w:sz w:val="22"/>
          <w:szCs w:val="22"/>
        </w:rPr>
        <w:t>★3.8每分钟产生二氧化碳量VCO2</w:t>
      </w:r>
    </w:p>
    <w:p>
      <w:pPr>
        <w:rPr>
          <w:rFonts w:hint="eastAsia" w:ascii="宋体" w:hAnsi="宋体" w:eastAsia="宋体" w:cs="宋体"/>
          <w:sz w:val="22"/>
          <w:szCs w:val="22"/>
        </w:rPr>
      </w:pPr>
      <w:r>
        <w:rPr>
          <w:rFonts w:hint="eastAsia" w:ascii="宋体" w:hAnsi="宋体" w:eastAsia="宋体" w:cs="宋体"/>
          <w:sz w:val="22"/>
          <w:szCs w:val="22"/>
        </w:rPr>
        <w:t>3.9非蛋白呼吸熵NPRQ</w:t>
      </w:r>
    </w:p>
    <w:p>
      <w:pPr>
        <w:rPr>
          <w:rFonts w:hint="eastAsia" w:ascii="宋体" w:hAnsi="宋体" w:eastAsia="宋体" w:cs="宋体"/>
          <w:sz w:val="22"/>
          <w:szCs w:val="22"/>
        </w:rPr>
      </w:pPr>
      <w:r>
        <w:rPr>
          <w:rFonts w:hint="eastAsia" w:ascii="宋体" w:hAnsi="宋体" w:eastAsia="宋体" w:cs="宋体"/>
          <w:sz w:val="22"/>
          <w:szCs w:val="22"/>
        </w:rPr>
        <w:t>3.10呼吸频率RR</w:t>
      </w:r>
    </w:p>
    <w:p>
      <w:pPr>
        <w:rPr>
          <w:rFonts w:hint="eastAsia" w:ascii="宋体" w:hAnsi="宋体" w:eastAsia="宋体" w:cs="宋体"/>
          <w:sz w:val="22"/>
          <w:szCs w:val="22"/>
        </w:rPr>
      </w:pPr>
      <w:r>
        <w:rPr>
          <w:rFonts w:hint="eastAsia" w:ascii="宋体" w:hAnsi="宋体" w:eastAsia="宋体" w:cs="宋体"/>
          <w:sz w:val="22"/>
          <w:szCs w:val="22"/>
        </w:rPr>
        <w:t>3.11变异系数REE-COVAR*100%</w:t>
      </w:r>
    </w:p>
    <w:p>
      <w:pPr>
        <w:rPr>
          <w:rFonts w:hint="eastAsia" w:ascii="宋体" w:hAnsi="宋体" w:eastAsia="宋体" w:cs="宋体"/>
          <w:sz w:val="22"/>
          <w:szCs w:val="22"/>
        </w:rPr>
      </w:pPr>
      <w:r>
        <w:rPr>
          <w:rFonts w:hint="eastAsia" w:ascii="宋体" w:hAnsi="宋体" w:eastAsia="宋体" w:cs="宋体"/>
          <w:sz w:val="22"/>
          <w:szCs w:val="22"/>
        </w:rPr>
        <w:t>3.12用力肺活量FVC</w:t>
      </w:r>
    </w:p>
    <w:p>
      <w:pPr>
        <w:rPr>
          <w:rFonts w:hint="eastAsia" w:ascii="宋体" w:hAnsi="宋体" w:eastAsia="宋体" w:cs="宋体"/>
          <w:sz w:val="22"/>
          <w:szCs w:val="22"/>
        </w:rPr>
      </w:pPr>
      <w:r>
        <w:rPr>
          <w:rFonts w:hint="eastAsia" w:ascii="宋体" w:hAnsi="宋体" w:eastAsia="宋体" w:cs="宋体"/>
          <w:sz w:val="22"/>
          <w:szCs w:val="22"/>
        </w:rPr>
        <w:t>3.13慢肺活量SVC</w:t>
      </w:r>
    </w:p>
    <w:p>
      <w:pPr>
        <w:rPr>
          <w:rFonts w:hint="eastAsia" w:ascii="宋体" w:hAnsi="宋体" w:eastAsia="宋体" w:cs="宋体"/>
          <w:sz w:val="22"/>
          <w:szCs w:val="22"/>
        </w:rPr>
      </w:pPr>
      <w:r>
        <w:rPr>
          <w:rFonts w:hint="eastAsia" w:ascii="宋体" w:hAnsi="宋体" w:eastAsia="宋体" w:cs="宋体"/>
          <w:sz w:val="22"/>
          <w:szCs w:val="22"/>
        </w:rPr>
        <w:t>3.14最大通气量MVV</w:t>
      </w:r>
    </w:p>
    <w:p>
      <w:pPr>
        <w:rPr>
          <w:rFonts w:hint="eastAsia" w:ascii="宋体" w:hAnsi="宋体" w:eastAsia="宋体" w:cs="宋体"/>
          <w:sz w:val="22"/>
          <w:szCs w:val="22"/>
        </w:rPr>
      </w:pPr>
      <w:r>
        <w:rPr>
          <w:rFonts w:hint="eastAsia" w:ascii="宋体" w:hAnsi="宋体" w:eastAsia="宋体" w:cs="宋体"/>
          <w:sz w:val="22"/>
          <w:szCs w:val="22"/>
        </w:rPr>
        <w:t>4、技术要求</w:t>
      </w:r>
    </w:p>
    <w:p>
      <w:pPr>
        <w:rPr>
          <w:rFonts w:hint="eastAsia" w:ascii="宋体" w:hAnsi="宋体" w:eastAsia="宋体" w:cs="宋体"/>
          <w:sz w:val="22"/>
          <w:szCs w:val="22"/>
        </w:rPr>
      </w:pPr>
      <w:r>
        <w:rPr>
          <w:rFonts w:hint="eastAsia" w:ascii="宋体" w:hAnsi="宋体" w:eastAsia="宋体" w:cs="宋体"/>
          <w:sz w:val="22"/>
          <w:szCs w:val="22"/>
        </w:rPr>
        <w:t>4.1流量传感器</w:t>
      </w:r>
    </w:p>
    <w:p>
      <w:pPr>
        <w:rPr>
          <w:rFonts w:hint="eastAsia" w:ascii="宋体" w:hAnsi="宋体" w:eastAsia="宋体" w:cs="宋体"/>
          <w:sz w:val="22"/>
          <w:szCs w:val="22"/>
        </w:rPr>
      </w:pPr>
      <w:r>
        <w:rPr>
          <w:rFonts w:hint="eastAsia" w:ascii="宋体" w:hAnsi="宋体" w:eastAsia="宋体" w:cs="宋体"/>
          <w:sz w:val="22"/>
          <w:szCs w:val="22"/>
        </w:rPr>
        <w:t>4.1.1传感器类型：涡轮流量传感器：</w:t>
      </w:r>
    </w:p>
    <w:p>
      <w:pPr>
        <w:rPr>
          <w:rFonts w:hint="eastAsia" w:ascii="宋体" w:hAnsi="宋体" w:eastAsia="宋体" w:cs="宋体"/>
          <w:sz w:val="22"/>
          <w:szCs w:val="22"/>
        </w:rPr>
      </w:pPr>
      <w:r>
        <w:rPr>
          <w:rFonts w:hint="eastAsia" w:ascii="宋体" w:hAnsi="宋体" w:eastAsia="宋体" w:cs="宋体"/>
          <w:sz w:val="22"/>
          <w:szCs w:val="22"/>
        </w:rPr>
        <w:t>4.1.2分辨率：≥0.002L/s</w:t>
      </w:r>
    </w:p>
    <w:p>
      <w:pPr>
        <w:rPr>
          <w:rFonts w:hint="eastAsia" w:ascii="宋体" w:hAnsi="宋体" w:eastAsia="宋体" w:cs="宋体"/>
          <w:sz w:val="22"/>
          <w:szCs w:val="22"/>
        </w:rPr>
      </w:pPr>
      <w:r>
        <w:rPr>
          <w:rFonts w:hint="eastAsia" w:ascii="宋体" w:hAnsi="宋体" w:eastAsia="宋体" w:cs="宋体"/>
          <w:sz w:val="22"/>
          <w:szCs w:val="22"/>
        </w:rPr>
        <w:t>4.1.3精确度：≤±3%</w:t>
      </w:r>
    </w:p>
    <w:p>
      <w:pPr>
        <w:rPr>
          <w:rFonts w:hint="eastAsia" w:ascii="宋体" w:hAnsi="宋体" w:eastAsia="宋体" w:cs="宋体"/>
          <w:sz w:val="22"/>
          <w:szCs w:val="22"/>
        </w:rPr>
      </w:pPr>
      <w:r>
        <w:rPr>
          <w:rFonts w:hint="eastAsia" w:ascii="宋体" w:hAnsi="宋体" w:eastAsia="宋体" w:cs="宋体"/>
          <w:sz w:val="22"/>
          <w:szCs w:val="22"/>
        </w:rPr>
        <w:t>4.1.4流量范围：0~18L/s</w:t>
      </w:r>
    </w:p>
    <w:p>
      <w:pPr>
        <w:rPr>
          <w:rFonts w:hint="eastAsia" w:ascii="宋体" w:hAnsi="宋体" w:eastAsia="宋体" w:cs="宋体"/>
          <w:sz w:val="22"/>
          <w:szCs w:val="22"/>
        </w:rPr>
      </w:pPr>
      <w:r>
        <w:rPr>
          <w:rFonts w:hint="eastAsia" w:ascii="宋体" w:hAnsi="宋体" w:eastAsia="宋体" w:cs="宋体"/>
          <w:sz w:val="22"/>
          <w:szCs w:val="22"/>
        </w:rPr>
        <w:t>4.1.5当流量为12L/s，阻力：＜0.7cmH2O s/L</w:t>
      </w:r>
    </w:p>
    <w:p>
      <w:pPr>
        <w:rPr>
          <w:rFonts w:hint="eastAsia" w:ascii="宋体" w:hAnsi="宋体" w:eastAsia="宋体" w:cs="宋体"/>
          <w:sz w:val="22"/>
          <w:szCs w:val="22"/>
        </w:rPr>
      </w:pPr>
      <w:r>
        <w:rPr>
          <w:rFonts w:hint="eastAsia" w:ascii="宋体" w:hAnsi="宋体" w:eastAsia="宋体" w:cs="宋体"/>
          <w:sz w:val="22"/>
          <w:szCs w:val="22"/>
        </w:rPr>
        <w:t>4.2氧分析器</w:t>
      </w:r>
    </w:p>
    <w:p>
      <w:pPr>
        <w:rPr>
          <w:rFonts w:hint="eastAsia" w:ascii="宋体" w:hAnsi="宋体" w:eastAsia="宋体" w:cs="宋体"/>
          <w:sz w:val="22"/>
          <w:szCs w:val="22"/>
        </w:rPr>
      </w:pPr>
      <w:r>
        <w:rPr>
          <w:rFonts w:hint="eastAsia" w:ascii="宋体" w:hAnsi="宋体" w:eastAsia="宋体" w:cs="宋体"/>
          <w:sz w:val="22"/>
          <w:szCs w:val="22"/>
        </w:rPr>
        <w:t>★4.2.1传感器类型：电化学传感器</w:t>
      </w:r>
    </w:p>
    <w:p>
      <w:pPr>
        <w:rPr>
          <w:rFonts w:hint="eastAsia" w:ascii="宋体" w:hAnsi="宋体" w:eastAsia="宋体" w:cs="宋体"/>
          <w:sz w:val="22"/>
          <w:szCs w:val="22"/>
        </w:rPr>
      </w:pPr>
      <w:r>
        <w:rPr>
          <w:rFonts w:hint="eastAsia" w:ascii="宋体" w:hAnsi="宋体" w:eastAsia="宋体" w:cs="宋体"/>
          <w:sz w:val="22"/>
          <w:szCs w:val="22"/>
        </w:rPr>
        <w:t>4.2.2测量范围：0~100%</w:t>
      </w:r>
    </w:p>
    <w:p>
      <w:pPr>
        <w:rPr>
          <w:rFonts w:hint="eastAsia" w:ascii="宋体" w:hAnsi="宋体" w:eastAsia="宋体" w:cs="宋体"/>
          <w:sz w:val="22"/>
          <w:szCs w:val="22"/>
        </w:rPr>
      </w:pPr>
      <w:r>
        <w:rPr>
          <w:rFonts w:hint="eastAsia" w:ascii="宋体" w:hAnsi="宋体" w:eastAsia="宋体" w:cs="宋体"/>
          <w:sz w:val="22"/>
          <w:szCs w:val="22"/>
        </w:rPr>
        <w:t>4.2.3测量误差：≤±0.03%</w:t>
      </w:r>
    </w:p>
    <w:p>
      <w:pPr>
        <w:rPr>
          <w:rFonts w:hint="eastAsia" w:ascii="宋体" w:hAnsi="宋体" w:eastAsia="宋体" w:cs="宋体"/>
          <w:sz w:val="22"/>
          <w:szCs w:val="22"/>
        </w:rPr>
      </w:pPr>
      <w:r>
        <w:rPr>
          <w:rFonts w:hint="eastAsia" w:ascii="宋体" w:hAnsi="宋体" w:eastAsia="宋体" w:cs="宋体"/>
          <w:sz w:val="22"/>
          <w:szCs w:val="22"/>
        </w:rPr>
        <w:t>4.2.4分辨率：≥0.01%</w:t>
      </w:r>
    </w:p>
    <w:p>
      <w:pPr>
        <w:rPr>
          <w:rFonts w:hint="eastAsia" w:ascii="宋体" w:hAnsi="宋体" w:eastAsia="宋体" w:cs="宋体"/>
          <w:sz w:val="22"/>
          <w:szCs w:val="22"/>
        </w:rPr>
      </w:pPr>
      <w:r>
        <w:rPr>
          <w:rFonts w:hint="eastAsia" w:ascii="宋体" w:hAnsi="宋体" w:eastAsia="宋体" w:cs="宋体"/>
          <w:sz w:val="22"/>
          <w:szCs w:val="22"/>
        </w:rPr>
        <w:t>4.2.5响应时间：＜120ms</w:t>
      </w:r>
    </w:p>
    <w:p>
      <w:pPr>
        <w:rPr>
          <w:rFonts w:hint="eastAsia" w:ascii="宋体" w:hAnsi="宋体" w:eastAsia="宋体" w:cs="宋体"/>
          <w:sz w:val="22"/>
          <w:szCs w:val="22"/>
        </w:rPr>
      </w:pPr>
      <w:r>
        <w:rPr>
          <w:rFonts w:hint="eastAsia" w:ascii="宋体" w:hAnsi="宋体" w:eastAsia="宋体" w:cs="宋体"/>
          <w:sz w:val="22"/>
          <w:szCs w:val="22"/>
        </w:rPr>
        <w:t>4.3二氧化碳分析器</w:t>
      </w:r>
    </w:p>
    <w:p>
      <w:pPr>
        <w:rPr>
          <w:rFonts w:hint="eastAsia" w:ascii="宋体" w:hAnsi="宋体" w:eastAsia="宋体" w:cs="宋体"/>
          <w:sz w:val="22"/>
          <w:szCs w:val="22"/>
        </w:rPr>
      </w:pPr>
      <w:r>
        <w:rPr>
          <w:rFonts w:hint="eastAsia" w:ascii="宋体" w:hAnsi="宋体" w:eastAsia="宋体" w:cs="宋体"/>
          <w:sz w:val="22"/>
          <w:szCs w:val="22"/>
        </w:rPr>
        <w:t>★4.3.1传感器类型：非分散红外传感器</w:t>
      </w:r>
    </w:p>
    <w:p>
      <w:pPr>
        <w:rPr>
          <w:rFonts w:hint="eastAsia" w:ascii="宋体" w:hAnsi="宋体" w:eastAsia="宋体" w:cs="宋体"/>
          <w:sz w:val="22"/>
          <w:szCs w:val="22"/>
        </w:rPr>
      </w:pPr>
      <w:r>
        <w:rPr>
          <w:rFonts w:hint="eastAsia" w:ascii="宋体" w:hAnsi="宋体" w:eastAsia="宋体" w:cs="宋体"/>
          <w:sz w:val="22"/>
          <w:szCs w:val="22"/>
        </w:rPr>
        <w:t>4.3.2测量范围：0~20%</w:t>
      </w:r>
    </w:p>
    <w:p>
      <w:pPr>
        <w:rPr>
          <w:rFonts w:hint="eastAsia" w:ascii="宋体" w:hAnsi="宋体" w:eastAsia="宋体" w:cs="宋体"/>
          <w:sz w:val="22"/>
          <w:szCs w:val="22"/>
        </w:rPr>
      </w:pPr>
      <w:r>
        <w:rPr>
          <w:rFonts w:hint="eastAsia" w:ascii="宋体" w:hAnsi="宋体" w:eastAsia="宋体" w:cs="宋体"/>
          <w:sz w:val="22"/>
          <w:szCs w:val="22"/>
        </w:rPr>
        <w:t>4.3.3测量误差：≤±0.03%</w:t>
      </w:r>
    </w:p>
    <w:p>
      <w:pPr>
        <w:rPr>
          <w:rFonts w:hint="eastAsia" w:ascii="宋体" w:hAnsi="宋体" w:eastAsia="宋体" w:cs="宋体"/>
          <w:sz w:val="22"/>
          <w:szCs w:val="22"/>
        </w:rPr>
      </w:pPr>
      <w:r>
        <w:rPr>
          <w:rFonts w:hint="eastAsia" w:ascii="宋体" w:hAnsi="宋体" w:eastAsia="宋体" w:cs="宋体"/>
          <w:sz w:val="22"/>
          <w:szCs w:val="22"/>
        </w:rPr>
        <w:t>4.3.4分辨率：≥0.01%</w:t>
      </w:r>
    </w:p>
    <w:p>
      <w:pPr>
        <w:rPr>
          <w:rFonts w:hint="eastAsia" w:ascii="宋体" w:hAnsi="宋体" w:eastAsia="宋体" w:cs="宋体"/>
          <w:sz w:val="22"/>
          <w:szCs w:val="22"/>
        </w:rPr>
      </w:pPr>
      <w:r>
        <w:rPr>
          <w:rFonts w:hint="eastAsia" w:ascii="宋体" w:hAnsi="宋体" w:eastAsia="宋体" w:cs="宋体"/>
          <w:sz w:val="22"/>
          <w:szCs w:val="22"/>
        </w:rPr>
        <w:t>4.3.5响应时间：＜120ms</w:t>
      </w:r>
    </w:p>
    <w:p>
      <w:pPr>
        <w:rPr>
          <w:rFonts w:hint="eastAsia" w:ascii="宋体" w:hAnsi="宋体" w:eastAsia="宋体" w:cs="宋体"/>
          <w:sz w:val="22"/>
          <w:szCs w:val="22"/>
        </w:rPr>
      </w:pPr>
      <w:r>
        <w:rPr>
          <w:rFonts w:hint="eastAsia" w:ascii="宋体" w:hAnsi="宋体" w:eastAsia="宋体" w:cs="宋体"/>
          <w:sz w:val="22"/>
          <w:szCs w:val="22"/>
        </w:rPr>
        <w:t>5、自定义设置检测时间，自动定标检测，实时显示过程曲线和数据</w:t>
      </w:r>
    </w:p>
    <w:p>
      <w:pPr>
        <w:rPr>
          <w:rFonts w:hint="eastAsia" w:ascii="宋体" w:hAnsi="宋体" w:eastAsia="宋体" w:cs="宋体"/>
          <w:sz w:val="22"/>
          <w:szCs w:val="22"/>
        </w:rPr>
      </w:pPr>
      <w:r>
        <w:rPr>
          <w:rFonts w:hint="eastAsia" w:ascii="宋体" w:hAnsi="宋体" w:eastAsia="宋体" w:cs="宋体"/>
          <w:sz w:val="22"/>
          <w:szCs w:val="22"/>
        </w:rPr>
        <w:t>★6、设备自带触摸屏吗，尺寸大于8寸，便携提手使用</w:t>
      </w:r>
    </w:p>
    <w:p>
      <w:pPr>
        <w:rPr>
          <w:rFonts w:hint="eastAsia" w:ascii="宋体" w:hAnsi="宋体" w:eastAsia="宋体" w:cs="宋体"/>
          <w:sz w:val="22"/>
          <w:szCs w:val="22"/>
        </w:rPr>
      </w:pPr>
      <w:r>
        <w:rPr>
          <w:rFonts w:hint="eastAsia" w:ascii="宋体" w:hAnsi="宋体" w:eastAsia="宋体" w:cs="宋体"/>
          <w:sz w:val="22"/>
          <w:szCs w:val="22"/>
        </w:rPr>
        <w:t>7、采用图标式操作方式，使操作变得非常简单</w:t>
      </w:r>
    </w:p>
    <w:p>
      <w:pPr>
        <w:rPr>
          <w:rFonts w:hint="eastAsia" w:ascii="宋体" w:hAnsi="宋体" w:eastAsia="宋体" w:cs="宋体"/>
          <w:sz w:val="22"/>
          <w:szCs w:val="22"/>
        </w:rPr>
      </w:pPr>
      <w:r>
        <w:rPr>
          <w:rFonts w:hint="eastAsia" w:ascii="宋体" w:hAnsi="宋体" w:eastAsia="宋体" w:cs="宋体"/>
          <w:sz w:val="22"/>
          <w:szCs w:val="22"/>
        </w:rPr>
        <w:t>8、可选择热敏打印报告和A4报告打印，可设置多种预制报告格式</w:t>
      </w:r>
    </w:p>
    <w:p>
      <w:pPr>
        <w:rPr>
          <w:rFonts w:hint="eastAsia" w:ascii="宋体" w:hAnsi="宋体" w:eastAsia="宋体" w:cs="宋体"/>
          <w:sz w:val="22"/>
          <w:szCs w:val="22"/>
        </w:rPr>
      </w:pPr>
      <w:r>
        <w:rPr>
          <w:rFonts w:hint="eastAsia" w:ascii="宋体" w:hAnsi="宋体" w:eastAsia="宋体" w:cs="宋体"/>
          <w:sz w:val="22"/>
          <w:szCs w:val="22"/>
        </w:rPr>
        <w:t>9、可导出数据，可对接医院his系统，可对接第三方平台</w:t>
      </w:r>
    </w:p>
    <w:p>
      <w:pPr>
        <w:rPr>
          <w:rFonts w:hint="eastAsia" w:ascii="宋体" w:hAnsi="宋体" w:eastAsia="宋体" w:cs="宋体"/>
          <w:sz w:val="22"/>
          <w:szCs w:val="22"/>
        </w:rPr>
      </w:pPr>
      <w:r>
        <w:rPr>
          <w:rFonts w:hint="eastAsia" w:ascii="宋体" w:hAnsi="宋体" w:eastAsia="宋体" w:cs="宋体"/>
          <w:sz w:val="22"/>
          <w:szCs w:val="22"/>
        </w:rPr>
        <w:t>10、具备完整患者数据管理，查看检测详细报告及对比分析</w:t>
      </w:r>
    </w:p>
    <w:p>
      <w:pPr>
        <w:spacing w:line="360" w:lineRule="auto"/>
        <w:rPr>
          <w:rFonts w:hint="eastAsia" w:asciiTheme="minorEastAsia" w:hAnsiTheme="minorEastAsia" w:eastAsiaTheme="minorEastAsia" w:cstheme="minorEastAsia"/>
          <w:b/>
          <w:bCs/>
          <w:sz w:val="28"/>
          <w:szCs w:val="32"/>
          <w:lang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F包</w:t>
      </w:r>
      <w:r>
        <w:rPr>
          <w:rFonts w:hint="eastAsia" w:asciiTheme="minorEastAsia" w:hAnsiTheme="minorEastAsia" w:eastAsiaTheme="minorEastAsia" w:cstheme="minorEastAsia"/>
          <w:b/>
          <w:bCs/>
          <w:sz w:val="28"/>
          <w:szCs w:val="32"/>
          <w:lang w:val="en-US" w:eastAsia="zh-CN"/>
        </w:rPr>
        <w:t>：麻醉机</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w:t>
      </w:r>
      <w:r>
        <w:rPr>
          <w:rFonts w:hint="eastAsia" w:asciiTheme="minorEastAsia" w:hAnsiTheme="minorEastAsia" w:cstheme="minorEastAsia"/>
          <w:b/>
          <w:bCs/>
          <w:sz w:val="28"/>
          <w:szCs w:val="32"/>
          <w:lang w:val="en-US" w:eastAsia="zh-CN"/>
        </w:rPr>
        <w:t>台</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bookmarkEnd w:id="190"/>
    <w:p>
      <w:pPr>
        <w:rPr>
          <w:rFonts w:hint="eastAsia" w:ascii="宋体" w:hAnsi="宋体" w:eastAsia="宋体" w:cs="宋体"/>
          <w:sz w:val="22"/>
          <w:szCs w:val="22"/>
        </w:rPr>
      </w:pPr>
      <w:r>
        <w:rPr>
          <w:rFonts w:hint="eastAsia" w:ascii="宋体" w:hAnsi="宋体" w:eastAsia="宋体" w:cs="宋体"/>
          <w:sz w:val="22"/>
          <w:szCs w:val="22"/>
        </w:rPr>
        <w:t>1.采用电控、气动控制方式。</w:t>
      </w:r>
    </w:p>
    <w:p>
      <w:pPr>
        <w:rPr>
          <w:rFonts w:hint="eastAsia" w:ascii="宋体" w:hAnsi="宋体" w:eastAsia="宋体" w:cs="宋体"/>
          <w:sz w:val="22"/>
          <w:szCs w:val="22"/>
        </w:rPr>
      </w:pPr>
      <w:r>
        <w:rPr>
          <w:rFonts w:hint="eastAsia" w:ascii="宋体" w:hAnsi="宋体" w:eastAsia="宋体" w:cs="宋体"/>
          <w:sz w:val="22"/>
          <w:szCs w:val="22"/>
        </w:rPr>
        <w:t>2.具有多种报警、提示及保护功能。</w:t>
      </w:r>
    </w:p>
    <w:p>
      <w:pPr>
        <w:rPr>
          <w:rFonts w:hint="eastAsia" w:ascii="宋体" w:hAnsi="宋体" w:eastAsia="宋体" w:cs="宋体"/>
          <w:sz w:val="22"/>
          <w:szCs w:val="22"/>
        </w:rPr>
      </w:pPr>
      <w:r>
        <w:rPr>
          <w:rFonts w:hint="eastAsia" w:ascii="宋体" w:hAnsi="宋体" w:eastAsia="宋体" w:cs="宋体"/>
          <w:sz w:val="22"/>
          <w:szCs w:val="22"/>
        </w:rPr>
        <w:t>3.具有停电支持功能。当市电断电后，自动转为机内备用电源工作。</w:t>
      </w:r>
    </w:p>
    <w:p>
      <w:pPr>
        <w:rPr>
          <w:rFonts w:hint="eastAsia" w:ascii="宋体" w:hAnsi="宋体" w:eastAsia="宋体" w:cs="宋体"/>
          <w:sz w:val="22"/>
          <w:szCs w:val="22"/>
        </w:rPr>
      </w:pPr>
      <w:r>
        <w:rPr>
          <w:rFonts w:hint="eastAsia" w:ascii="宋体" w:hAnsi="宋体" w:eastAsia="宋体" w:cs="宋体"/>
          <w:sz w:val="22"/>
          <w:szCs w:val="22"/>
        </w:rPr>
        <w:t>★4.采用</w:t>
      </w:r>
      <w:r>
        <w:rPr>
          <w:rFonts w:hint="eastAsia" w:ascii="宋体" w:hAnsi="宋体" w:cs="宋体"/>
          <w:kern w:val="0"/>
          <w:sz w:val="22"/>
          <w:szCs w:val="22"/>
          <w:lang w:bidi="ar"/>
        </w:rPr>
        <w:t>≥</w:t>
      </w:r>
      <w:r>
        <w:rPr>
          <w:rFonts w:hint="eastAsia" w:ascii="宋体" w:hAnsi="宋体" w:eastAsia="宋体" w:cs="宋体"/>
          <w:sz w:val="22"/>
          <w:szCs w:val="22"/>
        </w:rPr>
        <w:t>12.1寸触摸显示器,显示通气参数、报警信息及波形图</w:t>
      </w:r>
    </w:p>
    <w:p>
      <w:pPr>
        <w:rPr>
          <w:rFonts w:hint="eastAsia" w:ascii="宋体" w:hAnsi="宋体" w:eastAsia="宋体" w:cs="宋体"/>
          <w:sz w:val="22"/>
          <w:szCs w:val="22"/>
        </w:rPr>
      </w:pPr>
      <w:r>
        <w:rPr>
          <w:rFonts w:hint="eastAsia" w:ascii="宋体" w:hAnsi="宋体" w:eastAsia="宋体" w:cs="宋体"/>
          <w:sz w:val="22"/>
          <w:szCs w:val="22"/>
        </w:rPr>
        <w:t>★5.成人、儿童两用，开机自检后可进入成人和儿童模式选择界面。</w:t>
      </w:r>
    </w:p>
    <w:p>
      <w:pPr>
        <w:rPr>
          <w:rFonts w:hint="eastAsia" w:ascii="宋体" w:hAnsi="宋体" w:eastAsia="宋体" w:cs="宋体"/>
          <w:sz w:val="22"/>
          <w:szCs w:val="22"/>
        </w:rPr>
      </w:pPr>
      <w:r>
        <w:rPr>
          <w:rFonts w:hint="eastAsia" w:ascii="宋体" w:hAnsi="宋体" w:eastAsia="宋体" w:cs="宋体"/>
          <w:sz w:val="22"/>
          <w:szCs w:val="22"/>
        </w:rPr>
        <w:t>6.</w:t>
      </w:r>
      <w:r>
        <w:rPr>
          <w:rFonts w:hint="eastAsia" w:ascii="宋体" w:hAnsi="宋体" w:eastAsia="宋体" w:cs="宋体"/>
          <w:sz w:val="22"/>
          <w:szCs w:val="22"/>
        </w:rPr>
        <w:tab/>
      </w:r>
      <w:r>
        <w:rPr>
          <w:rFonts w:hint="eastAsia" w:ascii="宋体" w:hAnsi="宋体" w:eastAsia="宋体" w:cs="宋体"/>
          <w:sz w:val="22"/>
          <w:szCs w:val="22"/>
        </w:rPr>
        <w:t>采用有温度、流量、压力补偿且零位自锁的麻醉药蒸发器</w:t>
      </w:r>
    </w:p>
    <w:p>
      <w:pPr>
        <w:rPr>
          <w:rFonts w:hint="eastAsia" w:ascii="宋体" w:hAnsi="宋体" w:eastAsia="宋体" w:cs="宋体"/>
          <w:sz w:val="22"/>
          <w:szCs w:val="22"/>
        </w:rPr>
      </w:pPr>
      <w:r>
        <w:rPr>
          <w:rFonts w:hint="eastAsia" w:ascii="宋体" w:hAnsi="宋体" w:eastAsia="宋体" w:cs="宋体"/>
          <w:sz w:val="22"/>
          <w:szCs w:val="22"/>
        </w:rPr>
        <w:t>★7.采用</w:t>
      </w:r>
      <w:r>
        <w:rPr>
          <w:rFonts w:hint="eastAsia" w:ascii="宋体" w:hAnsi="宋体" w:cs="宋体"/>
          <w:kern w:val="0"/>
          <w:sz w:val="22"/>
          <w:szCs w:val="22"/>
          <w:lang w:bidi="ar"/>
        </w:rPr>
        <w:t>≥</w:t>
      </w:r>
      <w:r>
        <w:rPr>
          <w:rFonts w:hint="eastAsia" w:ascii="宋体" w:hAnsi="宋体" w:eastAsia="宋体" w:cs="宋体"/>
          <w:sz w:val="22"/>
          <w:szCs w:val="22"/>
        </w:rPr>
        <w:t>7寸独立屏幕显示流量计</w:t>
      </w:r>
    </w:p>
    <w:p>
      <w:pPr>
        <w:rPr>
          <w:rFonts w:hint="eastAsia" w:ascii="宋体" w:hAnsi="宋体" w:eastAsia="宋体" w:cs="宋体"/>
          <w:sz w:val="22"/>
          <w:szCs w:val="22"/>
        </w:rPr>
      </w:pPr>
      <w:r>
        <w:rPr>
          <w:rFonts w:hint="eastAsia" w:ascii="宋体" w:hAnsi="宋体" w:eastAsia="宋体" w:cs="宋体"/>
          <w:sz w:val="22"/>
          <w:szCs w:val="22"/>
        </w:rPr>
        <w:t>★8.标配呼吸末二氧化碳接口，选配呼吸末二氧化碳监测功能,且同屏可显示</w:t>
      </w:r>
    </w:p>
    <w:p>
      <w:pPr>
        <w:rPr>
          <w:rFonts w:hint="eastAsia" w:ascii="宋体" w:hAnsi="宋体" w:eastAsia="宋体" w:cs="宋体"/>
          <w:sz w:val="22"/>
          <w:szCs w:val="22"/>
        </w:rPr>
      </w:pPr>
      <w:r>
        <w:rPr>
          <w:rFonts w:hint="eastAsia" w:ascii="宋体" w:hAnsi="宋体" w:eastAsia="宋体" w:cs="宋体"/>
          <w:sz w:val="22"/>
          <w:szCs w:val="22"/>
        </w:rPr>
        <w:t>9.可选配麻醉深度监测</w:t>
      </w:r>
      <w:r>
        <w:rPr>
          <w:rFonts w:hint="eastAsia" w:ascii="宋体" w:hAnsi="宋体" w:eastAsia="宋体" w:cs="宋体"/>
          <w:sz w:val="22"/>
          <w:szCs w:val="22"/>
        </w:rPr>
        <w:tab/>
      </w:r>
      <w:r>
        <w:rPr>
          <w:rFonts w:hint="eastAsia" w:ascii="宋体" w:hAnsi="宋体" w:eastAsia="宋体" w:cs="宋体"/>
          <w:sz w:val="22"/>
          <w:szCs w:val="22"/>
        </w:rPr>
        <w:tab/>
      </w:r>
    </w:p>
    <w:p>
      <w:pPr>
        <w:rPr>
          <w:rFonts w:hint="eastAsia" w:ascii="宋体" w:hAnsi="宋体" w:eastAsia="宋体" w:cs="宋体"/>
          <w:sz w:val="22"/>
          <w:szCs w:val="22"/>
        </w:rPr>
      </w:pPr>
      <w:r>
        <w:rPr>
          <w:rFonts w:hint="eastAsia" w:ascii="宋体" w:hAnsi="宋体" w:eastAsia="宋体" w:cs="宋体"/>
          <w:sz w:val="22"/>
          <w:szCs w:val="22"/>
        </w:rPr>
        <w:t>10.标配三气源:氧气，笑气，空气</w:t>
      </w:r>
      <w:r>
        <w:rPr>
          <w:rFonts w:hint="eastAsia" w:ascii="宋体" w:hAnsi="宋体" w:eastAsia="宋体" w:cs="宋体"/>
          <w:sz w:val="22"/>
          <w:szCs w:val="22"/>
        </w:rPr>
        <w:tab/>
      </w:r>
    </w:p>
    <w:p>
      <w:pPr>
        <w:rPr>
          <w:rFonts w:hint="eastAsia" w:ascii="宋体" w:hAnsi="宋体" w:eastAsia="宋体" w:cs="宋体"/>
          <w:sz w:val="22"/>
          <w:szCs w:val="22"/>
        </w:rPr>
      </w:pPr>
      <w:r>
        <w:rPr>
          <w:rFonts w:hint="eastAsia" w:ascii="宋体" w:hAnsi="宋体" w:eastAsia="宋体" w:cs="宋体"/>
          <w:sz w:val="22"/>
          <w:szCs w:val="22"/>
        </w:rPr>
        <w:t xml:space="preserve">  ★通气模式</w:t>
      </w:r>
    </w:p>
    <w:p>
      <w:pPr>
        <w:rPr>
          <w:rFonts w:hint="eastAsia" w:ascii="宋体" w:hAnsi="宋体" w:eastAsia="宋体" w:cs="宋体"/>
          <w:sz w:val="22"/>
          <w:szCs w:val="22"/>
        </w:rPr>
      </w:pPr>
      <w:r>
        <w:rPr>
          <w:rFonts w:hint="eastAsia" w:ascii="宋体" w:hAnsi="宋体" w:eastAsia="宋体" w:cs="宋体"/>
          <w:sz w:val="22"/>
          <w:szCs w:val="22"/>
        </w:rPr>
        <w:t>1.间歇正压通气（IPPV/vcv）</w:t>
      </w:r>
    </w:p>
    <w:p>
      <w:pPr>
        <w:rPr>
          <w:rFonts w:hint="eastAsia" w:ascii="宋体" w:hAnsi="宋体" w:eastAsia="宋体" w:cs="宋体"/>
          <w:sz w:val="22"/>
          <w:szCs w:val="22"/>
        </w:rPr>
      </w:pPr>
      <w:r>
        <w:rPr>
          <w:rFonts w:hint="eastAsia" w:ascii="宋体" w:hAnsi="宋体" w:eastAsia="宋体" w:cs="宋体"/>
          <w:sz w:val="22"/>
          <w:szCs w:val="22"/>
        </w:rPr>
        <w:t>2.辅助/控制通气(A/C)</w:t>
      </w:r>
    </w:p>
    <w:p>
      <w:pPr>
        <w:rPr>
          <w:rFonts w:hint="eastAsia" w:ascii="宋体" w:hAnsi="宋体" w:eastAsia="宋体" w:cs="宋体"/>
          <w:sz w:val="22"/>
          <w:szCs w:val="22"/>
        </w:rPr>
      </w:pPr>
      <w:r>
        <w:rPr>
          <w:rFonts w:hint="eastAsia" w:ascii="宋体" w:hAnsi="宋体" w:eastAsia="宋体" w:cs="宋体"/>
          <w:sz w:val="22"/>
          <w:szCs w:val="22"/>
        </w:rPr>
        <w:t>3.同步间歇指令通气（SIMV）</w:t>
      </w:r>
    </w:p>
    <w:p>
      <w:pPr>
        <w:rPr>
          <w:rFonts w:hint="eastAsia" w:ascii="宋体" w:hAnsi="宋体" w:eastAsia="宋体" w:cs="宋体"/>
          <w:sz w:val="22"/>
          <w:szCs w:val="22"/>
        </w:rPr>
      </w:pPr>
      <w:r>
        <w:rPr>
          <w:rFonts w:hint="eastAsia" w:ascii="宋体" w:hAnsi="宋体" w:eastAsia="宋体" w:cs="宋体"/>
          <w:sz w:val="22"/>
          <w:szCs w:val="22"/>
        </w:rPr>
        <w:t>4.压力控制通气（PCV）</w:t>
      </w:r>
    </w:p>
    <w:p>
      <w:pPr>
        <w:rPr>
          <w:rFonts w:hint="eastAsia" w:ascii="宋体" w:hAnsi="宋体" w:eastAsia="宋体" w:cs="宋体"/>
          <w:sz w:val="22"/>
          <w:szCs w:val="22"/>
        </w:rPr>
      </w:pPr>
      <w:r>
        <w:rPr>
          <w:rFonts w:hint="eastAsia" w:ascii="宋体" w:hAnsi="宋体" w:eastAsia="宋体" w:cs="宋体"/>
          <w:sz w:val="22"/>
          <w:szCs w:val="22"/>
        </w:rPr>
        <w:t>5.叹息通气(SIGH)</w:t>
      </w:r>
    </w:p>
    <w:p>
      <w:pPr>
        <w:rPr>
          <w:rFonts w:hint="eastAsia" w:ascii="宋体" w:hAnsi="宋体" w:eastAsia="宋体" w:cs="宋体"/>
          <w:sz w:val="22"/>
          <w:szCs w:val="22"/>
        </w:rPr>
      </w:pPr>
      <w:r>
        <w:rPr>
          <w:rFonts w:hint="eastAsia" w:ascii="宋体" w:hAnsi="宋体" w:eastAsia="宋体" w:cs="宋体"/>
          <w:sz w:val="22"/>
          <w:szCs w:val="22"/>
        </w:rPr>
        <w:t>6.手控通气 （MANU）</w:t>
      </w:r>
    </w:p>
    <w:p>
      <w:pPr>
        <w:rPr>
          <w:rFonts w:hint="eastAsia" w:ascii="宋体" w:hAnsi="宋体" w:eastAsia="宋体" w:cs="宋体"/>
          <w:sz w:val="22"/>
          <w:szCs w:val="22"/>
        </w:rPr>
      </w:pPr>
      <w:r>
        <w:rPr>
          <w:rFonts w:hint="eastAsia" w:ascii="宋体" w:hAnsi="宋体" w:eastAsia="宋体" w:cs="宋体"/>
          <w:sz w:val="22"/>
          <w:szCs w:val="22"/>
        </w:rPr>
        <w:t>调节参数</w:t>
      </w:r>
    </w:p>
    <w:p>
      <w:pPr>
        <w:rPr>
          <w:rFonts w:hint="eastAsia" w:ascii="宋体" w:hAnsi="宋体" w:eastAsia="宋体" w:cs="宋体"/>
          <w:sz w:val="22"/>
          <w:szCs w:val="22"/>
        </w:rPr>
      </w:pPr>
      <w:r>
        <w:rPr>
          <w:rFonts w:hint="eastAsia" w:ascii="宋体" w:hAnsi="宋体" w:eastAsia="宋体" w:cs="宋体"/>
          <w:sz w:val="22"/>
          <w:szCs w:val="22"/>
        </w:rPr>
        <w:t>1.流量计：</w:t>
      </w:r>
      <w:r>
        <w:rPr>
          <w:rFonts w:hint="eastAsia" w:ascii="宋体" w:hAnsi="宋体"/>
          <w:sz w:val="24"/>
        </w:rPr>
        <w:t>O</w:t>
      </w:r>
      <w:r>
        <w:rPr>
          <w:rFonts w:hint="eastAsia" w:ascii="宋体" w:hAnsi="宋体"/>
          <w:sz w:val="24"/>
          <w:vertAlign w:val="subscript"/>
        </w:rPr>
        <w:t>2</w:t>
      </w:r>
      <w:r>
        <w:rPr>
          <w:rFonts w:hint="eastAsia" w:ascii="宋体" w:hAnsi="宋体"/>
          <w:sz w:val="24"/>
        </w:rPr>
        <w:t>：0.1～10 L/min</w:t>
      </w:r>
    </w:p>
    <w:p>
      <w:pPr>
        <w:rPr>
          <w:rFonts w:hint="eastAsia" w:ascii="宋体" w:hAnsi="宋体" w:eastAsia="宋体" w:cs="宋体"/>
          <w:sz w:val="22"/>
          <w:szCs w:val="22"/>
        </w:rPr>
      </w:pPr>
      <w:r>
        <w:rPr>
          <w:rFonts w:hint="eastAsia" w:ascii="宋体" w:hAnsi="宋体" w:eastAsia="宋体" w:cs="宋体"/>
          <w:sz w:val="22"/>
          <w:szCs w:val="22"/>
        </w:rPr>
        <w:t xml:space="preserve">  AIR：0.1～10 L/min</w:t>
      </w:r>
    </w:p>
    <w:p>
      <w:pPr>
        <w:rPr>
          <w:rFonts w:hint="eastAsia" w:ascii="宋体" w:hAnsi="宋体" w:eastAsia="宋体" w:cs="宋体"/>
          <w:sz w:val="22"/>
          <w:szCs w:val="22"/>
        </w:rPr>
      </w:pPr>
      <w:r>
        <w:rPr>
          <w:rFonts w:hint="eastAsia" w:ascii="宋体" w:hAnsi="宋体" w:eastAsia="宋体" w:cs="宋体"/>
          <w:sz w:val="22"/>
          <w:szCs w:val="22"/>
        </w:rPr>
        <w:t>N2O: 0.1～10L/min</w:t>
      </w:r>
    </w:p>
    <w:p>
      <w:pPr>
        <w:rPr>
          <w:rFonts w:hint="eastAsia" w:ascii="宋体" w:hAnsi="宋体" w:eastAsia="宋体" w:cs="宋体"/>
          <w:sz w:val="22"/>
          <w:szCs w:val="22"/>
        </w:rPr>
      </w:pPr>
      <w:r>
        <w:rPr>
          <w:rFonts w:hint="eastAsia" w:ascii="宋体" w:hAnsi="宋体" w:eastAsia="宋体" w:cs="宋体"/>
          <w:sz w:val="22"/>
          <w:szCs w:val="22"/>
        </w:rPr>
        <w:t xml:space="preserve">2.快速供氧 ：25 L/min～ 75 L/min </w:t>
      </w:r>
    </w:p>
    <w:p>
      <w:pPr>
        <w:rPr>
          <w:rFonts w:hint="eastAsia" w:ascii="宋体" w:hAnsi="宋体" w:eastAsia="宋体" w:cs="宋体"/>
          <w:sz w:val="22"/>
          <w:szCs w:val="22"/>
        </w:rPr>
      </w:pPr>
      <w:r>
        <w:rPr>
          <w:rFonts w:hint="eastAsia" w:ascii="宋体" w:hAnsi="宋体" w:eastAsia="宋体" w:cs="宋体"/>
          <w:sz w:val="22"/>
          <w:szCs w:val="22"/>
        </w:rPr>
        <w:t xml:space="preserve">★3.潮气量（VT）：0，20mL ～ 1500 mL  </w:t>
      </w:r>
    </w:p>
    <w:p>
      <w:pPr>
        <w:rPr>
          <w:rFonts w:hint="eastAsia" w:ascii="宋体" w:hAnsi="宋体" w:eastAsia="宋体" w:cs="宋体"/>
          <w:sz w:val="22"/>
          <w:szCs w:val="22"/>
        </w:rPr>
      </w:pPr>
      <w:r>
        <w:rPr>
          <w:rFonts w:hint="eastAsia" w:ascii="宋体" w:hAnsi="宋体" w:eastAsia="宋体" w:cs="宋体"/>
          <w:sz w:val="22"/>
          <w:szCs w:val="22"/>
        </w:rPr>
        <w:t xml:space="preserve">4.分钟最大通气量（MV）：成人  </w:t>
      </w:r>
      <w:r>
        <w:rPr>
          <w:rFonts w:hint="eastAsia" w:ascii="宋体" w:hAnsi="宋体" w:eastAsia="宋体" w:cs="宋体"/>
          <w:sz w:val="22"/>
          <w:szCs w:val="22"/>
        </w:rPr>
        <w:tab/>
      </w:r>
      <w:r>
        <w:rPr>
          <w:rFonts w:hint="eastAsia" w:ascii="宋体" w:hAnsi="宋体" w:eastAsia="宋体" w:cs="宋体"/>
          <w:sz w:val="22"/>
          <w:szCs w:val="22"/>
        </w:rPr>
        <w:t xml:space="preserve">≥18 L/min、儿童  </w:t>
      </w:r>
      <w:r>
        <w:rPr>
          <w:rFonts w:hint="eastAsia" w:ascii="宋体" w:hAnsi="宋体" w:eastAsia="宋体" w:cs="宋体"/>
          <w:sz w:val="22"/>
          <w:szCs w:val="22"/>
        </w:rPr>
        <w:tab/>
      </w:r>
      <w:r>
        <w:rPr>
          <w:rFonts w:hint="eastAsia" w:ascii="宋体" w:hAnsi="宋体" w:eastAsia="宋体" w:cs="宋体"/>
          <w:sz w:val="22"/>
          <w:szCs w:val="22"/>
        </w:rPr>
        <w:t>≥10 L/min</w:t>
      </w:r>
    </w:p>
    <w:p>
      <w:pPr>
        <w:rPr>
          <w:rFonts w:hint="eastAsia" w:ascii="宋体" w:hAnsi="宋体" w:eastAsia="宋体" w:cs="宋体"/>
          <w:sz w:val="22"/>
          <w:szCs w:val="22"/>
        </w:rPr>
      </w:pPr>
      <w:r>
        <w:rPr>
          <w:rFonts w:hint="eastAsia" w:ascii="宋体" w:hAnsi="宋体" w:eastAsia="宋体" w:cs="宋体"/>
          <w:sz w:val="22"/>
          <w:szCs w:val="22"/>
        </w:rPr>
        <w:t>★5.频率（Freq）： 1 bpm ～ 100 bpm、(SIMV模式：1 bpm～ 40 bpm、除SIMV模式：成人 4 bpm～ 40 bpm、儿童 20bpm～ 100 bpm )</w:t>
      </w:r>
    </w:p>
    <w:p>
      <w:pPr>
        <w:rPr>
          <w:rFonts w:hint="eastAsia" w:ascii="宋体" w:hAnsi="宋体" w:eastAsia="宋体" w:cs="宋体"/>
          <w:sz w:val="22"/>
          <w:szCs w:val="22"/>
        </w:rPr>
      </w:pPr>
      <w:r>
        <w:rPr>
          <w:rFonts w:hint="eastAsia" w:ascii="宋体" w:hAnsi="宋体" w:eastAsia="宋体" w:cs="宋体"/>
          <w:sz w:val="22"/>
          <w:szCs w:val="22"/>
        </w:rPr>
        <w:t>6.吸呼比：成人 4:1（1:0.25） ～ 1:8、儿童 2:1（1:0.5） ～ 1:8、（吸气时间0.2 s ～ 12.0 s）</w:t>
      </w:r>
    </w:p>
    <w:p>
      <w:pPr>
        <w:rPr>
          <w:rFonts w:hint="eastAsia" w:ascii="宋体" w:hAnsi="宋体" w:eastAsia="宋体" w:cs="宋体"/>
          <w:sz w:val="22"/>
          <w:szCs w:val="22"/>
        </w:rPr>
      </w:pPr>
      <w:r>
        <w:rPr>
          <w:rFonts w:hint="eastAsia" w:ascii="宋体" w:hAnsi="宋体" w:eastAsia="宋体" w:cs="宋体"/>
          <w:sz w:val="22"/>
          <w:szCs w:val="22"/>
        </w:rPr>
        <w:t>7.呼气末正压（PEEP）：</w:t>
      </w:r>
      <w:r>
        <w:rPr>
          <w:rFonts w:hint="eastAsia" w:ascii="宋体" w:hAnsi="宋体"/>
          <w:sz w:val="24"/>
          <w:lang w:val="pt-PT"/>
        </w:rPr>
        <w:t>0 cmH</w:t>
      </w:r>
      <w:r>
        <w:rPr>
          <w:rFonts w:hint="eastAsia" w:ascii="宋体" w:hAnsi="宋体"/>
          <w:sz w:val="24"/>
          <w:vertAlign w:val="subscript"/>
          <w:lang w:val="pt-PT"/>
        </w:rPr>
        <w:t>2</w:t>
      </w:r>
      <w:r>
        <w:rPr>
          <w:rFonts w:hint="eastAsia" w:ascii="宋体" w:hAnsi="宋体"/>
          <w:sz w:val="24"/>
          <w:lang w:val="pt-PT"/>
        </w:rPr>
        <w:t>O ～ 30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 xml:space="preserve">  </w:t>
      </w:r>
    </w:p>
    <w:p>
      <w:pPr>
        <w:rPr>
          <w:rFonts w:hint="eastAsia" w:ascii="宋体" w:hAnsi="宋体" w:eastAsia="宋体" w:cs="宋体"/>
          <w:sz w:val="22"/>
          <w:szCs w:val="22"/>
        </w:rPr>
      </w:pPr>
      <w:r>
        <w:rPr>
          <w:rFonts w:hint="eastAsia" w:ascii="宋体" w:hAnsi="宋体" w:eastAsia="宋体" w:cs="宋体"/>
          <w:sz w:val="22"/>
          <w:szCs w:val="22"/>
        </w:rPr>
        <w:t>8.压力触发灵敏度（PTr）：</w:t>
      </w:r>
      <w:r>
        <w:rPr>
          <w:rFonts w:hint="eastAsia" w:ascii="宋体" w:hAnsi="宋体"/>
          <w:sz w:val="24"/>
          <w:lang w:val="pt-PT"/>
        </w:rPr>
        <w:t>－</w:t>
      </w:r>
      <w:r>
        <w:rPr>
          <w:rFonts w:ascii="宋体" w:hAnsi="宋体"/>
          <w:sz w:val="24"/>
          <w:lang w:val="pt-PT"/>
        </w:rPr>
        <w:t>20</w:t>
      </w:r>
      <w:r>
        <w:rPr>
          <w:rFonts w:hint="eastAsia" w:ascii="宋体" w:hAnsi="宋体"/>
          <w:sz w:val="24"/>
          <w:lang w:val="pt-PT"/>
        </w:rPr>
        <w:t xml:space="preserve"> cmH</w:t>
      </w:r>
      <w:r>
        <w:rPr>
          <w:rFonts w:hint="eastAsia" w:ascii="宋体" w:hAnsi="宋体"/>
          <w:sz w:val="24"/>
          <w:vertAlign w:val="subscript"/>
          <w:lang w:val="pt-PT"/>
        </w:rPr>
        <w:t>2</w:t>
      </w:r>
      <w:r>
        <w:rPr>
          <w:rFonts w:hint="eastAsia" w:ascii="宋体" w:hAnsi="宋体"/>
          <w:sz w:val="24"/>
          <w:lang w:val="pt-PT"/>
        </w:rPr>
        <w:t xml:space="preserve">O </w:t>
      </w:r>
      <w:r>
        <w:rPr>
          <w:rFonts w:hint="eastAsia" w:ascii="宋体" w:hAnsi="宋体"/>
          <w:sz w:val="24"/>
        </w:rPr>
        <w:t>～</w:t>
      </w:r>
      <w:r>
        <w:rPr>
          <w:rFonts w:hint="eastAsia" w:ascii="宋体" w:hAnsi="宋体"/>
          <w:sz w:val="24"/>
          <w:lang w:val="pt-PT"/>
        </w:rPr>
        <w:t xml:space="preserve"> 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（基于PEEP）</w:t>
      </w:r>
    </w:p>
    <w:p>
      <w:pPr>
        <w:rPr>
          <w:rFonts w:hint="eastAsia" w:ascii="宋体" w:hAnsi="宋体" w:eastAsia="宋体" w:cs="宋体"/>
          <w:sz w:val="22"/>
          <w:szCs w:val="22"/>
        </w:rPr>
      </w:pPr>
      <w:r>
        <w:rPr>
          <w:rFonts w:hint="eastAsia" w:ascii="宋体" w:hAnsi="宋体" w:eastAsia="宋体" w:cs="宋体"/>
          <w:sz w:val="22"/>
          <w:szCs w:val="22"/>
        </w:rPr>
        <w:t>9.流量触发灵敏度（FTr）： 关闭， 0.5 L/min ～ 30 L/min</w:t>
      </w:r>
    </w:p>
    <w:p>
      <w:pPr>
        <w:rPr>
          <w:rFonts w:hint="eastAsia" w:ascii="宋体" w:hAnsi="宋体" w:eastAsia="宋体" w:cs="宋体"/>
          <w:sz w:val="22"/>
          <w:szCs w:val="22"/>
        </w:rPr>
      </w:pPr>
      <w:r>
        <w:rPr>
          <w:rFonts w:hint="eastAsia" w:ascii="宋体" w:hAnsi="宋体" w:eastAsia="宋体" w:cs="宋体"/>
          <w:sz w:val="22"/>
          <w:szCs w:val="22"/>
        </w:rPr>
        <w:t>10.压力控制（Pc）：</w:t>
      </w:r>
      <w:r>
        <w:rPr>
          <w:rFonts w:hint="eastAsia" w:ascii="宋体" w:hAnsi="宋体"/>
          <w:color w:val="000000"/>
          <w:sz w:val="24"/>
          <w:lang w:val="pt-PT"/>
        </w:rPr>
        <w:t xml:space="preserve">5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color w:val="000000"/>
          <w:sz w:val="24"/>
          <w:lang w:val="pt-PT"/>
        </w:rPr>
        <w:t xml:space="preserve"> </w:t>
      </w:r>
      <w:r>
        <w:rPr>
          <w:rFonts w:hint="eastAsia" w:ascii="宋体" w:hAnsi="宋体"/>
          <w:color w:val="000000"/>
          <w:sz w:val="24"/>
        </w:rPr>
        <w:t>～</w:t>
      </w:r>
      <w:r>
        <w:rPr>
          <w:rFonts w:hint="eastAsia" w:ascii="宋体" w:hAnsi="宋体"/>
          <w:color w:val="000000"/>
          <w:sz w:val="24"/>
          <w:lang w:val="pt-PT"/>
        </w:rPr>
        <w:t xml:space="preserve"> 60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 xml:space="preserve"> </w:t>
      </w:r>
    </w:p>
    <w:p>
      <w:pPr>
        <w:rPr>
          <w:rFonts w:hint="eastAsia" w:ascii="宋体" w:hAnsi="宋体" w:eastAsia="宋体" w:cs="宋体"/>
          <w:sz w:val="22"/>
          <w:szCs w:val="22"/>
        </w:rPr>
      </w:pPr>
      <w:r>
        <w:rPr>
          <w:rFonts w:hint="eastAsia" w:ascii="宋体" w:hAnsi="宋体" w:eastAsia="宋体" w:cs="宋体"/>
          <w:sz w:val="22"/>
          <w:szCs w:val="22"/>
        </w:rPr>
        <w:t>★11.屏气时间（吸气末屏气、吸气平台）（TIP）0 ～ 6s(0 % ～ 50 % 吸气时间)</w:t>
      </w:r>
    </w:p>
    <w:p>
      <w:pPr>
        <w:rPr>
          <w:rFonts w:hint="eastAsia" w:ascii="宋体" w:hAnsi="宋体" w:eastAsia="宋体" w:cs="宋体"/>
          <w:sz w:val="22"/>
          <w:szCs w:val="22"/>
        </w:rPr>
      </w:pPr>
      <w:r>
        <w:rPr>
          <w:rFonts w:hint="eastAsia" w:ascii="宋体" w:hAnsi="宋体" w:eastAsia="宋体" w:cs="宋体"/>
          <w:sz w:val="22"/>
          <w:szCs w:val="22"/>
        </w:rPr>
        <w:t xml:space="preserve">12.叹息通气（SIGH）： 0（OFF）,1 ～ 5 (/100)                </w:t>
      </w:r>
    </w:p>
    <w:p>
      <w:pPr>
        <w:rPr>
          <w:rFonts w:hint="eastAsia" w:ascii="宋体" w:hAnsi="宋体" w:eastAsia="宋体" w:cs="宋体"/>
          <w:sz w:val="22"/>
          <w:szCs w:val="22"/>
        </w:rPr>
      </w:pPr>
      <w:r>
        <w:rPr>
          <w:rFonts w:hint="eastAsia" w:ascii="宋体" w:hAnsi="宋体" w:eastAsia="宋体" w:cs="宋体"/>
          <w:sz w:val="22"/>
          <w:szCs w:val="22"/>
        </w:rPr>
        <w:t>13.窒息通气： OFF，5 s　～ 60 s</w:t>
      </w:r>
    </w:p>
    <w:p>
      <w:pPr>
        <w:rPr>
          <w:rFonts w:hint="eastAsia" w:ascii="宋体" w:hAnsi="宋体" w:eastAsia="宋体" w:cs="宋体"/>
          <w:sz w:val="22"/>
          <w:szCs w:val="22"/>
        </w:rPr>
      </w:pPr>
      <w:r>
        <w:rPr>
          <w:rFonts w:hint="eastAsia" w:ascii="宋体" w:hAnsi="宋体" w:eastAsia="宋体" w:cs="宋体"/>
          <w:sz w:val="22"/>
          <w:szCs w:val="22"/>
        </w:rPr>
        <w:t xml:space="preserve">14.压力限制： </w:t>
      </w:r>
      <w:r>
        <w:rPr>
          <w:rFonts w:hint="eastAsia" w:ascii="宋体" w:hAnsi="宋体"/>
          <w:sz w:val="24"/>
          <w:lang w:val="pt-PT"/>
        </w:rPr>
        <w:t>20 cmH</w:t>
      </w:r>
      <w:r>
        <w:rPr>
          <w:rFonts w:hint="eastAsia" w:ascii="宋体" w:hAnsi="宋体"/>
          <w:sz w:val="24"/>
          <w:vertAlign w:val="subscript"/>
          <w:lang w:val="pt-PT"/>
        </w:rPr>
        <w:t>2</w:t>
      </w:r>
      <w:r>
        <w:rPr>
          <w:rFonts w:hint="eastAsia" w:ascii="宋体" w:hAnsi="宋体"/>
          <w:sz w:val="24"/>
          <w:lang w:val="pt-PT"/>
        </w:rPr>
        <w:t>O ～ 100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p>
    <w:p>
      <w:pPr>
        <w:rPr>
          <w:rFonts w:hint="eastAsia" w:ascii="宋体" w:hAnsi="宋体" w:eastAsia="宋体" w:cs="宋体"/>
          <w:sz w:val="22"/>
          <w:szCs w:val="22"/>
        </w:rPr>
      </w:pPr>
      <w:r>
        <w:rPr>
          <w:rFonts w:hint="eastAsia" w:ascii="宋体" w:hAnsi="宋体" w:eastAsia="宋体" w:cs="宋体"/>
          <w:sz w:val="22"/>
          <w:szCs w:val="22"/>
        </w:rPr>
        <w:t>监测参数</w:t>
      </w:r>
    </w:p>
    <w:p>
      <w:pPr>
        <w:rPr>
          <w:rFonts w:hint="eastAsia" w:ascii="宋体" w:hAnsi="宋体" w:eastAsia="宋体" w:cs="宋体"/>
          <w:sz w:val="22"/>
          <w:szCs w:val="22"/>
        </w:rPr>
      </w:pPr>
      <w:r>
        <w:rPr>
          <w:rFonts w:hint="eastAsia" w:ascii="宋体" w:hAnsi="宋体" w:eastAsia="宋体" w:cs="宋体"/>
          <w:sz w:val="22"/>
          <w:szCs w:val="22"/>
        </w:rPr>
        <w:t>1.频率（Freq）： 0 /min ～ 100 /min</w:t>
      </w:r>
    </w:p>
    <w:p>
      <w:pPr>
        <w:rPr>
          <w:rFonts w:hint="eastAsia" w:ascii="宋体" w:hAnsi="宋体" w:eastAsia="宋体" w:cs="宋体"/>
          <w:sz w:val="22"/>
          <w:szCs w:val="22"/>
        </w:rPr>
      </w:pPr>
      <w:r>
        <w:rPr>
          <w:rFonts w:hint="eastAsia" w:ascii="宋体" w:hAnsi="宋体" w:eastAsia="宋体" w:cs="宋体"/>
          <w:sz w:val="22"/>
          <w:szCs w:val="22"/>
        </w:rPr>
        <w:t>2.潮气量（VT）：0 mL ～ 2000 mL</w:t>
      </w:r>
    </w:p>
    <w:p>
      <w:pPr>
        <w:rPr>
          <w:rFonts w:hint="eastAsia" w:ascii="宋体" w:hAnsi="宋体" w:eastAsia="宋体" w:cs="宋体"/>
          <w:sz w:val="22"/>
          <w:szCs w:val="22"/>
        </w:rPr>
      </w:pPr>
      <w:r>
        <w:rPr>
          <w:rFonts w:hint="eastAsia" w:ascii="宋体" w:hAnsi="宋体" w:eastAsia="宋体" w:cs="宋体"/>
          <w:sz w:val="22"/>
          <w:szCs w:val="22"/>
        </w:rPr>
        <w:t xml:space="preserve">3.分钟通气量（MV）：0 L/min ～ 100 L/min                                                                        </w:t>
      </w:r>
    </w:p>
    <w:p>
      <w:pPr>
        <w:rPr>
          <w:rFonts w:hint="eastAsia" w:ascii="宋体" w:hAnsi="宋体" w:eastAsia="宋体" w:cs="宋体"/>
          <w:sz w:val="22"/>
          <w:szCs w:val="22"/>
        </w:rPr>
      </w:pPr>
      <w:r>
        <w:rPr>
          <w:rFonts w:hint="eastAsia" w:ascii="宋体" w:hAnsi="宋体" w:eastAsia="宋体" w:cs="宋体"/>
          <w:sz w:val="22"/>
          <w:szCs w:val="22"/>
        </w:rPr>
        <w:t>4.气道压力： 0 cmH2O ～ 100 cmH2O</w:t>
      </w:r>
    </w:p>
    <w:p>
      <w:pPr>
        <w:rPr>
          <w:rFonts w:hint="eastAsia" w:ascii="宋体" w:hAnsi="宋体" w:eastAsia="宋体" w:cs="宋体"/>
          <w:sz w:val="22"/>
          <w:szCs w:val="22"/>
        </w:rPr>
      </w:pPr>
      <w:r>
        <w:rPr>
          <w:rFonts w:hint="eastAsia" w:ascii="宋体" w:hAnsi="宋体" w:eastAsia="宋体" w:cs="宋体"/>
          <w:sz w:val="22"/>
          <w:szCs w:val="22"/>
        </w:rPr>
        <w:t xml:space="preserve">5.患者动态肺顺应性监测 ：1mL/cmH2O ～ 1000 mL/cmH2O </w:t>
      </w:r>
    </w:p>
    <w:p>
      <w:pPr>
        <w:rPr>
          <w:rFonts w:hint="eastAsia" w:ascii="宋体" w:hAnsi="宋体" w:eastAsia="宋体" w:cs="宋体"/>
          <w:sz w:val="22"/>
          <w:szCs w:val="22"/>
        </w:rPr>
      </w:pPr>
      <w:r>
        <w:rPr>
          <w:rFonts w:hint="eastAsia" w:ascii="宋体" w:hAnsi="宋体" w:eastAsia="宋体" w:cs="宋体"/>
          <w:sz w:val="22"/>
          <w:szCs w:val="22"/>
        </w:rPr>
        <w:t xml:space="preserve"> ★6.吸入氧浓度： 15 % ～ 100 %</w:t>
      </w:r>
    </w:p>
    <w:p>
      <w:pPr>
        <w:rPr>
          <w:rFonts w:hint="eastAsia" w:ascii="宋体" w:hAnsi="宋体" w:eastAsia="宋体" w:cs="宋体"/>
          <w:sz w:val="22"/>
          <w:szCs w:val="22"/>
        </w:rPr>
      </w:pPr>
      <w:r>
        <w:rPr>
          <w:rFonts w:hint="eastAsia" w:ascii="宋体" w:hAnsi="宋体" w:eastAsia="宋体" w:cs="宋体"/>
          <w:sz w:val="22"/>
          <w:szCs w:val="22"/>
        </w:rPr>
        <w:t xml:space="preserve"> ★图形显示：</w:t>
      </w:r>
    </w:p>
    <w:p>
      <w:pPr>
        <w:rPr>
          <w:rFonts w:hint="eastAsia" w:ascii="宋体" w:hAnsi="宋体" w:eastAsia="宋体" w:cs="宋体"/>
          <w:sz w:val="22"/>
          <w:szCs w:val="22"/>
        </w:rPr>
      </w:pPr>
      <w:r>
        <w:rPr>
          <w:rFonts w:hint="eastAsia" w:ascii="宋体" w:hAnsi="宋体" w:eastAsia="宋体" w:cs="宋体"/>
          <w:sz w:val="22"/>
          <w:szCs w:val="22"/>
        </w:rPr>
        <w:t>1.气道压力—时间波形图</w:t>
      </w:r>
    </w:p>
    <w:p>
      <w:pPr>
        <w:rPr>
          <w:rFonts w:hint="eastAsia" w:ascii="宋体" w:hAnsi="宋体" w:eastAsia="宋体" w:cs="宋体"/>
          <w:sz w:val="22"/>
          <w:szCs w:val="22"/>
        </w:rPr>
      </w:pPr>
      <w:r>
        <w:rPr>
          <w:rFonts w:hint="eastAsia" w:ascii="宋体" w:hAnsi="宋体" w:eastAsia="宋体" w:cs="宋体"/>
          <w:sz w:val="22"/>
          <w:szCs w:val="22"/>
        </w:rPr>
        <w:t>2.流量—时间波形图</w:t>
      </w:r>
    </w:p>
    <w:p>
      <w:pPr>
        <w:rPr>
          <w:rFonts w:hint="eastAsia" w:ascii="宋体" w:hAnsi="宋体" w:eastAsia="宋体" w:cs="宋体"/>
          <w:sz w:val="22"/>
          <w:szCs w:val="22"/>
        </w:rPr>
      </w:pPr>
      <w:r>
        <w:rPr>
          <w:rFonts w:hint="eastAsia" w:ascii="宋体" w:hAnsi="宋体" w:eastAsia="宋体" w:cs="宋体"/>
          <w:sz w:val="22"/>
          <w:szCs w:val="22"/>
        </w:rPr>
        <w:t>3.压力容量环</w:t>
      </w:r>
    </w:p>
    <w:p>
      <w:pPr>
        <w:rPr>
          <w:rFonts w:hint="eastAsia" w:ascii="宋体" w:hAnsi="宋体" w:eastAsia="宋体" w:cs="宋体"/>
          <w:sz w:val="22"/>
          <w:szCs w:val="22"/>
        </w:rPr>
      </w:pPr>
      <w:r>
        <w:rPr>
          <w:rFonts w:hint="eastAsia" w:ascii="宋体" w:hAnsi="宋体" w:eastAsia="宋体" w:cs="宋体"/>
          <w:sz w:val="22"/>
          <w:szCs w:val="22"/>
        </w:rPr>
        <w:t xml:space="preserve">报警及保护 </w:t>
      </w:r>
    </w:p>
    <w:p>
      <w:pPr>
        <w:rPr>
          <w:rFonts w:hint="eastAsia" w:ascii="宋体" w:hAnsi="宋体" w:eastAsia="宋体" w:cs="宋体"/>
          <w:sz w:val="22"/>
          <w:szCs w:val="22"/>
        </w:rPr>
      </w:pPr>
      <w:r>
        <w:rPr>
          <w:rFonts w:hint="eastAsia" w:ascii="宋体" w:hAnsi="宋体" w:eastAsia="宋体" w:cs="宋体"/>
          <w:sz w:val="22"/>
          <w:szCs w:val="22"/>
        </w:rPr>
        <w:t>1.交流电源断电报警</w:t>
      </w:r>
    </w:p>
    <w:p>
      <w:pPr>
        <w:rPr>
          <w:rFonts w:hint="eastAsia" w:ascii="宋体" w:hAnsi="宋体" w:eastAsia="宋体" w:cs="宋体"/>
          <w:sz w:val="22"/>
          <w:szCs w:val="22"/>
        </w:rPr>
      </w:pPr>
      <w:r>
        <w:rPr>
          <w:rFonts w:hint="eastAsia" w:ascii="宋体" w:hAnsi="宋体" w:eastAsia="宋体" w:cs="宋体"/>
          <w:sz w:val="22"/>
          <w:szCs w:val="22"/>
        </w:rPr>
        <w:t>2.内部备用电源电池电压欠压报警</w:t>
      </w:r>
    </w:p>
    <w:p>
      <w:pPr>
        <w:rPr>
          <w:rFonts w:hint="eastAsia" w:ascii="宋体" w:hAnsi="宋体" w:eastAsia="宋体" w:cs="宋体"/>
          <w:sz w:val="22"/>
          <w:szCs w:val="22"/>
        </w:rPr>
      </w:pPr>
      <w:r>
        <w:rPr>
          <w:rFonts w:hint="eastAsia" w:ascii="宋体" w:hAnsi="宋体" w:eastAsia="宋体" w:cs="宋体"/>
          <w:sz w:val="22"/>
          <w:szCs w:val="22"/>
        </w:rPr>
        <w:t>3.无潮气量报警</w:t>
      </w:r>
    </w:p>
    <w:p>
      <w:pPr>
        <w:rPr>
          <w:rFonts w:hint="eastAsia" w:ascii="宋体" w:hAnsi="宋体" w:eastAsia="宋体" w:cs="宋体"/>
          <w:sz w:val="22"/>
          <w:szCs w:val="22"/>
        </w:rPr>
      </w:pPr>
      <w:r>
        <w:rPr>
          <w:rFonts w:hint="eastAsia" w:ascii="宋体" w:hAnsi="宋体" w:eastAsia="宋体" w:cs="宋体"/>
          <w:sz w:val="22"/>
          <w:szCs w:val="22"/>
        </w:rPr>
        <w:t>4.高（低）通气量报警</w:t>
      </w:r>
    </w:p>
    <w:p>
      <w:pPr>
        <w:rPr>
          <w:rFonts w:hint="eastAsia" w:ascii="宋体" w:hAnsi="宋体" w:eastAsia="宋体" w:cs="宋体"/>
          <w:sz w:val="22"/>
          <w:szCs w:val="22"/>
        </w:rPr>
      </w:pPr>
      <w:r>
        <w:rPr>
          <w:rFonts w:hint="eastAsia" w:ascii="宋体" w:hAnsi="宋体" w:eastAsia="宋体" w:cs="宋体"/>
          <w:sz w:val="22"/>
          <w:szCs w:val="22"/>
        </w:rPr>
        <w:t>5.气道高（低）压报警</w:t>
      </w:r>
    </w:p>
    <w:p>
      <w:pPr>
        <w:rPr>
          <w:rFonts w:hint="eastAsia" w:ascii="宋体" w:hAnsi="宋体" w:eastAsia="宋体" w:cs="宋体"/>
          <w:sz w:val="22"/>
          <w:szCs w:val="22"/>
        </w:rPr>
      </w:pPr>
      <w:r>
        <w:rPr>
          <w:rFonts w:hint="eastAsia" w:ascii="宋体" w:hAnsi="宋体" w:eastAsia="宋体" w:cs="宋体"/>
          <w:sz w:val="22"/>
          <w:szCs w:val="22"/>
        </w:rPr>
        <w:t>6.压力限制</w:t>
      </w:r>
    </w:p>
    <w:p>
      <w:pPr>
        <w:rPr>
          <w:rFonts w:hint="eastAsia" w:ascii="宋体" w:hAnsi="宋体" w:eastAsia="宋体" w:cs="宋体"/>
          <w:sz w:val="22"/>
          <w:szCs w:val="22"/>
        </w:rPr>
      </w:pPr>
      <w:r>
        <w:rPr>
          <w:rFonts w:hint="eastAsia" w:ascii="宋体" w:hAnsi="宋体" w:eastAsia="宋体" w:cs="宋体"/>
          <w:sz w:val="22"/>
          <w:szCs w:val="22"/>
        </w:rPr>
        <w:t xml:space="preserve">7.持续压力报警  </w:t>
      </w:r>
    </w:p>
    <w:p>
      <w:pPr>
        <w:rPr>
          <w:rFonts w:hint="eastAsia" w:ascii="宋体" w:hAnsi="宋体" w:eastAsia="宋体" w:cs="宋体"/>
          <w:sz w:val="22"/>
          <w:szCs w:val="22"/>
        </w:rPr>
      </w:pPr>
      <w:r>
        <w:rPr>
          <w:rFonts w:hint="eastAsia" w:ascii="宋体" w:hAnsi="宋体" w:eastAsia="宋体" w:cs="宋体"/>
          <w:sz w:val="22"/>
          <w:szCs w:val="22"/>
        </w:rPr>
        <w:t>8.高（低）氧浓度报警</w:t>
      </w:r>
    </w:p>
    <w:p>
      <w:pPr>
        <w:rPr>
          <w:rFonts w:hint="eastAsia" w:ascii="宋体" w:hAnsi="宋体" w:eastAsia="宋体" w:cs="宋体"/>
          <w:sz w:val="22"/>
          <w:szCs w:val="22"/>
        </w:rPr>
      </w:pPr>
      <w:r>
        <w:rPr>
          <w:rFonts w:hint="eastAsia" w:ascii="宋体" w:hAnsi="宋体" w:eastAsia="宋体" w:cs="宋体"/>
          <w:sz w:val="22"/>
          <w:szCs w:val="22"/>
        </w:rPr>
        <w:t>9.窒息报警</w:t>
      </w:r>
    </w:p>
    <w:p>
      <w:pPr>
        <w:rPr>
          <w:rFonts w:hint="eastAsia" w:ascii="宋体" w:hAnsi="宋体" w:eastAsia="宋体" w:cs="宋体"/>
          <w:sz w:val="22"/>
          <w:szCs w:val="22"/>
        </w:rPr>
      </w:pPr>
      <w:r>
        <w:rPr>
          <w:rFonts w:hint="eastAsia" w:ascii="宋体" w:hAnsi="宋体" w:eastAsia="宋体" w:cs="宋体"/>
          <w:sz w:val="22"/>
          <w:szCs w:val="22"/>
        </w:rPr>
        <w:t>10.最大极限压力  ＜12.5 kPa 报警</w:t>
      </w:r>
    </w:p>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G</w:t>
      </w:r>
      <w:r>
        <w:rPr>
          <w:rFonts w:hint="eastAsia" w:asciiTheme="minorEastAsia" w:hAnsiTheme="minorEastAsia" w:eastAsiaTheme="minorEastAsia" w:cstheme="minorEastAsia"/>
          <w:b/>
          <w:bCs/>
          <w:sz w:val="28"/>
          <w:szCs w:val="32"/>
          <w:lang w:eastAsia="zh-CN"/>
        </w:rPr>
        <w:t>包</w:t>
      </w:r>
      <w:r>
        <w:rPr>
          <w:rFonts w:hint="eastAsia" w:asciiTheme="minorEastAsia" w:hAnsiTheme="minorEastAsia" w:eastAsiaTheme="minorEastAsia" w:cstheme="minorEastAsia"/>
          <w:b/>
          <w:bCs/>
          <w:sz w:val="28"/>
          <w:szCs w:val="32"/>
          <w:lang w:val="en-US" w:eastAsia="zh-CN"/>
        </w:rPr>
        <w:t>：电动移位机</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w:t>
      </w:r>
      <w:r>
        <w:rPr>
          <w:rFonts w:hint="eastAsia" w:asciiTheme="minorEastAsia" w:hAnsiTheme="minorEastAsia" w:cstheme="minorEastAsia"/>
          <w:b/>
          <w:bCs/>
          <w:sz w:val="28"/>
          <w:szCs w:val="32"/>
          <w:lang w:val="en-US" w:eastAsia="zh-CN"/>
        </w:rPr>
        <w:t>台</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rPr>
          <w:rFonts w:hint="eastAsia" w:ascii="宋体" w:hAnsi="宋体" w:eastAsia="宋体" w:cs="宋体"/>
          <w:sz w:val="22"/>
          <w:szCs w:val="22"/>
        </w:rPr>
      </w:pPr>
      <w:r>
        <w:rPr>
          <w:rFonts w:hint="eastAsia" w:ascii="宋体" w:hAnsi="宋体" w:eastAsia="宋体" w:cs="宋体"/>
          <w:sz w:val="22"/>
          <w:szCs w:val="22"/>
        </w:rPr>
        <w:t xml:space="preserve">1.1安全工作承重：标准吊臂 227 kg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整机通过高度：1402 – 2213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可通过门廊最小宽度：717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提升行程：1348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5</w:t>
      </w:r>
      <w:r>
        <w:rPr>
          <w:rFonts w:hint="eastAsia" w:ascii="宋体" w:hAnsi="宋体" w:eastAsia="宋体" w:cs="宋体"/>
          <w:sz w:val="22"/>
          <w:szCs w:val="22"/>
        </w:rPr>
        <w:t xml:space="preserve">最小提升高度（中号DPS吊架）：227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6</w:t>
      </w:r>
      <w:r>
        <w:rPr>
          <w:rFonts w:hint="eastAsia" w:ascii="宋体" w:hAnsi="宋体" w:eastAsia="宋体" w:cs="宋体"/>
          <w:sz w:val="22"/>
          <w:szCs w:val="22"/>
        </w:rPr>
        <w:t xml:space="preserve">最大提升高度（中号DPS吊架）：1575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7</w:t>
      </w:r>
      <w:r>
        <w:rPr>
          <w:rFonts w:hint="eastAsia" w:ascii="宋体" w:hAnsi="宋体" w:eastAsia="宋体" w:cs="宋体"/>
          <w:sz w:val="22"/>
          <w:szCs w:val="22"/>
        </w:rPr>
        <w:t xml:space="preserve">底盘高度（标准底座）：115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8</w:t>
      </w:r>
      <w:r>
        <w:rPr>
          <w:rFonts w:hint="eastAsia" w:ascii="宋体" w:hAnsi="宋体" w:eastAsia="宋体" w:cs="宋体"/>
          <w:sz w:val="22"/>
          <w:szCs w:val="22"/>
        </w:rPr>
        <w:t xml:space="preserve">底盘下方高度：25 mm </w:t>
      </w:r>
    </w:p>
    <w:p>
      <w:pPr>
        <w:rPr>
          <w:rFonts w:hint="eastAsia" w:ascii="宋体" w:hAnsi="宋体" w:eastAsia="宋体" w:cs="宋体"/>
          <w:sz w:val="22"/>
          <w:szCs w:val="22"/>
        </w:rPr>
      </w:pPr>
      <w:r>
        <w:rPr>
          <w:rFonts w:hint="eastAsia" w:ascii="宋体" w:hAnsi="宋体" w:eastAsia="宋体" w:cs="宋体"/>
          <w:sz w:val="22"/>
          <w:szCs w:val="22"/>
          <w:lang w:val="en-US" w:eastAsia="zh-CN"/>
        </w:rPr>
        <w:t>1.9</w:t>
      </w:r>
      <w:r>
        <w:rPr>
          <w:rFonts w:hint="eastAsia" w:ascii="宋体" w:hAnsi="宋体" w:eastAsia="宋体" w:cs="宋体"/>
          <w:sz w:val="22"/>
          <w:szCs w:val="22"/>
        </w:rPr>
        <w:t xml:space="preserve">底盘宽度（外边缘）：718 - 1196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0</w:t>
      </w:r>
      <w:r>
        <w:rPr>
          <w:rFonts w:hint="eastAsia" w:ascii="宋体" w:hAnsi="宋体" w:eastAsia="宋体" w:cs="宋体"/>
          <w:sz w:val="22"/>
          <w:szCs w:val="22"/>
        </w:rPr>
        <w:t xml:space="preserve">底盘宽度（内边缘）：578 – 1074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转弯直径：1222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控制装置操作力：2.5 - 3N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Maxi Move防护等级：IP24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手持控制器防护等级：IPX7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5</w:t>
      </w:r>
      <w:r>
        <w:rPr>
          <w:rFonts w:hint="eastAsia" w:ascii="宋体" w:hAnsi="宋体" w:eastAsia="宋体" w:cs="宋体"/>
          <w:sz w:val="22"/>
          <w:szCs w:val="22"/>
        </w:rPr>
        <w:t xml:space="preserve">电击防护等级：BF 类，符合 IEC 60601-1 的防电击保护标准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6</w:t>
      </w:r>
      <w:r>
        <w:rPr>
          <w:rFonts w:hint="eastAsia" w:ascii="宋体" w:hAnsi="宋体" w:eastAsia="宋体" w:cs="宋体"/>
          <w:sz w:val="22"/>
          <w:szCs w:val="22"/>
        </w:rPr>
        <w:t xml:space="preserve">电池类型：可充电电池（密封铅酸电池），24 V DC，4.0 Ah - 5.5 Ah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7</w:t>
      </w:r>
      <w:r>
        <w:rPr>
          <w:rFonts w:hint="eastAsia" w:ascii="宋体" w:hAnsi="宋体" w:eastAsia="宋体" w:cs="宋体"/>
          <w:sz w:val="22"/>
          <w:szCs w:val="22"/>
        </w:rPr>
        <w:t>手持控制器显示屏：称重重量显示，电池电量显示，执行器状态显示</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8</w:t>
      </w:r>
      <w:r>
        <w:rPr>
          <w:rFonts w:hint="eastAsia" w:ascii="宋体" w:hAnsi="宋体" w:eastAsia="宋体" w:cs="宋体"/>
          <w:sz w:val="22"/>
          <w:szCs w:val="22"/>
        </w:rPr>
        <w:t xml:space="preserve"> 稳定垂直系统SVS：确保移位机升降时患者的稳定（抵抗摇摆）。 </w:t>
      </w:r>
    </w:p>
    <w:p>
      <w:pPr>
        <w:rPr>
          <w:rFonts w:hint="eastAsia" w:ascii="宋体" w:hAnsi="宋体" w:eastAsia="宋体" w:cs="宋体"/>
          <w:sz w:val="22"/>
          <w:szCs w:val="22"/>
        </w:rPr>
      </w:pPr>
      <w:r>
        <w:rPr>
          <w:rFonts w:hint="eastAsia" w:ascii="宋体" w:hAnsi="宋体" w:eastAsia="宋体" w:cs="宋体"/>
          <w:sz w:val="22"/>
          <w:szCs w:val="22"/>
          <w:lang w:val="en-US" w:eastAsia="zh-CN"/>
        </w:rPr>
        <w:t>2.9</w:t>
      </w:r>
      <w:r>
        <w:rPr>
          <w:rFonts w:hint="eastAsia" w:ascii="宋体" w:hAnsi="宋体" w:eastAsia="宋体" w:cs="宋体"/>
          <w:sz w:val="22"/>
          <w:szCs w:val="22"/>
        </w:rPr>
        <w:t xml:space="preserve">动态定位系统DPS：方便调节患者提升时的体位（坐立或后倾）。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0</w:t>
      </w:r>
      <w:r>
        <w:rPr>
          <w:rFonts w:hint="eastAsia" w:ascii="宋体" w:hAnsi="宋体" w:eastAsia="宋体" w:cs="宋体"/>
          <w:sz w:val="22"/>
          <w:szCs w:val="22"/>
        </w:rPr>
        <w:t xml:space="preserve">电动动态定位系统PDPS：双控制器均可操控患者提升时的体位（坐立或后倾）。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吊架更换系统（Combi快速释放系统）：快速更换不同的吊架，满足不同的护理需求。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 障碍物识别自动暂停系统：下降过程中遇障碍物自动暂停。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3</w:t>
      </w:r>
      <w:r>
        <w:rPr>
          <w:rFonts w:hint="eastAsia" w:ascii="宋体" w:hAnsi="宋体" w:eastAsia="宋体" w:cs="宋体"/>
          <w:sz w:val="22"/>
          <w:szCs w:val="22"/>
        </w:rPr>
        <w:t>称重系统：最大227 kg，精度显示0.1 kg，LCD液晶显示，称重结果存储，支持基于纬度和海拔的重力参数调节。</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双重电动控制系统：手持控制器；立柱控制面板。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5</w:t>
      </w:r>
      <w:r>
        <w:rPr>
          <w:rFonts w:hint="eastAsia" w:ascii="宋体" w:hAnsi="宋体" w:eastAsia="宋体" w:cs="宋体"/>
          <w:sz w:val="22"/>
          <w:szCs w:val="22"/>
        </w:rPr>
        <w:t>可选配最多8种吊架，160个以上吊兜，以适应不同体形、体重患者的多种护理需求</w:t>
      </w:r>
    </w:p>
    <w:p>
      <w:pPr>
        <w:pStyle w:val="36"/>
        <w:rPr>
          <w:rFonts w:hint="eastAsia" w:ascii="宋体" w:hAnsi="宋体" w:eastAsia="宋体" w:cs="宋体"/>
          <w:sz w:val="21"/>
          <w:szCs w:val="21"/>
        </w:rPr>
      </w:pPr>
    </w:p>
    <w:p>
      <w:pPr>
        <w:rPr>
          <w:rFonts w:hint="eastAsia" w:ascii="宋体" w:hAnsi="宋体" w:eastAsia="宋体" w:cs="宋体"/>
          <w:sz w:val="21"/>
          <w:szCs w:val="21"/>
        </w:rPr>
      </w:pPr>
    </w:p>
    <w:p>
      <w:pPr>
        <w:pStyle w:val="35"/>
        <w:rPr>
          <w:rFonts w:hint="eastAsia" w:ascii="宋体" w:hAnsi="宋体" w:eastAsia="宋体" w:cs="宋体"/>
          <w:sz w:val="21"/>
          <w:szCs w:val="21"/>
        </w:rPr>
      </w:pPr>
    </w:p>
    <w:p>
      <w:pPr>
        <w:pStyle w:val="36"/>
        <w:rPr>
          <w:rFonts w:hint="eastAsia" w:ascii="宋体" w:hAnsi="宋体" w:eastAsia="宋体" w:cs="宋体"/>
          <w:sz w:val="21"/>
          <w:szCs w:val="21"/>
        </w:rPr>
      </w:pPr>
    </w:p>
    <w:p>
      <w:pPr>
        <w:rPr>
          <w:rFonts w:hint="eastAsia" w:ascii="宋体" w:hAnsi="宋体" w:eastAsia="宋体" w:cs="宋体"/>
          <w:sz w:val="21"/>
          <w:szCs w:val="21"/>
        </w:rPr>
      </w:pPr>
    </w:p>
    <w:p>
      <w:pPr>
        <w:pStyle w:val="35"/>
        <w:rPr>
          <w:rFonts w:hint="eastAsia"/>
        </w:rPr>
      </w:pPr>
    </w:p>
    <w:p>
      <w:pPr>
        <w:pStyle w:val="17"/>
        <w:rPr>
          <w:rFonts w:hint="eastAsia"/>
        </w:rPr>
      </w:pPr>
      <w:r>
        <w:rPr>
          <w:rFonts w:hint="eastAsia"/>
          <w:lang w:val="en-US" w:eastAsia="zh-CN"/>
        </w:rPr>
        <w:t xml:space="preserve">              </w:t>
      </w:r>
    </w:p>
    <w:p>
      <w:pPr>
        <w:kinsoku w:val="0"/>
        <w:overflowPunct w:val="0"/>
        <w:autoSpaceDE w:val="0"/>
        <w:autoSpaceDN w:val="0"/>
        <w:adjustRightInd w:val="0"/>
        <w:spacing w:before="51"/>
        <w:jc w:val="center"/>
        <w:outlineLvl w:val="0"/>
        <w:rPr>
          <w:rFonts w:ascii="Times New Roman" w:hAnsi="Times New Roman" w:eastAsia="宋体" w:cs="Times New Roman"/>
          <w:color w:val="000000" w:themeColor="text1"/>
          <w:kern w:val="0"/>
          <w:sz w:val="32"/>
          <w:szCs w:val="32"/>
          <w14:textFill>
            <w14:solidFill>
              <w14:schemeClr w14:val="tx1"/>
            </w14:solidFill>
          </w14:textFill>
        </w:rPr>
      </w:pPr>
      <w:bookmarkStart w:id="191" w:name="_Toc30869"/>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第六章</w:t>
      </w:r>
      <w:r>
        <w:rPr>
          <w:rFonts w:ascii="Times New Roman" w:hAnsi="Times New Roman" w:eastAsia="宋体" w:cs="Times New Roman"/>
          <w:b/>
          <w:bCs/>
          <w:color w:val="000000" w:themeColor="text1"/>
          <w:spacing w:val="-9"/>
          <w:kern w:val="0"/>
          <w:sz w:val="32"/>
          <w:szCs w:val="32"/>
          <w14:textFill>
            <w14:solidFill>
              <w14:schemeClr w14:val="tx1"/>
            </w14:solidFill>
          </w14:textFill>
        </w:rPr>
        <w:t xml:space="preserve"> </w:t>
      </w:r>
      <w:r>
        <w:rPr>
          <w:rFonts w:hint="eastAsia" w:ascii="Times New Roman" w:hAnsi="Times New Roman" w:eastAsia="宋体" w:cs="Times New Roman"/>
          <w:b/>
          <w:bCs/>
          <w:color w:val="000000" w:themeColor="text1"/>
          <w:kern w:val="0"/>
          <w:sz w:val="32"/>
          <w:szCs w:val="32"/>
          <w14:textFill>
            <w14:solidFill>
              <w14:schemeClr w14:val="tx1"/>
            </w14:solidFill>
          </w14:textFill>
        </w:rPr>
        <w:t>投标文件格式</w:t>
      </w:r>
      <w:bookmarkEnd w:id="191"/>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72"/>
          <w:szCs w:val="72"/>
          <w:lang w:eastAsia="zh-CN"/>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24"/>
          <w:szCs w:val="24"/>
          <w:lang w:eastAsia="zh-CN"/>
          <w14:textFill>
            <w14:solidFill>
              <w14:schemeClr w14:val="tx1"/>
            </w14:solidFill>
          </w14:textFill>
        </w:rPr>
      </w:pPr>
      <w:r>
        <w:rPr>
          <w:rFonts w:hint="eastAsia" w:ascii="宋体" w:hAnsi="宋体" w:eastAsia="宋体" w:cs="宋体"/>
          <w:b/>
          <w:bCs/>
          <w:color w:val="000000" w:themeColor="text1"/>
          <w:spacing w:val="6"/>
          <w:kern w:val="0"/>
          <w:sz w:val="72"/>
          <w:szCs w:val="72"/>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ind w:left="855"/>
        <w:jc w:val="center"/>
        <w:rPr>
          <w:rFonts w:ascii="Times New Roman" w:hAnsi="Times New Roman" w:eastAsia="宋体" w:cs="Times New Roman"/>
          <w:color w:val="000000" w:themeColor="text1"/>
          <w:kern w:val="0"/>
          <w:sz w:val="55"/>
          <w:szCs w:val="55"/>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spacing w:before="223"/>
        <w:ind w:left="1053"/>
        <w:jc w:val="center"/>
        <w:rPr>
          <w:rFonts w:ascii="Times New Roman" w:hAnsi="Times New Roman" w:eastAsia="宋体" w:cs="Times New Roman"/>
          <w:b/>
          <w:bCs/>
          <w:color w:val="000000" w:themeColor="text1"/>
          <w:kern w:val="0"/>
          <w:sz w:val="72"/>
          <w:szCs w:val="72"/>
          <w14:textFill>
            <w14:solidFill>
              <w14:schemeClr w14:val="tx1"/>
            </w14:solidFill>
          </w14:textFill>
        </w:rPr>
      </w:pPr>
    </w:p>
    <w:p>
      <w:pPr>
        <w:kinsoku w:val="0"/>
        <w:overflowPunct w:val="0"/>
        <w:autoSpaceDE w:val="0"/>
        <w:autoSpaceDN w:val="0"/>
        <w:adjustRightInd w:val="0"/>
        <w:spacing w:before="223"/>
        <w:ind w:left="0" w:firstLine="2496" w:firstLineChars="1200"/>
        <w:jc w:val="both"/>
        <w:outlineLvl w:val="0"/>
        <w:rPr>
          <w:rFonts w:ascii="Times New Roman" w:hAnsi="Times New Roman" w:eastAsia="宋体" w:cs="Times New Roman"/>
          <w:color w:val="000000" w:themeColor="text1"/>
          <w:kern w:val="0"/>
          <w:sz w:val="72"/>
          <w:szCs w:val="72"/>
          <w14:textFill>
            <w14:solidFill>
              <w14:schemeClr w14:val="tx1"/>
            </w14:solidFill>
          </w14:textFill>
        </w:rPr>
      </w:pPr>
      <w:bookmarkStart w:id="192" w:name="_Toc20294"/>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bookmarkStart w:id="193" w:name="_Toc19884"/>
      <w:r>
        <w:rPr>
          <w:rFonts w:hint="eastAsia" w:ascii="Times New Roman" w:hAnsi="Times New Roman" w:eastAsia="宋体" w:cs="Times New Roman"/>
          <w:b/>
          <w:bCs/>
          <w:color w:val="000000" w:themeColor="text1"/>
          <w:kern w:val="0"/>
          <w:sz w:val="72"/>
          <w:szCs w:val="72"/>
          <w:lang w:eastAsia="zh-CN"/>
          <w14:textFill>
            <w14:solidFill>
              <w14:schemeClr w14:val="tx1"/>
            </w14:solidFill>
          </w14:textFill>
        </w:rPr>
        <w:t>包</w:t>
      </w:r>
      <w:r>
        <w:rPr>
          <w:rFonts w:hint="eastAsia" w:ascii="Times New Roman" w:hAnsi="Times New Roman" w:eastAsia="宋体" w:cs="Times New Roman"/>
          <w:b/>
          <w:bCs/>
          <w:color w:val="000000" w:themeColor="text1"/>
          <w:kern w:val="0"/>
          <w:sz w:val="72"/>
          <w:szCs w:val="72"/>
          <w14:textFill>
            <w14:solidFill>
              <w14:schemeClr w14:val="tx1"/>
            </w14:solidFill>
          </w14:textFill>
        </w:rPr>
        <w:t>投标文</w:t>
      </w:r>
      <w:r>
        <w:rPr>
          <w:rFonts w:hint="eastAsia" w:ascii="Times New Roman" w:hAnsi="Times New Roman" w:eastAsia="宋体" w:cs="Times New Roman"/>
          <w:b/>
          <w:bCs/>
          <w:color w:val="000000" w:themeColor="text1"/>
          <w:spacing w:val="5"/>
          <w:kern w:val="0"/>
          <w:sz w:val="72"/>
          <w:szCs w:val="72"/>
          <w14:textFill>
            <w14:solidFill>
              <w14:schemeClr w14:val="tx1"/>
            </w14:solidFill>
          </w14:textFill>
        </w:rPr>
        <w:t>件</w:t>
      </w:r>
      <w:bookmarkEnd w:id="192"/>
      <w:bookmarkEnd w:id="193"/>
      <w:r>
        <w:rPr>
          <w:rFonts w:ascii="Times New Roman" w:hAnsi="Times New Roman" w:eastAsia="宋体" w:cs="Times New Roman"/>
          <w:b/>
          <w:bCs/>
          <w:color w:val="000000" w:themeColor="text1"/>
          <w:w w:val="99"/>
          <w:kern w:val="0"/>
          <w:sz w:val="72"/>
          <w:szCs w:val="72"/>
          <w14:textFill>
            <w14:solidFill>
              <w14:schemeClr w14:val="tx1"/>
            </w14:solidFill>
          </w14:textFill>
        </w:rPr>
        <w:t xml:space="preserve"> </w:t>
      </w:r>
    </w:p>
    <w:p>
      <w:pPr>
        <w:kinsoku w:val="0"/>
        <w:overflowPunct w:val="0"/>
        <w:autoSpaceDE w:val="0"/>
        <w:autoSpaceDN w:val="0"/>
        <w:adjustRightInd w:val="0"/>
        <w:spacing w:before="635"/>
        <w:ind w:left="1573" w:right="843" w:firstLine="2108" w:firstLineChars="75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left="1573" w:right="843" w:firstLine="281"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供应商（企业公章）：</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328"/>
          <w:tab w:val="left" w:pos="3384"/>
          <w:tab w:val="left" w:pos="4968"/>
        </w:tabs>
        <w:kinsoku w:val="0"/>
        <w:overflowPunct w:val="0"/>
        <w:autoSpaceDE w:val="0"/>
        <w:autoSpaceDN w:val="0"/>
        <w:adjustRightInd w:val="0"/>
        <w:spacing w:line="360" w:lineRule="auto"/>
        <w:ind w:right="340" w:firstLine="1827" w:firstLineChars="650"/>
        <w:jc w:val="left"/>
        <w:rPr>
          <w:rFonts w:ascii="Times New Roman" w:hAnsi="Times New Roman" w:eastAsia="宋体" w:cs="Times New Roman"/>
          <w:b/>
          <w:bCs/>
          <w:color w:val="000000" w:themeColor="text1"/>
          <w:w w:val="99"/>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法定代表人或授权委托人（签字或盖章）：</w:t>
      </w:r>
      <w:r>
        <w:rPr>
          <w:rFonts w:ascii="Times New Roman" w:hAnsi="Times New Roman" w:eastAsia="宋体" w:cs="Times New Roman"/>
          <w:b/>
          <w:bCs/>
          <w:color w:val="000000" w:themeColor="text1"/>
          <w:spacing w:val="-6"/>
          <w:w w:val="99"/>
          <w:kern w:val="0"/>
          <w:sz w:val="28"/>
          <w:szCs w:val="28"/>
          <w14:textFill>
            <w14:solidFill>
              <w14:schemeClr w14:val="tx1"/>
            </w14:solidFill>
          </w14:textFill>
        </w:rPr>
        <w:t xml:space="preserve"> </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593"/>
          <w:tab w:val="left" w:pos="4968"/>
        </w:tabs>
        <w:kinsoku w:val="0"/>
        <w:overflowPunct w:val="0"/>
        <w:autoSpaceDE w:val="0"/>
        <w:autoSpaceDN w:val="0"/>
        <w:adjustRightInd w:val="0"/>
        <w:spacing w:line="360" w:lineRule="auto"/>
        <w:ind w:left="1573" w:right="342" w:firstLine="267"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日</w:t>
      </w:r>
      <w:r>
        <w:rPr>
          <w:rFonts w:ascii="Times New Roman" w:hAnsi="Times New Roman" w:eastAsia="宋体" w:cs="Times New Roman"/>
          <w:b/>
          <w:bCs/>
          <w:color w:val="000000" w:themeColor="text1"/>
          <w:w w:val="95"/>
          <w:kern w:val="0"/>
          <w:sz w:val="28"/>
          <w:szCs w:val="28"/>
          <w14:textFill>
            <w14:solidFill>
              <w14:schemeClr w14:val="tx1"/>
            </w14:solidFill>
          </w14:textFill>
        </w:rPr>
        <w:tab/>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期： </w:t>
      </w:r>
      <w:r>
        <w:rPr>
          <w:rFonts w:ascii="Times New Roman" w:hAnsi="Times New Roman" w:eastAsia="宋体" w:cs="Times New Roman"/>
          <w:b/>
          <w:bCs/>
          <w:color w:val="000000" w:themeColor="text1"/>
          <w:w w:val="95"/>
          <w:kern w:val="0"/>
          <w:sz w:val="28"/>
          <w:szCs w:val="28"/>
          <w14:textFill>
            <w14:solidFill>
              <w14:schemeClr w14:val="tx1"/>
            </w14:solidFill>
          </w14:textFill>
        </w:rPr>
        <w:t>20</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2</w:t>
      </w:r>
      <w:r>
        <w:rPr>
          <w:rFonts w:hint="eastAsia" w:ascii="Times New Roman" w:hAnsi="Times New Roman" w:eastAsia="宋体" w:cs="Times New Roman"/>
          <w:b/>
          <w:bCs/>
          <w:color w:val="000000" w:themeColor="text1"/>
          <w:w w:val="95"/>
          <w:kern w:val="0"/>
          <w:sz w:val="28"/>
          <w:szCs w:val="28"/>
          <w:lang w:val="en-US" w:eastAsia="zh-CN"/>
          <w14:textFill>
            <w14:solidFill>
              <w14:schemeClr w14:val="tx1"/>
            </w14:solidFill>
          </w14:textFill>
        </w:rPr>
        <w:t>3</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年      </w:t>
      </w:r>
      <w:r>
        <w:rPr>
          <w:rFonts w:hint="eastAsia" w:ascii="Times New Roman" w:hAnsi="Times New Roman" w:eastAsia="宋体" w:cs="Times New Roman"/>
          <w:b/>
          <w:bCs/>
          <w:color w:val="000000" w:themeColor="text1"/>
          <w:kern w:val="0"/>
          <w:sz w:val="28"/>
          <w:szCs w:val="28"/>
          <w14:textFill>
            <w14:solidFill>
              <w14:schemeClr w14:val="tx1"/>
            </w14:solidFill>
          </w14:textFill>
        </w:rPr>
        <w:t>月</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r>
        <w:rPr>
          <w:rFonts w:hint="eastAsia" w:ascii="Times New Roman" w:hAnsi="Times New Roman" w:eastAsia="宋体" w:cs="Times New Roman"/>
          <w:b/>
          <w:bCs/>
          <w:color w:val="000000" w:themeColor="text1"/>
          <w:w w:val="99"/>
          <w:kern w:val="0"/>
          <w:sz w:val="28"/>
          <w:szCs w:val="28"/>
          <w14:textFill>
            <w14:solidFill>
              <w14:schemeClr w14:val="tx1"/>
            </w14:solidFill>
          </w14:textFill>
        </w:rPr>
        <w:t xml:space="preserve">    日</w:t>
      </w:r>
    </w:p>
    <w:p>
      <w:pPr>
        <w:tabs>
          <w:tab w:val="left" w:pos="2328"/>
          <w:tab w:val="left" w:pos="3384"/>
          <w:tab w:val="left" w:pos="4968"/>
        </w:tabs>
        <w:kinsoku w:val="0"/>
        <w:overflowPunct w:val="0"/>
        <w:autoSpaceDE w:val="0"/>
        <w:autoSpaceDN w:val="0"/>
        <w:adjustRightInd w:val="0"/>
        <w:spacing w:line="345" w:lineRule="auto"/>
        <w:ind w:left="1573" w:right="342"/>
        <w:jc w:val="left"/>
        <w:rPr>
          <w:rFonts w:ascii="Times New Roman" w:hAnsi="Times New Roman" w:eastAsia="宋体" w:cs="Times New Roman"/>
          <w:color w:val="000000" w:themeColor="text1"/>
          <w:kern w:val="0"/>
          <w:sz w:val="30"/>
          <w:szCs w:val="30"/>
          <w14:textFill>
            <w14:solidFill>
              <w14:schemeClr w14:val="tx1"/>
            </w14:solidFill>
          </w14:textFill>
        </w:rPr>
        <w:sectPr>
          <w:headerReference r:id="rId8" w:type="default"/>
          <w:footerReference r:id="rId9" w:type="default"/>
          <w:pgSz w:w="11920" w:h="16850"/>
          <w:pgMar w:top="1440" w:right="168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194" w:name="_Toc27412"/>
      <w:bookmarkStart w:id="195" w:name="_Toc331"/>
      <w:bookmarkStart w:id="196" w:name="_Toc7535"/>
      <w:bookmarkStart w:id="197" w:name="_Toc88447540"/>
      <w:bookmarkStart w:id="198" w:name="_Toc12808"/>
      <w:r>
        <w:rPr>
          <w:rFonts w:hint="eastAsia" w:ascii="宋体" w:hAnsi="Times New Roman" w:eastAsia="宋体" w:cs="宋体"/>
          <w:color w:val="000000" w:themeColor="text1"/>
          <w:kern w:val="0"/>
          <w:sz w:val="28"/>
          <w:szCs w:val="28"/>
          <w14:textFill>
            <w14:solidFill>
              <w14:schemeClr w14:val="tx1"/>
            </w14:solidFill>
          </w14:textFill>
        </w:rPr>
        <w:t>一、法定代表人身份证明</w:t>
      </w:r>
      <w:bookmarkEnd w:id="194"/>
      <w:bookmarkEnd w:id="195"/>
      <w:bookmarkEnd w:id="196"/>
      <w:bookmarkEnd w:id="197"/>
      <w:bookmarkEnd w:id="198"/>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5"/>
          <w:kern w:val="0"/>
          <w:szCs w:val="21"/>
          <w14:textFill>
            <w14:solidFill>
              <w14:schemeClr w14:val="tx1"/>
            </w14:solidFill>
          </w14:textFill>
        </w:rPr>
        <w:t>供应商名称：</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单位性质：</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spacing w:val="4"/>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址：</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成立时间：</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spacing w:val="-3"/>
          <w:kern w:val="0"/>
          <w:szCs w:val="21"/>
          <w14:textFill>
            <w14:solidFill>
              <w14:schemeClr w14:val="tx1"/>
            </w14:solidFill>
          </w14:textFill>
        </w:rPr>
        <w:t>日</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经营期限：</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姓名：</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性别：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年龄：</w:t>
      </w:r>
      <w:r>
        <w:rPr>
          <w:rFonts w:ascii="Times New Roman" w:hAnsi="Times New Roman" w:eastAsia="宋体" w:cs="Times New Roman"/>
          <w:color w:val="000000" w:themeColor="text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17"/>
          <w:kern w:val="0"/>
          <w:szCs w:val="21"/>
          <w14:textFill>
            <w14:solidFill>
              <w14:schemeClr w14:val="tx1"/>
            </w14:solidFill>
          </w14:textFill>
        </w:rPr>
      </w:pPr>
      <w:r>
        <w:rPr>
          <w:rFonts w:hint="eastAsia" w:ascii="Times New Roman" w:hAnsi="Times New Roman" w:eastAsia="宋体" w:cs="Times New Roman"/>
          <w:color w:val="000000" w:themeColor="text1"/>
          <w:spacing w:val="-7"/>
          <w:kern w:val="0"/>
          <w:szCs w:val="21"/>
          <w14:textFill>
            <w14:solidFill>
              <w14:schemeClr w14:val="tx1"/>
            </w14:solidFill>
          </w14:textFill>
        </w:rPr>
        <w:t>职务：</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身份证号：</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系</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供应商名称）的法定代表人。</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特此证明。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901"/>
        </w:tabs>
        <w:kinsoku w:val="0"/>
        <w:overflowPunct w:val="0"/>
        <w:autoSpaceDE w:val="0"/>
        <w:autoSpaceDN w:val="0"/>
        <w:adjustRightInd w:val="0"/>
        <w:spacing w:before="127"/>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供应商：</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59"/>
        <w:ind w:left="65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740"/>
          <w:tab w:val="left" w:pos="3580"/>
          <w:tab w:val="left" w:pos="4420"/>
        </w:tabs>
        <w:kinsoku w:val="0"/>
        <w:overflowPunct w:val="0"/>
        <w:autoSpaceDE w:val="0"/>
        <w:autoSpaceDN w:val="0"/>
        <w:adjustRightInd w:val="0"/>
        <w:spacing w:before="178"/>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日期：</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3"/>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0"/>
        <w:ind w:left="678"/>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（附法定代表人身份证复印件正反面）</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0" w:type="default"/>
          <w:pgSz w:w="11920" w:h="16850"/>
          <w:pgMar w:top="1380" w:right="126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199" w:name="_Toc88447541"/>
      <w:bookmarkStart w:id="200" w:name="_Toc9725"/>
      <w:bookmarkStart w:id="201" w:name="_Toc2622"/>
      <w:bookmarkStart w:id="202" w:name="_Toc13444"/>
      <w:bookmarkStart w:id="203" w:name="_Toc20180"/>
      <w:r>
        <w:rPr>
          <w:rFonts w:hint="eastAsia" w:ascii="宋体" w:hAnsi="Times New Roman" w:eastAsia="宋体" w:cs="宋体"/>
          <w:color w:val="000000" w:themeColor="text1"/>
          <w:kern w:val="0"/>
          <w:sz w:val="28"/>
          <w:szCs w:val="28"/>
          <w14:textFill>
            <w14:solidFill>
              <w14:schemeClr w14:val="tx1"/>
            </w14:solidFill>
          </w14:textFill>
        </w:rPr>
        <w:t>二、授权委托书</w:t>
      </w:r>
      <w:bookmarkEnd w:id="199"/>
      <w:bookmarkEnd w:id="200"/>
      <w:bookmarkEnd w:id="201"/>
      <w:bookmarkEnd w:id="202"/>
      <w:bookmarkEnd w:id="203"/>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26" w:line="360" w:lineRule="auto"/>
        <w:ind w:left="119" w:firstLine="53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0"/>
          <w:kern w:val="0"/>
          <w:szCs w:val="21"/>
          <w14:textFill>
            <w14:solidFill>
              <w14:schemeClr w14:val="tx1"/>
            </w14:solidFill>
          </w14:textFill>
        </w:rPr>
        <w:t>本授权书声明：注册于（</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注</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册地址名</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称</w:t>
      </w:r>
      <w:r>
        <w:rPr>
          <w:rFonts w:ascii="Times New Roman" w:hAnsi="Times New Roman" w:eastAsia="宋体" w:cs="Times New Roman"/>
          <w:color w:val="000000" w:themeColor="text1"/>
          <w:spacing w:val="-8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3"/>
          <w:kern w:val="0"/>
          <w:szCs w:val="21"/>
          <w14:textFill>
            <w14:solidFill>
              <w14:schemeClr w14:val="tx1"/>
            </w14:solidFill>
          </w14:textFill>
        </w:rPr>
        <w:t>）的</w:t>
      </w:r>
      <w:r>
        <w:rPr>
          <w:rFonts w:ascii="Times New Roman" w:hAnsi="Times New Roman" w:eastAsia="宋体" w:cs="Times New Roman"/>
          <w:color w:val="000000" w:themeColor="text1"/>
          <w:spacing w:val="13"/>
          <w:kern w:val="0"/>
          <w:szCs w:val="21"/>
          <w14:textFill>
            <w14:solidFill>
              <w14:schemeClr w14:val="tx1"/>
            </w14:solidFill>
          </w14:textFill>
        </w:rPr>
        <w:t>(</w:t>
      </w:r>
      <w:r>
        <w:rPr>
          <w:rFonts w:hint="eastAsia" w:ascii="Times New Roman" w:hAnsi="Times New Roman" w:eastAsia="宋体" w:cs="Times New Roman"/>
          <w:color w:val="000000" w:themeColor="text1"/>
          <w:spacing w:val="13"/>
          <w:kern w:val="0"/>
          <w:szCs w:val="21"/>
          <w:u w:val="single"/>
          <w14:textFill>
            <w14:solidFill>
              <w14:schemeClr w14:val="tx1"/>
            </w14:solidFill>
          </w14:textFill>
        </w:rPr>
        <w:t>投</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标人全名</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14:textFill>
            <w14:solidFill>
              <w14:schemeClr w14:val="tx1"/>
            </w14:solidFill>
          </w14:textFill>
        </w:rPr>
        <w:t>的在下面签字的</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法</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定代表人姓名、职务</w:t>
      </w:r>
      <w:r>
        <w:rPr>
          <w:rFonts w:ascii="Times New Roman" w:hAnsi="Times New Roman" w:eastAsia="宋体" w:cs="Times New Roman"/>
          <w:color w:val="000000" w:themeColor="text1"/>
          <w:spacing w:val="-8"/>
          <w:kern w:val="0"/>
          <w:szCs w:val="21"/>
          <w14:textFill>
            <w14:solidFill>
              <w14:schemeClr w14:val="tx1"/>
            </w14:solidFill>
          </w14:textFill>
        </w:rPr>
        <w:t>)</w:t>
      </w:r>
      <w:r>
        <w:rPr>
          <w:rFonts w:hint="eastAsia" w:ascii="Times New Roman" w:hAnsi="Times New Roman" w:eastAsia="宋体" w:cs="Times New Roman"/>
          <w:color w:val="000000" w:themeColor="text1"/>
          <w:spacing w:val="-8"/>
          <w:kern w:val="0"/>
          <w:szCs w:val="21"/>
          <w14:textFill>
            <w14:solidFill>
              <w14:schemeClr w14:val="tx1"/>
            </w14:solidFill>
          </w14:textFill>
        </w:rPr>
        <w:t>代表本公司授权（</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单位名称</w:t>
      </w:r>
      <w:r>
        <w:rPr>
          <w:rFonts w:hint="eastAsia" w:ascii="Times New Roman" w:hAnsi="Times New Roman" w:eastAsia="宋体" w:cs="Times New Roman"/>
          <w:color w:val="000000" w:themeColor="text1"/>
          <w:spacing w:val="-8"/>
          <w:kern w:val="0"/>
          <w:szCs w:val="21"/>
          <w14:textFill>
            <w14:solidFill>
              <w14:schemeClr w14:val="tx1"/>
            </w14:solidFill>
          </w14:textFill>
        </w:rPr>
        <w:t>）的在下面签字的</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（被授权人的姓名、职</w:t>
      </w:r>
      <w:r>
        <w:rPr>
          <w:rFonts w:ascii="Times New Roman" w:hAnsi="Times New Roman" w:eastAsia="宋体" w:cs="Times New Roman"/>
          <w:color w:val="000000" w:themeColor="text1"/>
          <w:spacing w:val="-103"/>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0"/>
          <w:kern w:val="0"/>
          <w:szCs w:val="21"/>
          <w:u w:val="single"/>
          <w14:textFill>
            <w14:solidFill>
              <w14:schemeClr w14:val="tx1"/>
            </w14:solidFill>
          </w14:textFill>
        </w:rPr>
        <w:t>务</w:t>
      </w:r>
      <w:r>
        <w:rPr>
          <w:rFonts w:hint="eastAsia" w:ascii="Times New Roman" w:hAnsi="Times New Roman" w:eastAsia="宋体" w:cs="Times New Roman"/>
          <w:color w:val="000000" w:themeColor="text1"/>
          <w:spacing w:val="-10"/>
          <w:kern w:val="0"/>
          <w:szCs w:val="21"/>
          <w14:textFill>
            <w14:solidFill>
              <w14:schemeClr w14:val="tx1"/>
            </w14:solidFill>
          </w14:textFill>
        </w:rPr>
        <w:t>）为本公司的合法代理人，就</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）的投标及合同执行，以本公司名义处理一切与之有关的事务。本授权书于年月日签字生效，特此声明。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00" w:beforeAutospacing="1" w:line="360" w:lineRule="auto"/>
        <w:ind w:left="60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代理人无转委托权。</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2"/>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9"/>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666" w:lineRule="exact"/>
        <w:ind w:left="707"/>
        <w:jc w:val="left"/>
        <w:rPr>
          <w:rFonts w:ascii="Times New Roman" w:hAnsi="Times New Roman" w:eastAsia="宋体" w:cs="Times New Roman"/>
          <w:color w:val="000000" w:themeColor="text1"/>
          <w:kern w:val="0"/>
          <w:position w:val="-53"/>
          <w:szCs w:val="21"/>
          <w14:textFill>
            <w14:solidFill>
              <w14:schemeClr w14:val="tx1"/>
            </w14:solidFill>
          </w14:textFill>
        </w:rPr>
      </w:pPr>
      <w:r>
        <w:rPr>
          <w:rFonts w:ascii="Times New Roman" w:hAnsi="Times New Roman" w:eastAsia="宋体" w:cs="Times New Roman"/>
          <w:color w:val="000000" w:themeColor="text1"/>
          <w:kern w:val="0"/>
          <w:position w:val="-53"/>
          <w:szCs w:val="21"/>
          <w14:textFill>
            <w14:solidFill>
              <w14:schemeClr w14:val="tx1"/>
            </w14:solidFill>
          </w14:textFill>
        </w:rPr>
        <mc:AlternateContent>
          <mc:Choice Requires="wpg">
            <w:drawing>
              <wp:inline distT="0" distB="0" distL="0" distR="0">
                <wp:extent cx="5702935" cy="1693545"/>
                <wp:effectExtent l="1905" t="0" r="10160" b="3175"/>
                <wp:docPr id="12" name="组合 19"/>
                <wp:cNvGraphicFramePr/>
                <a:graphic xmlns:a="http://schemas.openxmlformats.org/drawingml/2006/main">
                  <a:graphicData uri="http://schemas.microsoft.com/office/word/2010/wordprocessingGroup">
                    <wpg:wgp>
                      <wpg:cNvGrpSpPr/>
                      <wpg:grpSpPr>
                        <a:xfrm>
                          <a:off x="0" y="0"/>
                          <a:ext cx="5702935" cy="1693545"/>
                          <a:chOff x="0" y="0"/>
                          <a:chExt cx="8981" cy="2667"/>
                        </a:xfrm>
                      </wpg:grpSpPr>
                      <wps:wsp>
                        <wps:cNvPr id="13" name="任意多边形 20"/>
                        <wps:cNvSpPr/>
                        <wps:spPr bwMode="auto">
                          <a:xfrm>
                            <a:off x="9" y="9"/>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5" name="任意多边形 21"/>
                        <wps:cNvSpPr/>
                        <wps:spPr bwMode="auto">
                          <a:xfrm>
                            <a:off x="4493" y="9"/>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16" name="任意多边形 22"/>
                        <wps:cNvSpPr/>
                        <wps:spPr bwMode="auto">
                          <a:xfrm>
                            <a:off x="4"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17" name="任意多边形 23"/>
                        <wps:cNvSpPr/>
                        <wps:spPr bwMode="auto">
                          <a:xfrm>
                            <a:off x="9" y="2657"/>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8" name="任意多边形 24"/>
                        <wps:cNvSpPr/>
                        <wps:spPr bwMode="auto">
                          <a:xfrm>
                            <a:off x="4488"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5">
                            <a:solidFill>
                              <a:srgbClr val="000000"/>
                            </a:solidFill>
                            <a:round/>
                          </a:ln>
                        </wps:spPr>
                        <wps:bodyPr rot="0" vert="horz" wrap="square" lIns="91440" tIns="45720" rIns="91440" bIns="45720" anchor="t" anchorCtr="0" upright="1">
                          <a:noAutofit/>
                        </wps:bodyPr>
                      </wps:wsp>
                      <wps:wsp>
                        <wps:cNvPr id="19" name="任意多边形 25"/>
                        <wps:cNvSpPr/>
                        <wps:spPr bwMode="auto">
                          <a:xfrm>
                            <a:off x="4493" y="2657"/>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20" name="任意多边形 26"/>
                        <wps:cNvSpPr/>
                        <wps:spPr bwMode="auto">
                          <a:xfrm>
                            <a:off x="8975"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21" name="文本框 27"/>
                        <wps:cNvSpPr txBox="1">
                          <a:spLocks noChangeArrowheads="1"/>
                        </wps:cNvSpPr>
                        <wps:spPr bwMode="auto">
                          <a:xfrm>
                            <a:off x="5" y="10"/>
                            <a:ext cx="4485" cy="2648"/>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s:wsp>
                        <wps:cNvPr id="22" name="文本框 28"/>
                        <wps:cNvSpPr txBox="1">
                          <a:spLocks noChangeArrowheads="1"/>
                        </wps:cNvSpPr>
                        <wps:spPr bwMode="auto">
                          <a:xfrm>
                            <a:off x="4489" y="10"/>
                            <a:ext cx="4487" cy="2648"/>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19" o:spid="_x0000_s1026" o:spt="203" style="height:133.35pt;width:449.05pt;" coordsize="8981,2667" o:gfxdata="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">
                <o:lock v:ext="edit" aspectratio="f"/>
                <v:shape id="任意多边形 20" o:spid="_x0000_s1026" o:spt="100" style="position:absolute;left:9;top:9;height:20;width:4475;" filled="f" stroked="t" coordsize="4475,20" o:gfxdata="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ZTe7sAAADb&#10;AAAADwAAAAAAAAABACAAAAAiAAAAZHJzL2Rvd25yZXYueG1sUEsBAhQAFAAAAAgAh07iQDMvBZ47&#10;AAAAOQAAABAAAAAAAAAAAQAgAAAACgEAAGRycy9zaGFwZXhtbC54bWxQSwUGAAAAAAYABgBbAQAA&#10;tAMAAAAA&#10;" path="m0,0l4474,0e">
                  <v:path o:connectlocs="0,0;4474,0" o:connectangles="0,0"/>
                  <v:fill on="f" focussize="0,0"/>
                  <v:stroke weight="0.48pt" color="#000000" joinstyle="round"/>
                  <v:imagedata o:title=""/>
                  <o:lock v:ext="edit" aspectratio="f"/>
                </v:shape>
                <v:shape id="任意多边形 21" o:spid="_x0000_s1026" o:spt="100" style="position:absolute;left:4493;top:9;height:20;width:4477;" filled="f" stroked="t" coordsize="4477,20" o:gfxdata="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svN7sAAADb&#10;AAAADwAAAAAAAAABACAAAAAiAAAAZHJzL2Rvd25yZXYueG1sUEsBAhQAFAAAAAgAh07iQDMvBZ47&#10;AAAAOQAAABAAAAAAAAAAAQAgAAAACgEAAGRycy9zaGFwZXhtbC54bWxQSwUGAAAAAAYABgBbAQAA&#10;tAMAAAAA&#10;" path="m0,0l4476,0e">
                  <v:path o:connectlocs="0,0;4476,0" o:connectangles="0,0"/>
                  <v:fill on="f" focussize="0,0"/>
                  <v:stroke weight="0.48pt" color="#000000" joinstyle="round"/>
                  <v:imagedata o:title=""/>
                  <o:lock v:ext="edit" aspectratio="f"/>
                </v:shape>
                <v:shape id="任意多边形 22" o:spid="_x0000_s1026" o:spt="100" style="position:absolute;left:4;top:4;height:2658;width:20;" filled="f" stroked="t" coordsize="20,2658" o:gfxdata="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DaaCtwAAANsAAAAP&#10;AAAAAAAAAAEAIAAAACIAAABkcnMvZG93bnJldi54bWxQSwECFAAUAAAACACHTuJAMy8FnjsAAAA5&#10;AAAAEAAAAAAAAAABACAAAAAGAQAAZHJzL3NoYXBleG1sLnhtbFBLBQYAAAAABgAGAFsBAACwAwAA&#10;AAA=&#10;" path="m0,0l0,2657e">
                  <v:path o:connectlocs="0,0;0,2657" o:connectangles="0,0"/>
                  <v:fill on="f" focussize="0,0"/>
                  <v:stroke weight="0.48pt" color="#000000" joinstyle="round"/>
                  <v:imagedata o:title=""/>
                  <o:lock v:ext="edit" aspectratio="f"/>
                </v:shape>
                <v:shape id="任意多边形 23" o:spid="_x0000_s1026" o:spt="100" style="position:absolute;left:9;top:2657;height:20;width:4475;" filled="f" stroked="t" coordsize="4475,20" o:gfxdata="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TVV4vQAA&#10;ANsAAAAPAAAAAAAAAAEAIAAAACIAAABkcnMvZG93bnJldi54bWxQSwECFAAUAAAACACHTuJAMy8F&#10;njsAAAA5AAAAEAAAAAAAAAABACAAAAAMAQAAZHJzL3NoYXBleG1sLnhtbFBLBQYAAAAABgAGAFsB&#10;AAC2AwAAAAA=&#10;" path="m0,0l4474,0e">
                  <v:path o:connectlocs="0,0;4474,0" o:connectangles="0,0"/>
                  <v:fill on="f" focussize="0,0"/>
                  <v:stroke weight="0.48pt" color="#000000" joinstyle="round"/>
                  <v:imagedata o:title=""/>
                  <o:lock v:ext="edit" aspectratio="f"/>
                </v:shape>
                <v:shape id="任意多边形 24" o:spid="_x0000_s1026" o:spt="100" style="position:absolute;left:4488;top:4;height:2658;width:20;" filled="f" stroked="t" coordsize="20,2658" o:gfxdata="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ud0W8AAAA&#10;2wAAAA8AAAAAAAAAAQAgAAAAIgAAAGRycy9kb3ducmV2LnhtbFBLAQIUABQAAAAIAIdO4kAzLwWe&#10;OwAAADkAAAAQAAAAAAAAAAEAIAAAAAsBAABkcnMvc2hhcGV4bWwueG1sUEsFBgAAAAAGAAYAWwEA&#10;ALUDAAAAAA==&#10;" path="m0,0l0,2657e">
                  <v:path o:connectlocs="0,0;0,2657" o:connectangles="0,0"/>
                  <v:fill on="f" focussize="0,0"/>
                  <v:stroke weight="0.47992125984252pt" color="#000000" joinstyle="round"/>
                  <v:imagedata o:title=""/>
                  <o:lock v:ext="edit" aspectratio="f"/>
                </v:shape>
                <v:shape id="任意多边形 25" o:spid="_x0000_s1026" o:spt="100" style="position:absolute;left:4493;top:2657;height:20;width:4477;" filled="f" stroked="t" coordsize="4477,20" o:gfxdata="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WJTK5AAAA2wAA&#10;AA8AAAAAAAAAAQAgAAAAIgAAAGRycy9kb3ducmV2LnhtbFBLAQIUABQAAAAIAIdO4kAzLwWeOwAA&#10;ADkAAAAQAAAAAAAAAAEAIAAAAAgBAABkcnMvc2hhcGV4bWwueG1sUEsFBgAAAAAGAAYAWwEAALID&#10;AAAAAA==&#10;" path="m0,0l4476,0e">
                  <v:path o:connectlocs="0,0;4476,0" o:connectangles="0,0"/>
                  <v:fill on="f" focussize="0,0"/>
                  <v:stroke weight="0.48pt" color="#000000" joinstyle="round"/>
                  <v:imagedata o:title=""/>
                  <o:lock v:ext="edit" aspectratio="f"/>
                </v:shape>
                <v:shape id="任意多边形 26" o:spid="_x0000_s1026" o:spt="100" style="position:absolute;left:8975;top:4;height:2658;width:20;" filled="f" stroked="t" coordsize="20,2658" o:gfxdata="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EUdC2AAAA2wAAAA8A&#10;AAAAAAAAAQAgAAAAIgAAAGRycy9kb3ducmV2LnhtbFBLAQIUABQAAAAIAIdO4kAzLwWeOwAAADkA&#10;AAAQAAAAAAAAAAEAIAAAAAUBAABkcnMvc2hhcGV4bWwueG1sUEsFBgAAAAAGAAYAWwEAAK8DAAAA&#10;AA==&#10;" path="m0,0l0,2657e">
                  <v:path o:connectlocs="0,0;0,2657" o:connectangles="0,0"/>
                  <v:fill on="f" focussize="0,0"/>
                  <v:stroke weight="0.48pt" color="#000000" joinstyle="round"/>
                  <v:imagedata o:title=""/>
                  <o:lock v:ext="edit" aspectratio="f"/>
                </v:shape>
                <v:shape id="文本框 27" o:spid="_x0000_s1026" o:spt="202" type="#_x0000_t202" style="position:absolute;left:5;top:10;height:2648;width:448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v:textbox>
                </v:shape>
                <v:shape id="文本框 28" o:spid="_x0000_s1026" o:spt="202" type="#_x0000_t202" style="position:absolute;left:4489;top:10;height:2648;width:4487;"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70" w:lineRule="exact"/>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pPr>
      <w:r>
        <w:rPr>
          <w:rFonts w:ascii="Times New Roman" w:hAnsi="Times New Roman" w:eastAsia="宋体" w:cs="Times New Roman"/>
          <w:color w:val="000000" w:themeColor="text1"/>
          <w:kern w:val="0"/>
          <w:position w:val="-56"/>
          <w:szCs w:val="21"/>
          <w14:textFill>
            <w14:solidFill>
              <w14:schemeClr w14:val="tx1"/>
            </w14:solidFill>
          </w14:textFill>
        </w:rPr>
        <mc:AlternateContent>
          <mc:Choice Requires="wpg">
            <w:drawing>
              <wp:inline distT="0" distB="0" distL="0" distR="0">
                <wp:extent cx="5711825" cy="1784985"/>
                <wp:effectExtent l="1905" t="0" r="1270" b="6985"/>
                <wp:docPr id="23" name="组合 29"/>
                <wp:cNvGraphicFramePr/>
                <a:graphic xmlns:a="http://schemas.openxmlformats.org/drawingml/2006/main">
                  <a:graphicData uri="http://schemas.microsoft.com/office/word/2010/wordprocessingGroup">
                    <wpg:wgp>
                      <wpg:cNvGrpSpPr/>
                      <wpg:grpSpPr>
                        <a:xfrm>
                          <a:off x="0" y="0"/>
                          <a:ext cx="5711825" cy="1784985"/>
                          <a:chOff x="0" y="0"/>
                          <a:chExt cx="8995" cy="2811"/>
                        </a:xfrm>
                      </wpg:grpSpPr>
                      <wps:wsp>
                        <wps:cNvPr id="1" name="任意多边形 30"/>
                        <wps:cNvSpPr/>
                        <wps:spPr bwMode="auto">
                          <a:xfrm>
                            <a:off x="9" y="9"/>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25" name="任意多边形 31"/>
                        <wps:cNvSpPr/>
                        <wps:spPr bwMode="auto">
                          <a:xfrm>
                            <a:off x="4500" y="9"/>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26" name="任意多边形 32"/>
                        <wps:cNvSpPr/>
                        <wps:spPr bwMode="auto">
                          <a:xfrm>
                            <a:off x="4"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6" name="任意多边形 33"/>
                        <wps:cNvSpPr/>
                        <wps:spPr bwMode="auto">
                          <a:xfrm>
                            <a:off x="9" y="2801"/>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7" name="任意多边形 34"/>
                        <wps:cNvSpPr/>
                        <wps:spPr bwMode="auto">
                          <a:xfrm>
                            <a:off x="4496"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8" name="任意多边形 35"/>
                        <wps:cNvSpPr/>
                        <wps:spPr bwMode="auto">
                          <a:xfrm>
                            <a:off x="4500" y="2801"/>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9" name="任意多边形 36"/>
                        <wps:cNvSpPr/>
                        <wps:spPr bwMode="auto">
                          <a:xfrm>
                            <a:off x="8989"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5">
                            <a:solidFill>
                              <a:srgbClr val="000000"/>
                            </a:solidFill>
                            <a:round/>
                          </a:ln>
                        </wps:spPr>
                        <wps:bodyPr rot="0" vert="horz" wrap="square" lIns="91440" tIns="45720" rIns="91440" bIns="45720" anchor="t" anchorCtr="0" upright="1">
                          <a:noAutofit/>
                        </wps:bodyPr>
                      </wps:wsp>
                      <wps:wsp>
                        <wps:cNvPr id="10" name="文本框 37"/>
                        <wps:cNvSpPr txBox="1">
                          <a:spLocks noChangeArrowheads="1"/>
                        </wps:cNvSpPr>
                        <wps:spPr bwMode="auto">
                          <a:xfrm>
                            <a:off x="5" y="10"/>
                            <a:ext cx="4492" cy="2792"/>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s:wsp>
                        <wps:cNvPr id="11" name="文本框 38"/>
                        <wps:cNvSpPr txBox="1">
                          <a:spLocks noChangeArrowheads="1"/>
                        </wps:cNvSpPr>
                        <wps:spPr bwMode="auto">
                          <a:xfrm>
                            <a:off x="4496" y="10"/>
                            <a:ext cx="4494" cy="2792"/>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29" o:spid="_x0000_s1026" o:spt="203" style="height:140.55pt;width:449.75pt;" coordsize="8995,2811" o:gfxdata="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MFCVi1gAAAAUBAAAPAAAA&#10;AAAAAAEAIAAAACIAAABkcnMvZG93bnJldi54bWxQSwECFAAUAAAACACHTuJApGmiX/wEAACvIgAA&#10;DgAAAAAAAAABACAAAAAlAQAAZHJzL2Uyb0RvYy54bWxQSwUGAAAAAAYABgBZAQAAkwgAAAAA&#10;">
                <o:lock v:ext="edit" aspectratio="f"/>
                <v:shape id="任意多边形 30" o:spid="_x0000_s1026" o:spt="100" style="position:absolute;left:9;top:9;height:20;width:4482;" filled="f" stroked="t" coordsize="4482,20" o:gfxdata="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r7DQugAAANoA&#10;AAAPAAAAAAAAAAEAIAAAACIAAABkcnMvZG93bnJldi54bWxQSwECFAAUAAAACACHTuJAMy8FnjsA&#10;AAA5AAAAEAAAAAAAAAABACAAAAAJAQAAZHJzL3NoYXBleG1sLnhtbFBLBQYAAAAABgAGAFsBAACz&#10;AwAAAAA=&#10;" path="m0,0l4481,0e">
                  <v:path o:connectlocs="0,0;4481,0" o:connectangles="0,0"/>
                  <v:fill on="f" focussize="0,0"/>
                  <v:stroke weight="0.47992125984252pt" color="#000000" joinstyle="round"/>
                  <v:imagedata o:title=""/>
                  <o:lock v:ext="edit" aspectratio="f"/>
                </v:shape>
                <v:shape id="任意多边形 31" o:spid="_x0000_s1026" o:spt="100" style="position:absolute;left:4500;top:9;height:20;width:4485;" filled="f" stroked="t" coordsize="4485,20" o:gfxdata="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iWc74A&#10;AADbAAAADwAAAAAAAAABACAAAAAiAAAAZHJzL2Rvd25yZXYueG1sUEsBAhQAFAAAAAgAh07iQDMv&#10;BZ47AAAAOQAAABAAAAAAAAAAAQAgAAAADQEAAGRycy9zaGFwZXhtbC54bWxQSwUGAAAAAAYABgBb&#10;AQAAtwMAAAAA&#10;" path="m0,0l4484,0e">
                  <v:path o:connectlocs="0,0;4484,0" o:connectangles="0,0"/>
                  <v:fill on="f" focussize="0,0"/>
                  <v:stroke weight="0.47992125984252pt" color="#000000" joinstyle="round"/>
                  <v:imagedata o:title=""/>
                  <o:lock v:ext="edit" aspectratio="f"/>
                </v:shape>
                <v:shape id="任意多边形 32" o:spid="_x0000_s1026" o:spt="100" style="position:absolute;left:4;top:4;height:2802;width:20;" filled="f" stroked="t" coordsize="20,2802" o:gfxdata="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Y0K74A&#10;AADbAAAADwAAAAAAAAABACAAAAAiAAAAZHJzL2Rvd25yZXYueG1sUEsBAhQAFAAAAAgAh07iQDMv&#10;BZ47AAAAOQAAABAAAAAAAAAAAQAgAAAADQEAAGRycy9zaGFwZXhtbC54bWxQSwUGAAAAAAYABgBb&#10;AQAAtwMAAAAA&#10;" path="m0,0l0,2801e">
                  <v:path o:connectlocs="0,0;0,2801" o:connectangles="0,0"/>
                  <v:fill on="f" focussize="0,0"/>
                  <v:stroke weight="0.48pt" color="#000000" joinstyle="round"/>
                  <v:imagedata o:title=""/>
                  <o:lock v:ext="edit" aspectratio="f"/>
                </v:shape>
                <v:shape id="任意多边形 33" o:spid="_x0000_s1026" o:spt="100" style="position:absolute;left:9;top:2801;height:20;width:4482;" filled="f" stroked="t" coordsize="4482,20" o:gfxdata="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GKKS8AAAA&#10;2gAAAA8AAAAAAAAAAQAgAAAAIgAAAGRycy9kb3ducmV2LnhtbFBLAQIUABQAAAAIAIdO4kAzLwWe&#10;OwAAADkAAAAQAAAAAAAAAAEAIAAAAAsBAABkcnMvc2hhcGV4bWwueG1sUEsFBgAAAAAGAAYAWwEA&#10;ALUDAAAAAA==&#10;" path="m0,0l4481,0e">
                  <v:path o:connectlocs="0,0;4481,0" o:connectangles="0,0"/>
                  <v:fill on="f" focussize="0,0"/>
                  <v:stroke weight="0.47992125984252pt" color="#000000" joinstyle="round"/>
                  <v:imagedata o:title=""/>
                  <o:lock v:ext="edit" aspectratio="f"/>
                </v:shape>
                <v:shape id="任意多边形 34" o:spid="_x0000_s1026" o:spt="100" style="position:absolute;left:4496;top:4;height:2802;width:20;" filled="f" stroked="t" coordsize="20,2802" o:gfxdata="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qbDvQAA&#10;ANoAAAAPAAAAAAAAAAEAIAAAACIAAABkcnMvZG93bnJldi54bWxQSwECFAAUAAAACACHTuJAMy8F&#10;njsAAAA5AAAAEAAAAAAAAAABACAAAAAMAQAAZHJzL3NoYXBleG1sLnhtbFBLBQYAAAAABgAGAFsB&#10;AAC2AwAAAAA=&#10;" path="m0,0l0,2801e">
                  <v:path o:connectlocs="0,0;0,2801" o:connectangles="0,0"/>
                  <v:fill on="f" focussize="0,0"/>
                  <v:stroke weight="0.48pt" color="#000000" joinstyle="round"/>
                  <v:imagedata o:title=""/>
                  <o:lock v:ext="edit" aspectratio="f"/>
                </v:shape>
                <v:shape id="任意多边形 35" o:spid="_x0000_s1026" o:spt="100" style="position:absolute;left:4500;top:2801;height:20;width:4485;" filled="f" stroked="t" coordsize="4485,20" o:gfxdata="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XGLiugAAANoA&#10;AAAPAAAAAAAAAAEAIAAAACIAAABkcnMvZG93bnJldi54bWxQSwECFAAUAAAACACHTuJAMy8FnjsA&#10;AAA5AAAAEAAAAAAAAAABACAAAAAJAQAAZHJzL3NoYXBleG1sLnhtbFBLBQYAAAAABgAGAFsBAACz&#10;AwAAAAA=&#10;" path="m0,0l4484,0e">
                  <v:path o:connectlocs="0,0;4484,0" o:connectangles="0,0"/>
                  <v:fill on="f" focussize="0,0"/>
                  <v:stroke weight="0.47992125984252pt" color="#000000" joinstyle="round"/>
                  <v:imagedata o:title=""/>
                  <o:lock v:ext="edit" aspectratio="f"/>
                </v:shape>
                <v:shape id="任意多边形 36" o:spid="_x0000_s1026" o:spt="100" style="position:absolute;left:8989;top:4;height:2802;width:20;" filled="f" stroked="t" coordsize="20,2802" o:gfxdata="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m49vQAA&#10;ANoAAAAPAAAAAAAAAAEAIAAAACIAAABkcnMvZG93bnJldi54bWxQSwECFAAUAAAACACHTuJAMy8F&#10;njsAAAA5AAAAEAAAAAAAAAABACAAAAAMAQAAZHJzL3NoYXBleG1sLnhtbFBLBQYAAAAABgAGAFsB&#10;AAC2AwAAAAA=&#10;" path="m0,0l0,2801e">
                  <v:path o:connectlocs="0,0;0,2801" o:connectangles="0,0"/>
                  <v:fill on="f" focussize="0,0"/>
                  <v:stroke weight="0.47992125984252pt" color="#000000" joinstyle="round"/>
                  <v:imagedata o:title=""/>
                  <o:lock v:ext="edit" aspectratio="f"/>
                </v:shape>
                <v:shape id="文本框 37" o:spid="_x0000_s1026" o:spt="202" type="#_x0000_t202" style="position:absolute;left:5;top:10;height:2792;width:4492;"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v:textbox>
                </v:shape>
                <v:shape id="文本框 38" o:spid="_x0000_s1026" o:spt="202" type="#_x0000_t202" style="position:absolute;left:4496;top:10;height:2792;width:4494;"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sectPr>
          <w:pgSz w:w="11920" w:h="16850"/>
          <w:pgMar w:top="1380" w:right="100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04" w:name="_Toc27935"/>
      <w:bookmarkStart w:id="205" w:name="_Toc88447542"/>
      <w:bookmarkStart w:id="206" w:name="_Toc23216"/>
      <w:bookmarkStart w:id="207" w:name="_Toc16859"/>
      <w:bookmarkStart w:id="208" w:name="_Toc8215"/>
      <w:r>
        <w:rPr>
          <w:rFonts w:hint="eastAsia" w:ascii="宋体" w:hAnsi="Times New Roman" w:eastAsia="宋体" w:cs="宋体"/>
          <w:color w:val="000000" w:themeColor="text1"/>
          <w:kern w:val="0"/>
          <w:sz w:val="28"/>
          <w:szCs w:val="28"/>
          <w14:textFill>
            <w14:solidFill>
              <w14:schemeClr w14:val="tx1"/>
            </w14:solidFill>
          </w14:textFill>
        </w:rPr>
        <w:t>三、投标函及投标函附录</w:t>
      </w:r>
      <w:bookmarkEnd w:id="204"/>
      <w:bookmarkEnd w:id="205"/>
      <w:bookmarkEnd w:id="206"/>
      <w:bookmarkEnd w:id="207"/>
      <w:bookmarkEnd w:id="208"/>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120" w:beforeLines="50" w:after="120" w:afterLines="50" w:line="378" w:lineRule="exact"/>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09" w:name="_Toc1959"/>
      <w:bookmarkStart w:id="210" w:name="_Toc367"/>
      <w:bookmarkStart w:id="211" w:name="_Toc12545"/>
      <w:r>
        <w:rPr>
          <w:rFonts w:ascii="Times New Roman" w:hAnsi="Times New Roman" w:eastAsia="宋体" w:cs="Times New Roman"/>
          <w:color w:val="000000" w:themeColor="text1"/>
          <w:kern w:val="0"/>
          <w:sz w:val="24"/>
          <w:szCs w:val="24"/>
          <w14:textFill>
            <w14:solidFill>
              <w14:schemeClr w14:val="tx1"/>
            </w14:solidFill>
          </w14:textFill>
        </w:rPr>
        <w:t>3.1</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标</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函</w:t>
      </w:r>
      <w:bookmarkEnd w:id="209"/>
      <w:bookmarkEnd w:id="210"/>
      <w:bookmarkEnd w:id="211"/>
    </w:p>
    <w:p>
      <w:pPr>
        <w:tabs>
          <w:tab w:val="left" w:pos="1871"/>
        </w:tabs>
        <w:kinsoku w:val="0"/>
        <w:overflowPunct w:val="0"/>
        <w:autoSpaceDE w:val="0"/>
        <w:autoSpaceDN w:val="0"/>
        <w:adjustRightInd w:val="0"/>
        <w:spacing w:before="120" w:beforeLines="50" w:after="120" w:afterLines="50" w:line="360" w:lineRule="auto"/>
        <w:ind w:firstLine="416" w:firstLineChars="200"/>
        <w:jc w:val="left"/>
        <w:rPr>
          <w:rFonts w:ascii="Times New Roman" w:hAnsi="Times New Roman" w:eastAsia="宋体" w:cs="Times New Roman"/>
          <w:color w:val="000000" w:themeColor="text1"/>
          <w:spacing w:val="-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致：</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（采购人）</w:t>
      </w:r>
    </w:p>
    <w:p>
      <w:pPr>
        <w:tabs>
          <w:tab w:val="left" w:pos="1871"/>
        </w:tabs>
        <w:kinsoku w:val="0"/>
        <w:overflowPunct w:val="0"/>
        <w:autoSpaceDE w:val="0"/>
        <w:autoSpaceDN w:val="0"/>
        <w:adjustRightInd w:val="0"/>
        <w:spacing w:line="360" w:lineRule="auto"/>
        <w:ind w:firstLine="40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3"/>
          <w:kern w:val="0"/>
          <w:szCs w:val="21"/>
          <w14:textFill>
            <w14:solidFill>
              <w14:schemeClr w14:val="tx1"/>
            </w14:solidFill>
          </w14:textFill>
        </w:rPr>
        <w:t>1.</w:t>
      </w:r>
      <w:r>
        <w:rPr>
          <w:rFonts w:hint="eastAsia" w:ascii="Times New Roman" w:hAnsi="Times New Roman" w:eastAsia="宋体" w:cs="Times New Roman"/>
          <w:color w:val="000000" w:themeColor="text1"/>
          <w:spacing w:val="-3"/>
          <w:kern w:val="0"/>
          <w:szCs w:val="21"/>
          <w14:textFill>
            <w14:solidFill>
              <w14:schemeClr w14:val="tx1"/>
            </w14:solidFill>
          </w14:textFill>
        </w:rPr>
        <w:t>按照《中华人民共和国政府采购法》等有关法规的规定，经我方详细研究贵方的</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spacing w:val="7"/>
          <w:kern w:val="0"/>
          <w:szCs w:val="21"/>
          <w14:textFill>
            <w14:solidFill>
              <w14:schemeClr w14:val="tx1"/>
            </w14:solidFill>
          </w14:textFill>
        </w:rPr>
        <w:t>采购文件（采购编号：</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包，我方愿以人民币：（大写）（￥</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元）的投标总报价并按采购文件的要求承揽</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的供货合同。</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2.</w:t>
      </w:r>
      <w:r>
        <w:rPr>
          <w:rFonts w:hint="eastAsia" w:ascii="Times New Roman" w:hAnsi="Times New Roman" w:eastAsia="宋体" w:cs="Times New Roman"/>
          <w:color w:val="000000" w:themeColor="text1"/>
          <w:spacing w:val="-4"/>
          <w:kern w:val="0"/>
          <w:szCs w:val="21"/>
          <w14:textFill>
            <w14:solidFill>
              <w14:schemeClr w14:val="tx1"/>
            </w14:solidFill>
          </w14:textFill>
        </w:rPr>
        <w:t>我方已详细阅读全部采购文件，包括其澄清、补充、修改文件（如有）及有关附件，</w:t>
      </w:r>
      <w:r>
        <w:rPr>
          <w:rFonts w:ascii="Times New Roman" w:hAnsi="Times New Roman" w:eastAsia="宋体" w:cs="Times New Roman"/>
          <w:color w:val="000000" w:themeColor="text1"/>
          <w:spacing w:val="-9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完全理解并同意放弃对这方面有不明及误解的权力。我方完全接受采购文件的所有规</w:t>
      </w:r>
      <w:r>
        <w:rPr>
          <w:rFonts w:ascii="Times New Roman" w:hAnsi="Times New Roman" w:eastAsia="宋体" w:cs="Times New Roman"/>
          <w:color w:val="000000" w:themeColor="text1"/>
          <w:spacing w:val="-94"/>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3"/>
          <w:kern w:val="0"/>
          <w:szCs w:val="21"/>
          <w14:textFill>
            <w14:solidFill>
              <w14:schemeClr w14:val="tx1"/>
            </w14:solidFill>
          </w14:textFill>
        </w:rPr>
        <w:t>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3.</w:t>
      </w:r>
      <w:r>
        <w:rPr>
          <w:rFonts w:hint="eastAsia" w:ascii="Times New Roman" w:hAnsi="Times New Roman" w:eastAsia="宋体" w:cs="Times New Roman"/>
          <w:color w:val="000000" w:themeColor="text1"/>
          <w:spacing w:val="-4"/>
          <w:kern w:val="0"/>
          <w:szCs w:val="21"/>
          <w14:textFill>
            <w14:solidFill>
              <w14:schemeClr w14:val="tx1"/>
            </w14:solidFill>
          </w14:textFill>
        </w:rPr>
        <w:t>《投标函附录》是本《投标函》的附件。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4.如果我方中标：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（1）我方承诺在收到中标通知书后，在采购文件规定的期限内与贵方签订合同；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bookmarkStart w:id="212" w:name="_Toc17887169"/>
      <w:bookmarkStart w:id="213" w:name="_Toc5956061"/>
      <w:bookmarkStart w:id="214" w:name="_Toc24964"/>
      <w:bookmarkStart w:id="215" w:name="_Toc5960174"/>
      <w:r>
        <w:rPr>
          <w:rFonts w:hint="eastAsia" w:ascii="Times New Roman" w:hAnsi="Times New Roman" w:eastAsia="宋体" w:cs="Times New Roman"/>
          <w:color w:val="000000" w:themeColor="text1"/>
          <w:spacing w:val="-4"/>
          <w:kern w:val="0"/>
          <w:szCs w:val="21"/>
          <w14:textFill>
            <w14:solidFill>
              <w14:schemeClr w14:val="tx1"/>
            </w14:solidFill>
          </w14:textFill>
        </w:rPr>
        <w:t>（2）本投标文件属于合同文件的组成部分；</w:t>
      </w:r>
      <w:bookmarkEnd w:id="212"/>
      <w:bookmarkEnd w:id="213"/>
      <w:bookmarkEnd w:id="214"/>
      <w:bookmarkEnd w:id="215"/>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（3）我方承诺按采购文件的规定履行合同责任和义务。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（4）我方承诺按照相关规定向代理机构支付招标代理服务费。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（5）我方承诺本次投标不提供虚假资料。</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（6）我方承诺，如</w:t>
      </w:r>
      <w:r>
        <w:rPr>
          <w:rFonts w:hint="eastAsia" w:ascii="Times New Roman" w:hAnsi="Times New Roman" w:eastAsia="宋体" w:cs="Times New Roman"/>
          <w:color w:val="000000" w:themeColor="text1"/>
          <w:spacing w:val="-4"/>
          <w:kern w:val="0"/>
          <w:szCs w:val="21"/>
          <w:lang w:eastAsia="zh-CN"/>
          <w14:textFill>
            <w14:solidFill>
              <w14:schemeClr w14:val="tx1"/>
            </w14:solidFill>
          </w14:textFill>
        </w:rPr>
        <w:t>违反</w:t>
      </w:r>
      <w:r>
        <w:rPr>
          <w:rFonts w:hint="eastAsia" w:ascii="Times New Roman" w:hAnsi="Times New Roman" w:eastAsia="宋体" w:cs="Times New Roman"/>
          <w:color w:val="000000" w:themeColor="text1"/>
          <w:spacing w:val="-4"/>
          <w:kern w:val="0"/>
          <w:szCs w:val="21"/>
          <w14:textFill>
            <w14:solidFill>
              <w14:schemeClr w14:val="tx1"/>
            </w14:solidFill>
          </w14:textFill>
        </w:rPr>
        <w:t>上述（1）、（2）、（3）、（4）、（5）中任一情况时，我单位将向采购人或代理机构无条件支付预算金额2%的赔偿金。</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5.我方承诺在采购文件规定的投标有效期内不修改、撤回投标文件。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6.我们完全理解贵方不一定接受最低报价的投标或收到的任何投标。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7.我方在此声明，所递交的投标文件及有关资料内容完整、真实和准确。 </w:t>
      </w:r>
    </w:p>
    <w:p>
      <w:pPr>
        <w:kinsoku w:val="0"/>
        <w:overflowPunct w:val="0"/>
        <w:autoSpaceDE w:val="0"/>
        <w:autoSpaceDN w:val="0"/>
        <w:adjustRightInd w:val="0"/>
        <w:spacing w:line="360" w:lineRule="auto"/>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line="355" w:lineRule="auto"/>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与本投标有关的正式通讯地址：</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38"/>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址：</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邮</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编：</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151"/>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电</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话：</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传</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right="20"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w:t>
      </w:r>
      <w:r>
        <w:rPr>
          <w:rFonts w:hint="eastAsia" w:ascii="Times New Roman" w:hAnsi="Times New Roman" w:eastAsia="宋体" w:cs="Times New Roman"/>
          <w:color w:val="000000" w:themeColor="text1"/>
          <w:spacing w:val="-1"/>
          <w:kern w:val="0"/>
          <w:szCs w:val="21"/>
          <w14:textFill>
            <w14:solidFill>
              <w14:schemeClr w14:val="tx1"/>
            </w14:solidFill>
          </w14:textFill>
        </w:rPr>
        <w:t>定</w:t>
      </w:r>
      <w:r>
        <w:rPr>
          <w:rFonts w:hint="eastAsia" w:ascii="Times New Roman" w:hAnsi="Times New Roman" w:eastAsia="宋体" w:cs="Times New Roman"/>
          <w:color w:val="000000" w:themeColor="text1"/>
          <w:spacing w:val="-3"/>
          <w:kern w:val="0"/>
          <w:szCs w:val="21"/>
          <w14:textFill>
            <w14:solidFill>
              <w14:schemeClr w14:val="tx1"/>
            </w14:solidFill>
          </w14:textFill>
        </w:rPr>
        <w:t>代</w:t>
      </w:r>
      <w:r>
        <w:rPr>
          <w:rFonts w:hint="eastAsia" w:ascii="Times New Roman" w:hAnsi="Times New Roman" w:eastAsia="宋体" w:cs="Times New Roman"/>
          <w:color w:val="000000" w:themeColor="text1"/>
          <w:kern w:val="0"/>
          <w:szCs w:val="21"/>
          <w14:textFill>
            <w14:solidFill>
              <w14:schemeClr w14:val="tx1"/>
            </w14:solidFill>
          </w14:textFill>
        </w:rPr>
        <w:t>表</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kern w:val="0"/>
          <w:szCs w:val="21"/>
          <w14:textFill>
            <w14:solidFill>
              <w14:schemeClr w14:val="tx1"/>
            </w14:solidFill>
          </w14:textFill>
        </w:rPr>
        <w:t>或</w:t>
      </w:r>
      <w:r>
        <w:rPr>
          <w:rFonts w:hint="eastAsia" w:ascii="Times New Roman" w:hAnsi="Times New Roman" w:eastAsia="宋体" w:cs="Times New Roman"/>
          <w:color w:val="000000" w:themeColor="text1"/>
          <w:spacing w:val="-3"/>
          <w:kern w:val="0"/>
          <w:szCs w:val="21"/>
          <w14:textFill>
            <w14:solidFill>
              <w14:schemeClr w14:val="tx1"/>
            </w14:solidFill>
          </w14:textFill>
        </w:rPr>
        <w:t>授</w:t>
      </w:r>
      <w:r>
        <w:rPr>
          <w:rFonts w:hint="eastAsia" w:ascii="Times New Roman" w:hAnsi="Times New Roman" w:eastAsia="宋体" w:cs="Times New Roman"/>
          <w:color w:val="000000" w:themeColor="text1"/>
          <w:kern w:val="0"/>
          <w:szCs w:val="21"/>
          <w14:textFill>
            <w14:solidFill>
              <w14:schemeClr w14:val="tx1"/>
            </w14:solidFill>
          </w14:textFill>
        </w:rPr>
        <w:t>权</w:t>
      </w:r>
      <w:r>
        <w:rPr>
          <w:rFonts w:hint="eastAsia" w:ascii="Times New Roman" w:hAnsi="Times New Roman" w:eastAsia="宋体" w:cs="Times New Roman"/>
          <w:color w:val="000000" w:themeColor="text1"/>
          <w:spacing w:val="-3"/>
          <w:kern w:val="0"/>
          <w:szCs w:val="21"/>
          <w14:textFill>
            <w14:solidFill>
              <w14:schemeClr w14:val="tx1"/>
            </w14:solidFill>
          </w14:textFill>
        </w:rPr>
        <w:t>委托人</w:t>
      </w:r>
      <w:r>
        <w:rPr>
          <w:rFonts w:hint="eastAsia" w:ascii="Times New Roman" w:hAnsi="Times New Roman" w:eastAsia="宋体" w:cs="Times New Roman"/>
          <w:color w:val="000000" w:themeColor="text1"/>
          <w:kern w:val="0"/>
          <w:szCs w:val="21"/>
          <w14:textFill>
            <w14:solidFill>
              <w14:schemeClr w14:val="tx1"/>
            </w14:solidFill>
          </w14:textFill>
        </w:rPr>
        <w:t>（个</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spacing w:val="-5"/>
          <w:kern w:val="0"/>
          <w:szCs w:val="21"/>
          <w14:textFill>
            <w14:solidFill>
              <w14:schemeClr w14:val="tx1"/>
            </w14:solidFill>
          </w14:textFill>
        </w:rPr>
        <w:t>签</w:t>
      </w:r>
      <w:r>
        <w:rPr>
          <w:rFonts w:hint="eastAsia" w:ascii="Times New Roman" w:hAnsi="Times New Roman" w:eastAsia="宋体" w:cs="Times New Roman"/>
          <w:color w:val="000000" w:themeColor="text1"/>
          <w:kern w:val="0"/>
          <w:szCs w:val="21"/>
          <w14:textFill>
            <w14:solidFill>
              <w14:schemeClr w14:val="tx1"/>
            </w14:solidFill>
          </w14:textFill>
        </w:rPr>
        <w:t>字或盖章</w:t>
      </w:r>
      <w:r>
        <w:rPr>
          <w:rFonts w:hint="eastAsia" w:ascii="Times New Roman" w:hAnsi="Times New Roman" w:eastAsia="宋体" w:cs="Times New Roman"/>
          <w:color w:val="000000" w:themeColor="text1"/>
          <w:spacing w:val="-8"/>
          <w:kern w:val="0"/>
          <w:szCs w:val="21"/>
          <w14:textFill>
            <w14:solidFill>
              <w14:schemeClr w14:val="tx1"/>
            </w14:solidFill>
          </w14:textFill>
        </w:rPr>
        <w:t>）：</w:t>
      </w:r>
      <w:r>
        <w:rPr>
          <w:rFonts w:ascii="Times New Roman" w:hAnsi="Times New Roman" w:eastAsia="宋体" w:cs="Times New Roman"/>
          <w:color w:val="000000" w:themeColor="text1"/>
          <w:spacing w:val="-10"/>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日    </w:t>
      </w:r>
      <w:r>
        <w:rPr>
          <w:rFonts w:hint="eastAsia" w:ascii="Times New Roman" w:hAnsi="Times New Roman" w:eastAsia="宋体" w:cs="Times New Roman"/>
          <w:color w:val="000000" w:themeColor="text1"/>
          <w:spacing w:val="-3"/>
          <w:kern w:val="0"/>
          <w:szCs w:val="21"/>
          <w14:textFill>
            <w14:solidFill>
              <w14:schemeClr w14:val="tx1"/>
            </w14:solidFill>
          </w14:textFill>
        </w:rPr>
        <w:t>期</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3"/>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99" w:right="3380"/>
        <w:jc w:val="left"/>
        <w:rPr>
          <w:rFonts w:ascii="Times New Roman" w:hAnsi="Times New Roman" w:eastAsia="宋体" w:cs="Times New Roman"/>
          <w:color w:val="000000" w:themeColor="text1"/>
          <w:kern w:val="0"/>
          <w:szCs w:val="21"/>
          <w14:textFill>
            <w14:solidFill>
              <w14:schemeClr w14:val="tx1"/>
            </w14:solidFill>
          </w14:textFill>
        </w:rPr>
        <w:sectPr>
          <w:pgSz w:w="11920" w:h="16850"/>
          <w:pgMar w:top="1380" w:right="1120" w:bottom="1240" w:left="1100" w:header="0" w:footer="1054" w:gutter="0"/>
          <w:pgNumType w:fmt="numberInDash"/>
          <w:cols w:space="720" w:num="1"/>
        </w:sectPr>
      </w:pPr>
    </w:p>
    <w:p>
      <w:pPr>
        <w:kinsoku w:val="0"/>
        <w:overflowPunct w:val="0"/>
        <w:autoSpaceDE w:val="0"/>
        <w:autoSpaceDN w:val="0"/>
        <w:adjustRightInd w:val="0"/>
        <w:spacing w:line="378" w:lineRule="exact"/>
        <w:ind w:left="558"/>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16" w:name="_Toc6385"/>
      <w:bookmarkStart w:id="217" w:name="_Toc12605"/>
      <w:bookmarkStart w:id="218" w:name="_Toc7547"/>
      <w:r>
        <w:rPr>
          <w:rFonts w:ascii="Times New Roman" w:hAnsi="Times New Roman" w:eastAsia="宋体" w:cs="Times New Roman"/>
          <w:color w:val="000000" w:themeColor="text1"/>
          <w:kern w:val="0"/>
          <w:sz w:val="24"/>
          <w:szCs w:val="24"/>
          <w14:textFill>
            <w14:solidFill>
              <w14:schemeClr w14:val="tx1"/>
            </w14:solidFill>
          </w14:textFill>
        </w:rPr>
        <w:t>3.2</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投标函附录</w:t>
      </w:r>
      <w:bookmarkEnd w:id="216"/>
      <w:bookmarkEnd w:id="217"/>
      <w:bookmarkEnd w:id="218"/>
    </w:p>
    <w:p>
      <w:pPr>
        <w:kinsoku w:val="0"/>
        <w:overflowPunct w:val="0"/>
        <w:autoSpaceDE w:val="0"/>
        <w:autoSpaceDN w:val="0"/>
        <w:adjustRightInd w:val="0"/>
        <w:spacing w:before="10"/>
        <w:jc w:val="left"/>
        <w:rPr>
          <w:rFonts w:ascii="Times New Roman" w:hAnsi="Times New Roman" w:eastAsia="宋体" w:cs="Times New Roman"/>
          <w:color w:val="000000" w:themeColor="text1"/>
          <w:kern w:val="0"/>
          <w:sz w:val="11"/>
          <w:szCs w:val="11"/>
          <w14:textFill>
            <w14:solidFill>
              <w14:schemeClr w14:val="tx1"/>
            </w14:solidFill>
          </w14:textFill>
        </w:rPr>
      </w:pP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p>
      <w:pPr>
        <w:kinsoku w:val="0"/>
        <w:overflowPunct w:val="0"/>
        <w:autoSpaceDE w:val="0"/>
        <w:autoSpaceDN w:val="0"/>
        <w:adjustRightInd w:val="0"/>
        <w:ind w:left="299"/>
        <w:jc w:val="left"/>
        <w:rPr>
          <w:rFonts w:ascii="Times New Roman" w:hAnsi="Times New Roman" w:eastAsia="宋体" w:cs="Times New Roman"/>
          <w:color w:val="000000" w:themeColor="text1"/>
          <w:kern w:val="0"/>
          <w:sz w:val="9"/>
          <w:szCs w:val="9"/>
          <w14:textFill>
            <w14:solidFill>
              <w14:schemeClr w14:val="tx1"/>
            </w14:solidFill>
          </w14:textFill>
        </w:rPr>
      </w:pPr>
      <w:r>
        <w:rPr>
          <w:rFonts w:ascii="Times New Roman" w:hAnsi="Times New Roman" w:eastAsia="宋体" w:cs="Times New Roman"/>
          <w:color w:val="000000" w:themeColor="text1"/>
          <w:w w:val="101"/>
          <w:kern w:val="0"/>
          <w:sz w:val="9"/>
          <w:szCs w:val="9"/>
          <w14:textFill>
            <w14:solidFill>
              <w14:schemeClr w14:val="tx1"/>
            </w14:solidFill>
          </w14:textFill>
        </w:rPr>
        <w:t xml:space="preserve"> </w:t>
      </w: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tbl>
      <w:tblPr>
        <w:tblStyle w:val="18"/>
        <w:tblW w:w="4903" w:type="pct"/>
        <w:tblInd w:w="-171" w:type="dxa"/>
        <w:tblLayout w:type="autofit"/>
        <w:tblCellMar>
          <w:top w:w="0" w:type="dxa"/>
          <w:left w:w="0" w:type="dxa"/>
          <w:bottom w:w="0" w:type="dxa"/>
          <w:right w:w="0" w:type="dxa"/>
        </w:tblCellMar>
      </w:tblPr>
      <w:tblGrid>
        <w:gridCol w:w="3424"/>
        <w:gridCol w:w="6313"/>
      </w:tblGrid>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3241"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13"/>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w:t>
            </w:r>
          </w:p>
        </w:tc>
        <w:tc>
          <w:tcPr>
            <w:tcW w:w="324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pPr>
            <w:r>
              <w:rPr>
                <w:rFonts w:hint="eastAsia" w:ascii="宋体" w:hAnsi="宋体" w:eastAsia="宋体" w:cs="宋体"/>
                <w:color w:val="000000" w:themeColor="text1"/>
                <w:kern w:val="0"/>
                <w:szCs w:val="21"/>
                <w14:textFill>
                  <w14:solidFill>
                    <w14:schemeClr w14:val="tx1"/>
                  </w14:solidFill>
                </w14:textFill>
              </w:rPr>
              <w:t>投标总价（元）</w:t>
            </w:r>
          </w:p>
        </w:tc>
        <w:tc>
          <w:tcPr>
            <w:tcW w:w="3241" w:type="pct"/>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投标内容</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11"/>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Times New Roman"/>
                <w:color w:val="000000" w:themeColor="text1"/>
                <w:kern w:val="0"/>
                <w:szCs w:val="21"/>
                <w14:textFill>
                  <w14:solidFill>
                    <w14:schemeClr w14:val="tx1"/>
                  </w14:solidFill>
                </w14:textFill>
              </w:rPr>
              <w:t>品牌</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Times New Roman"/>
                <w:color w:val="000000" w:themeColor="text1"/>
                <w:kern w:val="0"/>
                <w:szCs w:val="21"/>
                <w:lang w:val="en-US" w:eastAsia="zh-CN"/>
                <w14:textFill>
                  <w14:solidFill>
                    <w14:schemeClr w14:val="tx1"/>
                  </w14:solidFill>
                </w14:textFill>
              </w:rPr>
              <w:t>型号</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质保期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交货地点</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合格</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4"/>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付款方式</w:t>
            </w:r>
          </w:p>
        </w:tc>
        <w:tc>
          <w:tcPr>
            <w:tcW w:w="3241" w:type="pct"/>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其它</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完全响应采购文件要求</w:t>
            </w:r>
          </w:p>
        </w:tc>
      </w:tr>
      <w:tr>
        <w:tblPrEx>
          <w:tblCellMar>
            <w:top w:w="0" w:type="dxa"/>
            <w:left w:w="0" w:type="dxa"/>
            <w:bottom w:w="0" w:type="dxa"/>
            <w:right w:w="0" w:type="dxa"/>
          </w:tblCellMar>
        </w:tblPrEx>
        <w:trPr>
          <w:trHeight w:val="680" w:hRule="exact"/>
        </w:trPr>
        <w:tc>
          <w:tcPr>
            <w:tcW w:w="5000" w:type="pct"/>
            <w:gridSpan w:val="2"/>
            <w:tcBorders>
              <w:top w:val="single" w:color="auto" w:sz="4" w:space="0"/>
              <w:left w:val="single" w:color="000000" w:sz="4" w:space="0"/>
              <w:bottom w:val="single" w:color="000000" w:sz="4" w:space="0"/>
              <w:right w:val="single" w:color="auto" w:sz="4" w:space="0"/>
            </w:tcBorders>
            <w:vAlign w:val="center"/>
          </w:tcPr>
          <w:p>
            <w:pPr>
              <w:kinsoku w:val="0"/>
              <w:overflowPunct w:val="0"/>
              <w:autoSpaceDE w:val="0"/>
              <w:autoSpaceDN w:val="0"/>
              <w:adjustRightInd w:val="0"/>
              <w:spacing w:before="111"/>
              <w:ind w:left="42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r>
              <w:rPr>
                <w:rFonts w:hint="eastAsia" w:ascii="宋体" w:hAnsi="宋体" w:eastAsia="宋体" w:cs="宋体"/>
                <w:color w:val="000000" w:themeColor="text1"/>
                <w:spacing w:val="-3"/>
                <w:kern w:val="0"/>
                <w:szCs w:val="21"/>
                <w14:textFill>
                  <w14:solidFill>
                    <w14:schemeClr w14:val="tx1"/>
                  </w14:solidFill>
                </w14:textFill>
              </w:rPr>
              <w:t>补</w:t>
            </w:r>
            <w:r>
              <w:rPr>
                <w:rFonts w:hint="eastAsia" w:ascii="宋体" w:hAnsi="宋体" w:eastAsia="宋体" w:cs="宋体"/>
                <w:color w:val="000000" w:themeColor="text1"/>
                <w:kern w:val="0"/>
                <w:szCs w:val="21"/>
                <w14:textFill>
                  <w14:solidFill>
                    <w14:schemeClr w14:val="tx1"/>
                  </w14:solidFill>
                </w14:textFill>
              </w:rPr>
              <w:t>充</w:t>
            </w:r>
            <w:r>
              <w:rPr>
                <w:rFonts w:hint="eastAsia" w:ascii="宋体" w:hAnsi="宋体" w:eastAsia="宋体" w:cs="宋体"/>
                <w:color w:val="000000" w:themeColor="text1"/>
                <w:spacing w:val="-3"/>
                <w:kern w:val="0"/>
                <w:szCs w:val="21"/>
                <w14:textFill>
                  <w14:solidFill>
                    <w14:schemeClr w14:val="tx1"/>
                  </w14:solidFill>
                </w14:textFill>
              </w:rPr>
              <w:t>说</w:t>
            </w:r>
            <w:r>
              <w:rPr>
                <w:rFonts w:hint="eastAsia" w:ascii="宋体" w:hAnsi="宋体" w:eastAsia="宋体" w:cs="宋体"/>
                <w:color w:val="000000" w:themeColor="text1"/>
                <w:kern w:val="0"/>
                <w:szCs w:val="21"/>
                <w14:textFill>
                  <w14:solidFill>
                    <w14:schemeClr w14:val="tx1"/>
                  </w14:solidFill>
                </w14:textFill>
              </w:rPr>
              <w:t>明</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如有</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spacing w:val="-3"/>
                <w:kern w:val="0"/>
                <w:szCs w:val="21"/>
                <w14:textFill>
                  <w14:solidFill>
                    <w14:schemeClr w14:val="tx1"/>
                  </w14:solidFill>
                </w14:textFill>
              </w:rPr>
              <w:t>：</w:t>
            </w:r>
            <w:r>
              <w:rPr>
                <w:rFonts w:ascii="宋体" w:hAnsi="宋体" w:eastAsia="宋体" w:cs="宋体"/>
                <w:color w:val="000000" w:themeColor="text1"/>
                <w:kern w:val="0"/>
                <w:szCs w:val="21"/>
                <w14:textFill>
                  <w14:solidFill>
                    <w14:schemeClr w14:val="tx1"/>
                  </w14:solidFill>
                </w14:textFill>
              </w:rPr>
              <w:t xml:space="preserve"> </w:t>
            </w:r>
          </w:p>
        </w:tc>
      </w:tr>
    </w:tbl>
    <w:p>
      <w:pPr>
        <w:kinsoku w:val="0"/>
        <w:overflowPunct w:val="0"/>
        <w:autoSpaceDE w:val="0"/>
        <w:autoSpaceDN w:val="0"/>
        <w:adjustRightInd w:val="0"/>
        <w:spacing w:before="120" w:beforeLines="50"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bookmarkStart w:id="219" w:name="_Hlk88271934"/>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spacing w:val="3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34"/>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 xml:space="preserve">日期： </w:t>
      </w:r>
      <w:r>
        <w:rPr>
          <w:rFonts w:hint="eastAsia" w:ascii="Times New Roman" w:hAnsi="Times New Roman" w:eastAsia="宋体" w:cs="Times New Roman"/>
          <w:color w:val="000000" w:themeColor="text1"/>
          <w:kern w:val="0"/>
          <w:szCs w:val="21"/>
          <w14:textFill>
            <w14:solidFill>
              <w14:schemeClr w14:val="tx1"/>
            </w14:solidFill>
          </w14:textFill>
        </w:rPr>
        <w:t>年 月  日</w:t>
      </w:r>
      <w:bookmarkEnd w:id="219"/>
    </w:p>
    <w:p>
      <w:pPr>
        <w:kinsoku w:val="0"/>
        <w:overflowPunct w:val="0"/>
        <w:autoSpaceDE w:val="0"/>
        <w:autoSpaceDN w:val="0"/>
        <w:adjustRightInd w:val="0"/>
        <w:spacing w:line="378" w:lineRule="exact"/>
        <w:ind w:left="558"/>
        <w:jc w:val="center"/>
        <w:outlineLvl w:val="0"/>
        <w:rPr>
          <w:rFonts w:hint="eastAsia" w:ascii="Times New Roman" w:hAnsi="Times New Roman" w:eastAsia="宋体" w:cs="Times New Roman"/>
          <w:color w:val="000000" w:themeColor="text1"/>
          <w:kern w:val="0"/>
          <w:sz w:val="24"/>
          <w:szCs w:val="24"/>
          <w:lang w:eastAsia="zh-CN"/>
          <w14:textFill>
            <w14:solidFill>
              <w14:schemeClr w14:val="tx1"/>
            </w14:solidFill>
          </w14:textFill>
        </w:rPr>
      </w:pPr>
      <w:bookmarkStart w:id="220" w:name="_Toc5956062"/>
      <w:r>
        <w:rPr>
          <w:color w:val="000000" w:themeColor="text1"/>
          <w14:textFill>
            <w14:solidFill>
              <w14:schemeClr w14:val="tx1"/>
            </w14:solidFill>
          </w14:textFill>
        </w:rPr>
        <w:br w:type="page"/>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3.3</w:t>
      </w:r>
      <w:r>
        <w:rPr>
          <w:rFonts w:hint="eastAsia" w:ascii="Times New Roman" w:hAnsi="Times New Roman" w:eastAsia="宋体" w:cs="Times New Roman"/>
          <w:color w:val="000000" w:themeColor="text1"/>
          <w:kern w:val="0"/>
          <w:sz w:val="24"/>
          <w:szCs w:val="24"/>
          <w14:textFill>
            <w14:solidFill>
              <w14:schemeClr w14:val="tx1"/>
            </w14:solidFill>
          </w14:textFill>
        </w:rPr>
        <w:t>制造商授权书</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进口产品适用</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p>
    <w:p>
      <w:pPr>
        <w:pStyle w:val="6"/>
        <w:ind w:firstLine="0"/>
        <w:jc w:val="center"/>
        <w:rPr>
          <w:rFonts w:asciiTheme="minorEastAsia" w:hAnsiTheme="minorEastAsia" w:eastAsiaTheme="minorEastAsia"/>
          <w:color w:val="auto"/>
          <w:szCs w:val="21"/>
          <w:highlight w:val="none"/>
        </w:rPr>
      </w:pPr>
    </w:p>
    <w:p>
      <w:pPr>
        <w:pStyle w:val="6"/>
        <w:spacing w:line="420" w:lineRule="auto"/>
        <w:ind w:firstLine="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敬启者：</w:t>
      </w:r>
    </w:p>
    <w:p>
      <w:pPr>
        <w:pStyle w:val="6"/>
        <w:spacing w:line="420" w:lineRule="auto"/>
        <w:ind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w:t>
      </w:r>
      <w:r>
        <w:rPr>
          <w:rFonts w:hint="eastAsia" w:asciiTheme="minorEastAsia" w:hAnsiTheme="minorEastAsia" w:eastAsiaTheme="minorEastAsia"/>
          <w:i/>
          <w:iCs/>
          <w:color w:val="auto"/>
          <w:szCs w:val="21"/>
          <w:highlight w:val="none"/>
          <w:u w:val="single"/>
        </w:rPr>
        <w:t>生产厂家</w:t>
      </w:r>
      <w:r>
        <w:rPr>
          <w:rFonts w:asciiTheme="minorEastAsia" w:hAnsiTheme="minorEastAsia" w:eastAsiaTheme="minorEastAsia"/>
          <w:i/>
          <w:iCs/>
          <w:color w:val="auto"/>
          <w:szCs w:val="21"/>
          <w:highlight w:val="none"/>
          <w:u w:val="single"/>
        </w:rPr>
        <w:t>/</w:t>
      </w:r>
      <w:r>
        <w:rPr>
          <w:rFonts w:hint="eastAsia" w:asciiTheme="minorEastAsia" w:hAnsiTheme="minorEastAsia" w:eastAsiaTheme="minorEastAsia"/>
          <w:i/>
          <w:iCs/>
          <w:color w:val="auto"/>
          <w:szCs w:val="21"/>
          <w:highlight w:val="none"/>
          <w:u w:val="single"/>
        </w:rPr>
        <w:t>公司或指定代理名称</w:t>
      </w:r>
      <w:r>
        <w:rPr>
          <w:rFonts w:hint="eastAsia" w:asciiTheme="minorEastAsia" w:hAnsiTheme="minorEastAsia" w:eastAsiaTheme="minorEastAsia"/>
          <w:color w:val="auto"/>
          <w:szCs w:val="21"/>
          <w:highlight w:val="none"/>
        </w:rPr>
        <w:t>）是</w:t>
      </w:r>
      <w:r>
        <w:rPr>
          <w:rFonts w:hint="eastAsia" w:asciiTheme="minorEastAsia" w:hAnsiTheme="minorEastAsia" w:eastAsiaTheme="minorEastAsia"/>
          <w:i/>
          <w:iCs/>
          <w:color w:val="auto"/>
          <w:szCs w:val="21"/>
          <w:highlight w:val="none"/>
          <w:u w:val="single"/>
        </w:rPr>
        <w:t>（国家名称）</w:t>
      </w:r>
      <w:r>
        <w:rPr>
          <w:rFonts w:hint="eastAsia" w:asciiTheme="minorEastAsia" w:hAnsiTheme="minorEastAsia" w:eastAsiaTheme="minorEastAsia"/>
          <w:color w:val="auto"/>
          <w:szCs w:val="21"/>
          <w:highlight w:val="none"/>
        </w:rPr>
        <w:t>的法定制造</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总代理商，商业总部设在</w:t>
      </w:r>
      <w:r>
        <w:rPr>
          <w:rFonts w:hint="eastAsia" w:asciiTheme="minorEastAsia" w:hAnsiTheme="minorEastAsia" w:eastAsiaTheme="minorEastAsia"/>
          <w:i/>
          <w:iCs/>
          <w:color w:val="auto"/>
          <w:szCs w:val="21"/>
          <w:highlight w:val="none"/>
          <w:u w:val="single"/>
        </w:rPr>
        <w:t>（地址）</w:t>
      </w:r>
      <w:r>
        <w:rPr>
          <w:rFonts w:hint="eastAsia" w:asciiTheme="minorEastAsia" w:hAnsiTheme="minorEastAsia" w:eastAsiaTheme="minorEastAsia"/>
          <w:color w:val="auto"/>
          <w:szCs w:val="21"/>
          <w:highlight w:val="none"/>
        </w:rPr>
        <w:t>，委托依国法律设立的商业总部设在</w:t>
      </w:r>
      <w:r>
        <w:rPr>
          <w:rFonts w:hint="eastAsia" w:asciiTheme="minorEastAsia" w:hAnsiTheme="minorEastAsia" w:eastAsiaTheme="minorEastAsia"/>
          <w:i/>
          <w:iCs/>
          <w:color w:val="auto"/>
          <w:szCs w:val="21"/>
          <w:highlight w:val="none"/>
          <w:u w:val="single"/>
        </w:rPr>
        <w:t>（地址）</w:t>
      </w:r>
      <w:r>
        <w:rPr>
          <w:rFonts w:hint="eastAsia" w:asciiTheme="minorEastAsia" w:hAnsiTheme="minorEastAsia" w:eastAsiaTheme="minorEastAsia"/>
          <w:color w:val="auto"/>
          <w:szCs w:val="21"/>
          <w:highlight w:val="none"/>
        </w:rPr>
        <w:t>的</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，作为我方真实的合法代理人进行下列有效活动：</w:t>
      </w:r>
    </w:p>
    <w:p>
      <w:pPr>
        <w:pStyle w:val="6"/>
        <w:numPr>
          <w:ilvl w:val="0"/>
          <w:numId w:val="5"/>
        </w:numPr>
        <w:tabs>
          <w:tab w:val="left" w:pos="0"/>
          <w:tab w:val="left" w:pos="90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代表我方应招标编号号招标文件要求，用我方提供的</w:t>
      </w:r>
      <w:r>
        <w:rPr>
          <w:rFonts w:hint="eastAsia" w:asciiTheme="minorEastAsia" w:hAnsiTheme="minorEastAsia" w:eastAsiaTheme="minorEastAsia"/>
          <w:i/>
          <w:iCs/>
          <w:color w:val="auto"/>
          <w:szCs w:val="21"/>
          <w:highlight w:val="none"/>
          <w:u w:val="single"/>
        </w:rPr>
        <w:t>（货物名称）</w:t>
      </w:r>
      <w:r>
        <w:rPr>
          <w:rFonts w:hint="eastAsia" w:asciiTheme="minorEastAsia" w:hAnsiTheme="minorEastAsia" w:eastAsiaTheme="minorEastAsia"/>
          <w:color w:val="auto"/>
          <w:szCs w:val="21"/>
          <w:highlight w:val="none"/>
        </w:rPr>
        <w:t>参加投标，并对我方具有约束力。</w:t>
      </w:r>
    </w:p>
    <w:p>
      <w:pPr>
        <w:pStyle w:val="6"/>
        <w:numPr>
          <w:ilvl w:val="0"/>
          <w:numId w:val="5"/>
        </w:numPr>
        <w:tabs>
          <w:tab w:val="left" w:pos="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作为制造商</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指定总代理，我方保证以投标合作者来约束自己，并对该次投标共同和分别承担招标文件中所规定的义务。</w:t>
      </w:r>
    </w:p>
    <w:p>
      <w:pPr>
        <w:pStyle w:val="6"/>
        <w:numPr>
          <w:ilvl w:val="0"/>
          <w:numId w:val="5"/>
        </w:numPr>
        <w:tabs>
          <w:tab w:val="left" w:pos="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我们兹授予</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全权办理和履行上述我方为完成上述各所必须的事宜，具有撤消或替换的全权。兹确认</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或其正式授权代表依此合法地办理一切事宜。</w:t>
      </w:r>
    </w:p>
    <w:p>
      <w:pPr>
        <w:pStyle w:val="6"/>
        <w:spacing w:line="420" w:lineRule="auto"/>
        <w:rPr>
          <w:rFonts w:asciiTheme="minorEastAsia" w:hAnsiTheme="minorEastAsia" w:eastAsiaTheme="minorEastAsia"/>
          <w:color w:val="auto"/>
          <w:szCs w:val="21"/>
          <w:highlight w:val="none"/>
        </w:rPr>
      </w:pPr>
    </w:p>
    <w:p>
      <w:pPr>
        <w:pStyle w:val="6"/>
        <w:spacing w:line="42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我们于年月日签署本文以资证明。</w:t>
      </w: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Cs w:val="21"/>
          <w:highlight w:val="none"/>
        </w:rPr>
      </w:pP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授权方名称（盖章）</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　 被授权方名称（盖章）</w:t>
      </w:r>
      <w:r>
        <w:rPr>
          <w:rFonts w:hint="eastAsia" w:asciiTheme="minorEastAsia" w:hAnsiTheme="minorEastAsia" w:eastAsiaTheme="minorEastAsia"/>
          <w:color w:val="auto"/>
          <w:szCs w:val="21"/>
          <w:highlight w:val="none"/>
          <w:u w:val="single"/>
        </w:rPr>
        <w:t>　　　　　　　　　</w:t>
      </w: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法人或授权代表人姓名（签字）</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 xml:space="preserve">    法人或授权代表人姓名（签字）</w:t>
      </w:r>
      <w:r>
        <w:rPr>
          <w:rFonts w:hint="eastAsia" w:asciiTheme="minorEastAsia" w:hAnsiTheme="minorEastAsia" w:eastAsiaTheme="minorEastAsia"/>
          <w:color w:val="auto"/>
          <w:szCs w:val="21"/>
          <w:highlight w:val="none"/>
          <w:u w:val="single"/>
        </w:rPr>
        <w:t>　  　　　　　　　　</w:t>
      </w: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w:t>
      </w: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注：本授权书可采用投标单位自有的既定格式，不受规定格式限制。</w:t>
      </w:r>
    </w:p>
    <w:p>
      <w:pPr>
        <w:widowControl/>
        <w:jc w:val="left"/>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pPr>
    </w:p>
    <w:p>
      <w:pPr>
        <w:kinsoku w:val="0"/>
        <w:overflowPunct w:val="0"/>
        <w:autoSpaceDE w:val="0"/>
        <w:autoSpaceDN w:val="0"/>
        <w:adjustRightInd w:val="0"/>
        <w:spacing w:line="353" w:lineRule="exact"/>
        <w:ind w:left="3317"/>
        <w:jc w:val="left"/>
        <w:outlineLvl w:val="0"/>
        <w:rPr>
          <w:rFonts w:hint="eastAsia" w:ascii="宋体" w:hAnsi="Times New Roman" w:eastAsia="宋体" w:cs="宋体"/>
          <w:color w:val="000000" w:themeColor="text1"/>
          <w:kern w:val="0"/>
          <w:sz w:val="28"/>
          <w:szCs w:val="28"/>
          <w14:textFill>
            <w14:solidFill>
              <w14:schemeClr w14:val="tx1"/>
            </w14:solidFill>
          </w14:textFill>
        </w:rPr>
      </w:pPr>
      <w:bookmarkStart w:id="221" w:name="_Toc19494"/>
      <w:bookmarkStart w:id="222" w:name="_Toc32423"/>
      <w:bookmarkStart w:id="223" w:name="_Toc88447544"/>
      <w:bookmarkStart w:id="224" w:name="_Toc19950"/>
      <w:bookmarkStart w:id="225" w:name="_Toc10743"/>
      <w:r>
        <w:rPr>
          <w:rFonts w:hint="eastAsia" w:ascii="宋体" w:hAnsi="Times New Roman" w:eastAsia="宋体" w:cs="宋体"/>
          <w:color w:val="000000" w:themeColor="text1"/>
          <w:kern w:val="0"/>
          <w:sz w:val="28"/>
          <w:szCs w:val="28"/>
          <w14:textFill>
            <w14:solidFill>
              <w14:schemeClr w14:val="tx1"/>
            </w14:solidFill>
          </w14:textFill>
        </w:rPr>
        <w:t>四、投标报价明细表</w:t>
      </w:r>
      <w:bookmarkEnd w:id="220"/>
      <w:bookmarkEnd w:id="221"/>
      <w:bookmarkEnd w:id="222"/>
      <w:bookmarkEnd w:id="223"/>
      <w:bookmarkEnd w:id="224"/>
      <w:bookmarkEnd w:id="225"/>
    </w:p>
    <w:p>
      <w:pPr>
        <w:tabs>
          <w:tab w:val="left" w:pos="5755"/>
          <w:tab w:val="left" w:pos="7435"/>
        </w:tabs>
        <w:kinsoku w:val="0"/>
        <w:overflowPunct w:val="0"/>
        <w:autoSpaceDE w:val="0"/>
        <w:autoSpaceDN w:val="0"/>
        <w:adjustRightInd w:val="0"/>
        <w:spacing w:before="186" w:after="120" w:afterLines="50"/>
        <w:ind w:left="476" w:right="601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采购编号：      包段：</w:t>
      </w:r>
      <w:r>
        <w:rPr>
          <w:rFonts w:ascii="Times New Roman" w:hAnsi="Times New Roman" w:eastAsia="宋体" w:cs="Times New Roman"/>
          <w:color w:val="000000" w:themeColor="text1"/>
          <w:spacing w:val="-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金额单位：</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元（人民币）</w:t>
      </w:r>
      <w:r>
        <w:rPr>
          <w:rFonts w:ascii="Times New Roman" w:hAnsi="Times New Roman" w:eastAsia="宋体" w:cs="Times New Roman"/>
          <w:color w:val="000000" w:themeColor="text1"/>
          <w:kern w:val="0"/>
          <w:szCs w:val="21"/>
          <w14:textFill>
            <w14:solidFill>
              <w14:schemeClr w14:val="tx1"/>
            </w14:solidFill>
          </w14:textFill>
        </w:rPr>
        <w:t xml:space="preserve"> </w:t>
      </w:r>
    </w:p>
    <w:tbl>
      <w:tblPr>
        <w:tblStyle w:val="18"/>
        <w:tblW w:w="0" w:type="auto"/>
        <w:tblInd w:w="-11" w:type="dxa"/>
        <w:tblLayout w:type="fixed"/>
        <w:tblCellMar>
          <w:top w:w="0" w:type="dxa"/>
          <w:left w:w="0" w:type="dxa"/>
          <w:bottom w:w="0" w:type="dxa"/>
          <w:right w:w="0" w:type="dxa"/>
        </w:tblCellMar>
      </w:tblPr>
      <w:tblGrid>
        <w:gridCol w:w="559"/>
        <w:gridCol w:w="1017"/>
        <w:gridCol w:w="992"/>
        <w:gridCol w:w="597"/>
        <w:gridCol w:w="679"/>
        <w:gridCol w:w="992"/>
        <w:gridCol w:w="1417"/>
        <w:gridCol w:w="1418"/>
        <w:gridCol w:w="1843"/>
      </w:tblGrid>
      <w:tr>
        <w:tblPrEx>
          <w:tblCellMar>
            <w:top w:w="0" w:type="dxa"/>
            <w:left w:w="0" w:type="dxa"/>
            <w:bottom w:w="0" w:type="dxa"/>
            <w:right w:w="0" w:type="dxa"/>
          </w:tblCellMar>
        </w:tblPrEx>
        <w:trPr>
          <w:trHeight w:val="11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序号</w:t>
            </w:r>
          </w:p>
        </w:tc>
        <w:tc>
          <w:tcPr>
            <w:tcW w:w="10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产品名称</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规格型号</w:t>
            </w:r>
          </w:p>
        </w:tc>
        <w:tc>
          <w:tcPr>
            <w:tcW w:w="59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69"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品牌产地</w:t>
            </w:r>
          </w:p>
        </w:tc>
        <w:tc>
          <w:tcPr>
            <w:tcW w:w="67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71"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单位</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475" w:right="103" w:hanging="368"/>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194" w:right="34" w:hanging="159"/>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单价（元）</w:t>
            </w:r>
          </w:p>
        </w:tc>
        <w:tc>
          <w:tcPr>
            <w:tcW w:w="141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金额（元）</w:t>
            </w:r>
          </w:p>
        </w:tc>
        <w:tc>
          <w:tcPr>
            <w:tcW w:w="184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备注</w:t>
            </w:r>
          </w:p>
        </w:tc>
      </w:tr>
      <w:tr>
        <w:tblPrEx>
          <w:tblCellMar>
            <w:top w:w="0" w:type="dxa"/>
            <w:left w:w="0" w:type="dxa"/>
            <w:bottom w:w="0" w:type="dxa"/>
            <w:right w:w="0" w:type="dxa"/>
          </w:tblCellMar>
        </w:tblPrEx>
        <w:trPr>
          <w:trHeight w:val="6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1</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2</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3</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0"/>
                <w:szCs w:val="20"/>
                <w14:textFill>
                  <w14:solidFill>
                    <w14:schemeClr w14:val="tx1"/>
                  </w14:solidFill>
                </w14:textFill>
              </w:rPr>
              <w:t>……</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2568" w:type="dxa"/>
            <w:gridSpan w:val="3"/>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p>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合</w:t>
            </w:r>
            <w:r>
              <w:rPr>
                <w:rFonts w:ascii="宋体" w:hAnsi="Times New Roman" w:eastAsia="宋体" w:cs="宋体"/>
                <w:color w:val="000000" w:themeColor="text1"/>
                <w:kern w:val="0"/>
                <w:sz w:val="20"/>
                <w:szCs w:val="20"/>
                <w14:textFill>
                  <w14:solidFill>
                    <w14:schemeClr w14:val="tx1"/>
                  </w14:solidFill>
                </w14:textFill>
              </w:rPr>
              <w:t xml:space="preserve"> </w:t>
            </w:r>
            <w:r>
              <w:rPr>
                <w:rFonts w:hint="eastAsia" w:ascii="宋体" w:hAnsi="Times New Roman" w:eastAsia="宋体" w:cs="宋体"/>
                <w:color w:val="000000" w:themeColor="text1"/>
                <w:kern w:val="0"/>
                <w:sz w:val="20"/>
                <w:szCs w:val="20"/>
                <w14:textFill>
                  <w14:solidFill>
                    <w14:schemeClr w14:val="tx1"/>
                  </w14:solidFill>
                </w14:textFill>
              </w:rPr>
              <w:t>计（人民币）</w:t>
            </w:r>
            <w:r>
              <w:rPr>
                <w:rFonts w:ascii="宋体" w:hAnsi="Times New Roman" w:eastAsia="宋体" w:cs="宋体"/>
                <w:color w:val="000000" w:themeColor="text1"/>
                <w:kern w:val="0"/>
                <w:sz w:val="20"/>
                <w:szCs w:val="20"/>
                <w14:textFill>
                  <w14:solidFill>
                    <w14:schemeClr w14:val="tx1"/>
                  </w14:solidFill>
                </w14:textFill>
              </w:rPr>
              <w:t xml:space="preserve"> </w:t>
            </w: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小写：</w:t>
            </w:r>
          </w:p>
        </w:tc>
        <w:tc>
          <w:tcPr>
            <w:tcW w:w="167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大写：</w:t>
            </w:r>
          </w:p>
        </w:tc>
        <w:tc>
          <w:tcPr>
            <w:tcW w:w="326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bl>
    <w:p>
      <w:pPr>
        <w:kinsoku w:val="0"/>
        <w:overflowPunct w:val="0"/>
        <w:autoSpaceDE w:val="0"/>
        <w:autoSpaceDN w:val="0"/>
        <w:adjustRightInd w:val="0"/>
        <w:spacing w:before="120" w:beforeLines="50" w:line="241" w:lineRule="exact"/>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注：若总价与单价不符，以单价为准，并修正总价。</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29"/>
        <w:ind w:left="498"/>
        <w:jc w:val="left"/>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26" w:name="_Toc5956063"/>
      <w:r>
        <w:rPr>
          <w:rFonts w:hint="eastAsia" w:ascii="宋体" w:hAnsi="Times New Roman" w:eastAsia="宋体" w:cs="宋体"/>
          <w:color w:val="000000" w:themeColor="text1"/>
          <w:kern w:val="0"/>
          <w:sz w:val="28"/>
          <w:szCs w:val="28"/>
          <w14:textFill>
            <w14:solidFill>
              <w14:schemeClr w14:val="tx1"/>
            </w14:solidFill>
          </w14:textFill>
        </w:rPr>
        <w:br w:type="page"/>
      </w:r>
      <w:bookmarkEnd w:id="226"/>
      <w:bookmarkStart w:id="227" w:name="_Toc19551"/>
      <w:bookmarkStart w:id="228" w:name="_Toc3407"/>
      <w:bookmarkStart w:id="229" w:name="_Toc88447545"/>
      <w:bookmarkStart w:id="230" w:name="_Toc31185"/>
      <w:bookmarkStart w:id="231" w:name="_Toc20061"/>
      <w:bookmarkStart w:id="232" w:name="_Toc5956068"/>
      <w:r>
        <w:rPr>
          <w:rFonts w:hint="eastAsia" w:ascii="宋体" w:hAnsi="Times New Roman" w:eastAsia="宋体" w:cs="宋体"/>
          <w:color w:val="000000" w:themeColor="text1"/>
          <w:kern w:val="0"/>
          <w:sz w:val="28"/>
          <w:szCs w:val="28"/>
          <w14:textFill>
            <w14:solidFill>
              <w14:schemeClr w14:val="tx1"/>
            </w14:solidFill>
          </w14:textFill>
        </w:rPr>
        <w:t>五、商务条款偏差表</w:t>
      </w:r>
      <w:bookmarkEnd w:id="227"/>
      <w:bookmarkEnd w:id="228"/>
      <w:bookmarkEnd w:id="229"/>
      <w:bookmarkEnd w:id="230"/>
      <w:bookmarkEnd w:id="231"/>
      <w:bookmarkEnd w:id="23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8"/>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、供应商将任何不同于采购文件的商务条款列于“偏离表”中，同时在“偏离表”中注明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1"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33" w:name="_Toc607"/>
      <w:bookmarkStart w:id="234" w:name="_Toc16641"/>
      <w:bookmarkStart w:id="235" w:name="_Toc3435"/>
      <w:bookmarkStart w:id="236" w:name="_Toc20097"/>
      <w:bookmarkStart w:id="237" w:name="_Toc88447546"/>
      <w:bookmarkStart w:id="238" w:name="_Toc5956069"/>
      <w:r>
        <w:rPr>
          <w:rFonts w:hint="eastAsia" w:ascii="宋体" w:hAnsi="Times New Roman" w:eastAsia="宋体" w:cs="宋体"/>
          <w:color w:val="000000" w:themeColor="text1"/>
          <w:kern w:val="0"/>
          <w:sz w:val="28"/>
          <w:szCs w:val="28"/>
          <w14:textFill>
            <w14:solidFill>
              <w14:schemeClr w14:val="tx1"/>
            </w14:solidFill>
          </w14:textFill>
        </w:rPr>
        <w:t>六、技术条款偏差表</w:t>
      </w:r>
      <w:bookmarkEnd w:id="233"/>
      <w:bookmarkEnd w:id="234"/>
      <w:bookmarkEnd w:id="235"/>
      <w:bookmarkEnd w:id="23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8"/>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、供应商将任何不同于采购文件的技术条款列于“偏离表”中，同时在“偏离表”中注明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2"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8" w:lineRule="auto"/>
        <w:jc w:val="center"/>
        <w:outlineLvl w:val="9"/>
        <w:rPr>
          <w:rFonts w:ascii="宋体" w:hAnsi="Times New Roman" w:eastAsia="宋体" w:cs="宋体"/>
          <w:color w:val="000000" w:themeColor="text1"/>
          <w:kern w:val="0"/>
          <w:sz w:val="28"/>
          <w:szCs w:val="28"/>
          <w14:textFill>
            <w14:solidFill>
              <w14:schemeClr w14:val="tx1"/>
            </w14:solidFill>
          </w14:textFill>
        </w:rPr>
      </w:pP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39" w:name="_Toc7593"/>
      <w:bookmarkStart w:id="240" w:name="_Toc10076"/>
      <w:bookmarkStart w:id="241" w:name="_Toc19967"/>
      <w:bookmarkStart w:id="242" w:name="_Toc20845"/>
      <w:r>
        <w:rPr>
          <w:rFonts w:hint="eastAsia" w:ascii="宋体" w:hAnsi="Times New Roman" w:eastAsia="宋体" w:cs="宋体"/>
          <w:color w:val="000000" w:themeColor="text1"/>
          <w:kern w:val="0"/>
          <w:sz w:val="28"/>
          <w:szCs w:val="28"/>
          <w14:textFill>
            <w14:solidFill>
              <w14:schemeClr w14:val="tx1"/>
            </w14:solidFill>
          </w14:textFill>
        </w:rPr>
        <w:t>七、资格证明文件</w:t>
      </w:r>
      <w:bookmarkEnd w:id="237"/>
      <w:bookmarkEnd w:id="238"/>
      <w:bookmarkEnd w:id="239"/>
      <w:bookmarkEnd w:id="240"/>
      <w:bookmarkEnd w:id="241"/>
      <w:bookmarkEnd w:id="24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4"/>
          <w:szCs w:val="24"/>
          <w14:textFill>
            <w14:solidFill>
              <w14:schemeClr w14:val="tx1"/>
            </w14:solidFill>
          </w14:textFill>
        </w:rPr>
      </w:pPr>
      <w:bookmarkStart w:id="243" w:name="_Toc19390"/>
      <w:bookmarkStart w:id="244" w:name="_Toc8624"/>
      <w:bookmarkStart w:id="245" w:name="_Toc10891"/>
      <w:r>
        <w:rPr>
          <w:rFonts w:hint="eastAsia" w:ascii="宋体" w:hAnsi="Times New Roman" w:eastAsia="宋体" w:cs="宋体"/>
          <w:color w:val="000000" w:themeColor="text1"/>
          <w:spacing w:val="-5"/>
          <w:kern w:val="0"/>
          <w:sz w:val="24"/>
          <w:szCs w:val="24"/>
          <w14:textFill>
            <w14:solidFill>
              <w14:schemeClr w14:val="tx1"/>
            </w14:solidFill>
          </w14:textFill>
        </w:rPr>
        <w:t>7</w:t>
      </w:r>
      <w:r>
        <w:rPr>
          <w:rFonts w:ascii="宋体" w:hAnsi="Times New Roman" w:eastAsia="宋体" w:cs="宋体"/>
          <w:color w:val="000000" w:themeColor="text1"/>
          <w:spacing w:val="-5"/>
          <w:kern w:val="0"/>
          <w:sz w:val="24"/>
          <w:szCs w:val="24"/>
          <w14:textFill>
            <w14:solidFill>
              <w14:schemeClr w14:val="tx1"/>
            </w14:solidFill>
          </w14:textFill>
        </w:rPr>
        <w:t>.1</w:t>
      </w:r>
      <w:r>
        <w:rPr>
          <w:rFonts w:hint="eastAsia" w:ascii="宋体" w:hAnsi="Times New Roman" w:eastAsia="宋体" w:cs="宋体"/>
          <w:color w:val="000000" w:themeColor="text1"/>
          <w:spacing w:val="-5"/>
          <w:kern w:val="0"/>
          <w:sz w:val="24"/>
          <w:szCs w:val="24"/>
          <w14:textFill>
            <w14:solidFill>
              <w14:schemeClr w14:val="tx1"/>
            </w14:solidFill>
          </w14:textFill>
        </w:rPr>
        <w:t>申明资格信</w:t>
      </w:r>
      <w:bookmarkEnd w:id="243"/>
      <w:bookmarkEnd w:id="244"/>
      <w:bookmarkEnd w:id="245"/>
    </w:p>
    <w:p>
      <w:pPr>
        <w:kinsoku w:val="0"/>
        <w:overflowPunct w:val="0"/>
        <w:autoSpaceDE w:val="0"/>
        <w:autoSpaceDN w:val="0"/>
        <w:adjustRightInd w:val="0"/>
        <w:spacing w:line="360"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致：</w:t>
      </w:r>
      <w:r>
        <w:rPr>
          <w:rFonts w:hint="eastAsia" w:ascii="Times New Roman" w:hAnsi="Times New Roman" w:eastAsia="宋体" w:cs="Times New Roman"/>
          <w:color w:val="000000" w:themeColor="text1"/>
          <w:kern w:val="0"/>
          <w:szCs w:val="21"/>
          <w:u w:val="single"/>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关于</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spacing w:val="6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的采购公告，本公司愿意参加投标，并声明：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本公司（企业）具备《中华人民共和国政府采购法》第二十二条资格条件，</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并已经清楚采购文件的要求及有关文件规定。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本公司（企业）法定代表人或单位负责人与所参投的本采购项目</w:t>
      </w:r>
      <w:r>
        <w:rPr>
          <w:rFonts w:hint="eastAsia" w:ascii="Times New Roman" w:hAnsi="Times New Roman" w:eastAsia="宋体" w:cs="Times New Roman"/>
          <w:color w:val="000000" w:themeColor="text1"/>
          <w:spacing w:val="2"/>
          <w:kern w:val="0"/>
          <w:szCs w:val="21"/>
          <w:lang w:eastAsia="zh-CN"/>
          <w14:textFill>
            <w14:solidFill>
              <w14:schemeClr w14:val="tx1"/>
            </w14:solidFill>
          </w14:textFill>
        </w:rPr>
        <w:t>同一标段（设备）</w:t>
      </w:r>
      <w:r>
        <w:rPr>
          <w:rFonts w:hint="eastAsia" w:ascii="Times New Roman" w:hAnsi="Times New Roman" w:eastAsia="宋体" w:cs="Times New Roman"/>
          <w:color w:val="000000" w:themeColor="text1"/>
          <w:spacing w:val="2"/>
          <w:kern w:val="0"/>
          <w:szCs w:val="21"/>
          <w14:textFill>
            <w14:solidFill>
              <w14:schemeClr w14:val="tx1"/>
            </w14:solidFill>
          </w14:textFill>
        </w:rPr>
        <w:t>的其它供应商的法定</w:t>
      </w:r>
      <w:r>
        <w:rPr>
          <w:rFonts w:hint="eastAsia" w:ascii="Times New Roman" w:hAnsi="Times New Roman" w:eastAsia="宋体" w:cs="Times New Roman"/>
          <w:color w:val="000000" w:themeColor="text1"/>
          <w:kern w:val="0"/>
          <w:szCs w:val="21"/>
          <w14:textFill>
            <w14:solidFill>
              <w14:schemeClr w14:val="tx1"/>
            </w14:solidFill>
          </w14:textFill>
        </w:rPr>
        <w:t>代表人或单位负责人不为同一人且与其它供应商之间不存在直接控股、管理关系。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根据《中华人民共和国采购法实施条例》的规定，本公司（企业）如为本采购项目提</w:t>
      </w:r>
      <w:r>
        <w:rPr>
          <w:rFonts w:hint="eastAsia" w:ascii="Times New Roman" w:hAnsi="Times New Roman" w:eastAsia="宋体" w:cs="Times New Roman"/>
          <w:color w:val="000000" w:themeColor="text1"/>
          <w:spacing w:val="-4"/>
          <w:kern w:val="0"/>
          <w:szCs w:val="21"/>
          <w14:textFill>
            <w14:solidFill>
              <w14:schemeClr w14:val="tx1"/>
            </w14:solidFill>
          </w14:textFill>
        </w:rPr>
        <w:t>供整体设计规范编制或者项目管理、监测等服务的供应商，不得再参加该采购项目的其它采</w:t>
      </w:r>
      <w:r>
        <w:rPr>
          <w:rFonts w:ascii="Times New Roman" w:hAnsi="Times New Roman" w:eastAsia="宋体" w:cs="Times New Roman"/>
          <w:color w:val="000000" w:themeColor="text1"/>
          <w:spacing w:val="-102"/>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购活动，否则由此所造成的损失、不良后果及法律责任，一切由我公司（企业）承担。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本公司（企业）具有履行合同所必需的设备和专业技术能力，且本公司（企业）参加政</w:t>
      </w:r>
      <w:r>
        <w:rPr>
          <w:rFonts w:hint="eastAsia" w:ascii="Times New Roman" w:hAnsi="Times New Roman" w:eastAsia="宋体" w:cs="Times New Roman"/>
          <w:color w:val="000000" w:themeColor="text1"/>
          <w:spacing w:val="-4"/>
          <w:kern w:val="0"/>
          <w:szCs w:val="21"/>
          <w14:textFill>
            <w14:solidFill>
              <w14:schemeClr w14:val="tx1"/>
            </w14:solidFill>
          </w14:textFill>
        </w:rPr>
        <w:t>府采购活动前</w:t>
      </w:r>
      <w:r>
        <w:rPr>
          <w:rFonts w:ascii="Times New Roman" w:hAnsi="Times New Roman" w:eastAsia="宋体" w:cs="Times New Roman"/>
          <w:color w:val="000000" w:themeColor="text1"/>
          <w:kern w:val="0"/>
          <w:szCs w:val="21"/>
          <w14:textFill>
            <w14:solidFill>
              <w14:schemeClr w14:val="tx1"/>
            </w14:solidFill>
          </w14:textFill>
        </w:rPr>
        <w:t>3</w:t>
      </w:r>
      <w:r>
        <w:rPr>
          <w:rFonts w:hint="eastAsia" w:ascii="Times New Roman" w:hAnsi="Times New Roman" w:eastAsia="宋体" w:cs="Times New Roman"/>
          <w:color w:val="000000" w:themeColor="text1"/>
          <w:spacing w:val="-7"/>
          <w:kern w:val="0"/>
          <w:szCs w:val="21"/>
          <w14:textFill>
            <w14:solidFill>
              <w14:schemeClr w14:val="tx1"/>
            </w14:solidFill>
          </w14:textFill>
        </w:rPr>
        <w:t>年内，在经营活动中没有重大违法记录，否则由此所造成的损失、不良后果</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与采购人、采购人就本次采购项目委托的咨询机构、采购代理机构，以及上述机构的</w:t>
      </w:r>
      <w:r>
        <w:rPr>
          <w:rFonts w:hint="eastAsia" w:ascii="Times New Roman" w:hAnsi="Times New Roman" w:eastAsia="宋体" w:cs="Times New Roman"/>
          <w:color w:val="000000" w:themeColor="text1"/>
          <w:spacing w:val="-8"/>
          <w:kern w:val="0"/>
          <w:szCs w:val="21"/>
          <w14:textFill>
            <w14:solidFill>
              <w14:schemeClr w14:val="tx1"/>
            </w14:solidFill>
          </w14:textFill>
        </w:rPr>
        <w:t>附属机构，没有行政或经济关联；我公司独立参加投标，未组成联合体投标。</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我方保证上述信息的真实和准确，本次采购活动中如有违法、违规、弄虚作假行为，</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right="4332"/>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1979"/>
        </w:tabs>
        <w:kinsoku w:val="0"/>
        <w:overflowPunct w:val="0"/>
        <w:autoSpaceDE w:val="0"/>
        <w:autoSpaceDN w:val="0"/>
        <w:adjustRightInd w:val="0"/>
        <w:spacing w:before="34" w:line="357" w:lineRule="auto"/>
        <w:ind w:left="599" w:right="3485"/>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80" w:right="1100" w:bottom="1540" w:left="1100" w:header="0" w:footer="1356" w:gutter="0"/>
          <w:pgNumType w:fmt="numberInDash"/>
          <w:cols w:space="720" w:num="1"/>
        </w:sectPr>
      </w:pPr>
    </w:p>
    <w:p>
      <w:pPr>
        <w:autoSpaceDE w:val="0"/>
        <w:autoSpaceDN w:val="0"/>
        <w:adjustRightInd w:val="0"/>
        <w:spacing w:before="14" w:after="120" w:afterLines="50"/>
        <w:ind w:left="1213" w:right="595"/>
        <w:jc w:val="center"/>
        <w:outlineLvl w:val="0"/>
        <w:rPr>
          <w:rFonts w:hint="eastAsia" w:ascii="宋体" w:hAnsi="Times New Roman" w:eastAsia="宋体" w:cs="宋体"/>
          <w:color w:val="000000" w:themeColor="text1"/>
          <w:spacing w:val="-4"/>
          <w:kern w:val="0"/>
          <w:sz w:val="28"/>
          <w:szCs w:val="28"/>
          <w14:textFill>
            <w14:solidFill>
              <w14:schemeClr w14:val="tx1"/>
            </w14:solidFill>
          </w14:textFill>
        </w:rPr>
        <w:sectPr>
          <w:footerReference r:id="rId13" w:type="default"/>
          <w:pgSz w:w="11920" w:h="16850"/>
          <w:pgMar w:top="1600" w:right="1680" w:bottom="1540" w:left="1100" w:header="0" w:footer="1356" w:gutter="0"/>
          <w:pgNumType w:fmt="numberInDash"/>
          <w:cols w:space="720" w:num="1"/>
        </w:sectPr>
      </w:pPr>
      <w:bookmarkStart w:id="246" w:name="_Toc7950"/>
      <w:bookmarkStart w:id="247" w:name="_Toc30141"/>
      <w:bookmarkStart w:id="248" w:name="_Toc11175"/>
      <w:r>
        <w:rPr>
          <w:rFonts w:hint="eastAsia" w:ascii="宋体" w:hAnsi="Times New Roman" w:eastAsia="宋体" w:cs="宋体"/>
          <w:color w:val="000000" w:themeColor="text1"/>
          <w:spacing w:val="-4"/>
          <w:kern w:val="0"/>
          <w:sz w:val="28"/>
          <w:szCs w:val="28"/>
          <w14:textFill>
            <w14:solidFill>
              <w14:schemeClr w14:val="tx1"/>
            </w14:solidFill>
          </w14:textFill>
        </w:rPr>
        <w:t>7.2营业执照</w:t>
      </w:r>
      <w:bookmarkEnd w:id="246"/>
      <w:bookmarkEnd w:id="247"/>
      <w:bookmarkEnd w:id="248"/>
      <w:r>
        <w:rPr>
          <w:rFonts w:hint="eastAsia"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49" w:name="_Toc5956070"/>
      <w:bookmarkStart w:id="250" w:name="_Toc224"/>
      <w:bookmarkStart w:id="251" w:name="_Toc31148"/>
      <w:bookmarkStart w:id="252" w:name="_Toc15035"/>
      <w:bookmarkStart w:id="253" w:name="_Toc88447547"/>
      <w:bookmarkStart w:id="254" w:name="_Toc28535"/>
      <w:r>
        <w:rPr>
          <w:rFonts w:hint="eastAsia" w:ascii="宋体" w:hAnsi="Times New Roman" w:eastAsia="宋体" w:cs="宋体"/>
          <w:color w:val="000000" w:themeColor="text1"/>
          <w:kern w:val="0"/>
          <w:sz w:val="28"/>
          <w:szCs w:val="28"/>
          <w14:textFill>
            <w14:solidFill>
              <w14:schemeClr w14:val="tx1"/>
            </w14:solidFill>
          </w14:textFill>
        </w:rPr>
        <w:t>八、供应商综合能力证明文件</w:t>
      </w:r>
      <w:bookmarkEnd w:id="249"/>
      <w:bookmarkEnd w:id="250"/>
      <w:bookmarkEnd w:id="251"/>
      <w:bookmarkEnd w:id="252"/>
      <w:bookmarkEnd w:id="253"/>
      <w:bookmarkEnd w:id="254"/>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22"/>
        <w:ind w:left="618"/>
        <w:jc w:val="center"/>
        <w:outlineLvl w:val="0"/>
        <w:rPr>
          <w:rFonts w:ascii="宋体" w:hAnsi="Times New Roman" w:eastAsia="宋体" w:cs="宋体"/>
          <w:color w:val="000000" w:themeColor="text1"/>
          <w:kern w:val="0"/>
          <w:sz w:val="25"/>
          <w:szCs w:val="25"/>
          <w14:textFill>
            <w14:solidFill>
              <w14:schemeClr w14:val="tx1"/>
            </w14:solidFill>
          </w14:textFill>
        </w:rPr>
      </w:pPr>
      <w:bookmarkStart w:id="255" w:name="_Toc1937"/>
      <w:bookmarkStart w:id="256" w:name="_Toc1522"/>
      <w:bookmarkStart w:id="257" w:name="_Toc5003"/>
      <w:r>
        <w:rPr>
          <w:rFonts w:hint="eastAsia" w:ascii="宋体" w:hAnsi="Times New Roman" w:eastAsia="宋体" w:cs="宋体"/>
          <w:color w:val="000000" w:themeColor="text1"/>
          <w:w w:val="99"/>
          <w:kern w:val="0"/>
          <w:sz w:val="25"/>
          <w:szCs w:val="25"/>
          <w14:textFill>
            <w14:solidFill>
              <w14:schemeClr w14:val="tx1"/>
            </w14:solidFill>
          </w14:textFill>
        </w:rPr>
        <w:t>格式自拟</w:t>
      </w:r>
      <w:bookmarkEnd w:id="255"/>
      <w:bookmarkEnd w:id="256"/>
      <w:bookmarkEnd w:id="257"/>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2233"/>
        </w:tabs>
        <w:kinsoku w:val="0"/>
        <w:overflowPunct w:val="0"/>
        <w:autoSpaceDE w:val="0"/>
        <w:autoSpaceDN w:val="0"/>
        <w:adjustRightInd w:val="0"/>
        <w:spacing w:before="14"/>
        <w:ind w:left="674"/>
        <w:jc w:val="left"/>
        <w:rPr>
          <w:rFonts w:ascii="宋体" w:hAnsi="Times New Roman" w:eastAsia="宋体" w:cs="宋体"/>
          <w:color w:val="000000" w:themeColor="text1"/>
          <w:kern w:val="0"/>
          <w:sz w:val="28"/>
          <w:szCs w:val="28"/>
          <w14:textFill>
            <w14:solidFill>
              <w14:schemeClr w14:val="tx1"/>
            </w14:solidFill>
          </w14:textFill>
        </w:rPr>
        <w:sectPr>
          <w:pgSz w:w="11920" w:h="16850"/>
          <w:pgMar w:top="1600" w:right="1680" w:bottom="1540" w:left="1100" w:header="0" w:footer="1356" w:gutter="0"/>
          <w:pgNumType w:fmt="numberInDash"/>
          <w:cols w:space="720" w:num="1"/>
        </w:sectPr>
      </w:pPr>
    </w:p>
    <w:p>
      <w:pPr>
        <w:kinsoku w:val="0"/>
        <w:overflowPunct w:val="0"/>
        <w:autoSpaceDE w:val="0"/>
        <w:autoSpaceDN w:val="0"/>
        <w:adjustRightInd w:val="0"/>
        <w:spacing w:line="353" w:lineRule="exact"/>
        <w:ind w:left="3175"/>
        <w:jc w:val="left"/>
        <w:outlineLvl w:val="0"/>
        <w:rPr>
          <w:rFonts w:ascii="Times New Roman" w:hAnsi="Times New Roman" w:eastAsia="宋体" w:cs="Times New Roman"/>
          <w:color w:val="000000" w:themeColor="text1"/>
          <w:kern w:val="0"/>
          <w:sz w:val="28"/>
          <w:szCs w:val="28"/>
          <w14:textFill>
            <w14:solidFill>
              <w14:schemeClr w14:val="tx1"/>
            </w14:solidFill>
          </w14:textFill>
        </w:rPr>
      </w:pPr>
      <w:bookmarkStart w:id="258" w:name="_Toc29302"/>
      <w:bookmarkStart w:id="259" w:name="_Toc88447548"/>
      <w:bookmarkStart w:id="260" w:name="_Toc11603"/>
      <w:bookmarkStart w:id="261" w:name="_Toc9324"/>
      <w:bookmarkStart w:id="262" w:name="_Toc18935"/>
      <w:bookmarkStart w:id="263" w:name="_Toc5956073"/>
      <w:r>
        <w:rPr>
          <w:rFonts w:hint="eastAsia" w:ascii="Times New Roman" w:hAnsi="Times New Roman" w:eastAsia="宋体" w:cs="Times New Roman"/>
          <w:color w:val="000000" w:themeColor="text1"/>
          <w:kern w:val="0"/>
          <w:sz w:val="28"/>
          <w:szCs w:val="28"/>
          <w14:textFill>
            <w14:solidFill>
              <w14:schemeClr w14:val="tx1"/>
            </w14:solidFill>
          </w14:textFill>
        </w:rPr>
        <w:t>九、供应商反商业贿赂承诺书</w:t>
      </w:r>
      <w:bookmarkEnd w:id="258"/>
      <w:bookmarkEnd w:id="259"/>
      <w:bookmarkEnd w:id="260"/>
      <w:bookmarkEnd w:id="261"/>
      <w:bookmarkEnd w:id="262"/>
      <w:bookmarkEnd w:id="263"/>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before="240" w:beforeLines="100"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我公司承诺：</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在</w:t>
      </w:r>
      <w:r>
        <w:rPr>
          <w:rFonts w:ascii="宋体" w:hAnsi="Times New Roman" w:eastAsia="宋体" w:cs="宋体"/>
          <w:color w:val="000000" w:themeColor="text1"/>
          <w:kern w:val="0"/>
          <w:szCs w:val="21"/>
          <w14:textFill>
            <w14:solidFill>
              <w14:schemeClr w14:val="tx1"/>
            </w14:solidFill>
          </w14:textFill>
        </w:rPr>
        <w:t xml:space="preserve"> </w:t>
      </w:r>
      <w:r>
        <w:rPr>
          <w:rFonts w:hint="eastAsia" w:ascii="宋体" w:hAnsi="Times New Roman" w:eastAsia="宋体" w:cs="宋体"/>
          <w:color w:val="000000" w:themeColor="text1"/>
          <w:kern w:val="0"/>
          <w:szCs w:val="21"/>
          <w:u w:val="single"/>
          <w14:textFill>
            <w14:solidFill>
              <w14:schemeClr w14:val="tx1"/>
            </w14:solidFill>
          </w14:textFill>
        </w:rPr>
        <w:t>（投标项目名称）</w:t>
      </w:r>
      <w:r>
        <w:rPr>
          <w:rFonts w:hint="eastAsia" w:ascii="宋体" w:hAnsi="Times New Roman" w:eastAsia="宋体" w:cs="宋体"/>
          <w:color w:val="000000" w:themeColor="text1"/>
          <w:kern w:val="0"/>
          <w:szCs w:val="21"/>
          <w14:textFill>
            <w14:solidFill>
              <w14:schemeClr w14:val="tx1"/>
            </w14:solidFill>
          </w14:textFill>
        </w:rPr>
        <w:t>招标活动中，我公司保证做到：</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一、公平竞争参加本次招标活动。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三、若出现上述行为，我公司及参与投标的工作人员愿意接受按照国家法律法规等有关规定给予的处罚。</w:t>
      </w:r>
      <w:r>
        <w:rPr>
          <w:rFonts w:ascii="宋体" w:hAnsi="Times New Roman"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1"/>
        <w:ind w:left="678"/>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78"/>
        <w:ind w:left="678"/>
        <w:jc w:val="left"/>
        <w:rPr>
          <w:rFonts w:ascii="Times New Roman" w:hAnsi="Times New Roman" w:eastAsia="宋体" w:cs="Times New Roman"/>
          <w:color w:val="000000" w:themeColor="text1"/>
          <w:kern w:val="0"/>
          <w:sz w:val="28"/>
          <w:szCs w:val="28"/>
          <w14:textFill>
            <w14:solidFill>
              <w14:schemeClr w14:val="tx1"/>
            </w14:solidFill>
          </w14:textFill>
        </w:rPr>
      </w:pPr>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140"/>
        </w:tabs>
        <w:kinsoku w:val="0"/>
        <w:overflowPunct w:val="0"/>
        <w:autoSpaceDE w:val="0"/>
        <w:autoSpaceDN w:val="0"/>
        <w:adjustRightInd w:val="0"/>
        <w:spacing w:before="14"/>
        <w:ind w:left="678"/>
        <w:jc w:val="left"/>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264" w:name="_Toc16060"/>
      <w:r>
        <w:rPr>
          <w:rFonts w:hint="eastAsia" w:ascii="宋体" w:hAnsi="Times New Roman" w:eastAsia="宋体" w:cs="宋体"/>
          <w:color w:val="000000" w:themeColor="text1"/>
          <w:kern w:val="0"/>
          <w:sz w:val="28"/>
          <w:szCs w:val="28"/>
          <w14:textFill>
            <w14:solidFill>
              <w14:schemeClr w14:val="tx1"/>
            </w14:solidFill>
          </w14:textFill>
        </w:rPr>
        <w:t>十、中小企业声明函</w:t>
      </w:r>
      <w:bookmarkEnd w:id="264"/>
      <w:r>
        <w:rPr>
          <w:rFonts w:ascii="宋体" w:hAnsi="Times New Roman" w:eastAsia="宋体" w:cs="宋体"/>
          <w:color w:val="000000" w:themeColor="text1"/>
          <w:kern w:val="0"/>
          <w:sz w:val="28"/>
          <w:szCs w:val="28"/>
          <w14:textFill>
            <w14:solidFill>
              <w14:schemeClr w14:val="tx1"/>
            </w14:solidFill>
          </w14:textFill>
        </w:rPr>
        <w:t xml:space="preserve"> </w:t>
      </w:r>
    </w:p>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left="365" w:leftChars="174"/>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1.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 </w:t>
      </w:r>
      <w:r>
        <w:rPr>
          <w:rFonts w:hint="eastAsia" w:ascii="宋体" w:hAnsi="宋体" w:eastAsia="宋体" w:cs="宋体"/>
          <w:color w:val="000000" w:themeColor="text1"/>
          <w:kern w:val="0"/>
          <w:szCs w:val="21"/>
          <w:u w:val="single"/>
          <w14:textFill>
            <w14:solidFill>
              <w14:schemeClr w14:val="tx1"/>
            </w14:solidFill>
          </w14:textFill>
        </w:rPr>
        <w:t>（采购文件中明确的所属行业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w:t>
      </w:r>
      <w:r>
        <w:rPr>
          <w:rFonts w:hint="eastAsia" w:ascii="宋体" w:hAnsi="宋体" w:eastAsia="宋体" w:cs="宋体"/>
          <w:color w:val="000000" w:themeColor="text1"/>
          <w:kern w:val="0"/>
          <w:szCs w:val="21"/>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 xml:space="preserve">（企业名称） </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从业人员、营业执照、资产总额填报上一年度数据，无上一年度数据的新成立企业可不填报。</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265" w:name="_Toc7684"/>
      <w:bookmarkStart w:id="266" w:name="_Toc5956076"/>
      <w:bookmarkStart w:id="267" w:name="_Toc22457"/>
      <w:bookmarkStart w:id="268" w:name="_Toc88447551"/>
      <w:bookmarkStart w:id="269" w:name="_Toc10653"/>
      <w:bookmarkStart w:id="270" w:name="_Toc290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一</w:t>
      </w:r>
      <w:r>
        <w:rPr>
          <w:rFonts w:hint="eastAsia" w:ascii="宋体" w:hAnsi="Times New Roman" w:eastAsia="宋体" w:cs="宋体"/>
          <w:color w:val="000000" w:themeColor="text1"/>
          <w:kern w:val="0"/>
          <w:sz w:val="28"/>
          <w:szCs w:val="28"/>
          <w14:textFill>
            <w14:solidFill>
              <w14:schemeClr w14:val="tx1"/>
            </w14:solidFill>
          </w14:textFill>
        </w:rPr>
        <w:t>、监狱企业证明材料（如有）</w:t>
      </w:r>
      <w:bookmarkEnd w:id="265"/>
      <w:bookmarkEnd w:id="266"/>
      <w:bookmarkEnd w:id="267"/>
      <w:bookmarkEnd w:id="268"/>
      <w:bookmarkEnd w:id="269"/>
      <w:bookmarkEnd w:id="270"/>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由供应商提供由省级以上监狱管理局、戒毒管理局（含新疆生产建设兵团）出具的属</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于监狱企业的证明文件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4" w:type="default"/>
          <w:pgSz w:w="11920" w:h="16850"/>
          <w:pgMar w:top="1380" w:right="1220" w:bottom="1560" w:left="1100" w:header="0" w:footer="1373" w:gutter="0"/>
          <w:pgNumType w:fmt="numberInDash"/>
          <w:cols w:space="720" w:num="1"/>
        </w:sect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271" w:name="_Toc1068"/>
      <w:bookmarkStart w:id="272" w:name="_Toc88447552"/>
      <w:bookmarkStart w:id="273" w:name="_Toc9620"/>
      <w:bookmarkStart w:id="274" w:name="_Toc8816"/>
      <w:bookmarkStart w:id="275" w:name="_Toc28578"/>
      <w:bookmarkStart w:id="276" w:name="_Toc5956077"/>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二</w:t>
      </w:r>
      <w:r>
        <w:rPr>
          <w:rFonts w:hint="eastAsia" w:ascii="宋体" w:hAnsi="Times New Roman" w:eastAsia="宋体" w:cs="宋体"/>
          <w:color w:val="000000" w:themeColor="text1"/>
          <w:kern w:val="0"/>
          <w:sz w:val="28"/>
          <w:szCs w:val="28"/>
          <w14:textFill>
            <w14:solidFill>
              <w14:schemeClr w14:val="tx1"/>
            </w14:solidFill>
          </w14:textFill>
        </w:rPr>
        <w:t>、残疾人福利性单位声明函（如有）</w:t>
      </w:r>
      <w:bookmarkEnd w:id="271"/>
      <w:bookmarkEnd w:id="272"/>
      <w:bookmarkEnd w:id="273"/>
      <w:bookmarkEnd w:id="274"/>
      <w:bookmarkEnd w:id="275"/>
      <w:bookmarkEnd w:id="27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tabs>
          <w:tab w:val="left" w:pos="5246"/>
          <w:tab w:val="left" w:pos="6686"/>
        </w:tabs>
        <w:kinsoku w:val="0"/>
        <w:overflowPunct w:val="0"/>
        <w:autoSpaceDE w:val="0"/>
        <w:autoSpaceDN w:val="0"/>
        <w:adjustRightInd w:val="0"/>
        <w:spacing w:before="26" w:line="358" w:lineRule="auto"/>
        <w:ind w:left="119" w:right="102" w:firstLine="428" w:firstLineChars="200"/>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本单位郑重声明，根据《财政部民政部中国残疾人联合会关于促进残疾人就业政府采</w:t>
      </w:r>
      <w:r>
        <w:rPr>
          <w:rFonts w:hint="eastAsia" w:ascii="Times New Roman" w:hAnsi="Times New Roman" w:eastAsia="宋体" w:cs="Times New Roman"/>
          <w:color w:val="000000" w:themeColor="text1"/>
          <w:kern w:val="0"/>
          <w:szCs w:val="21"/>
          <w14:textFill>
            <w14:solidFill>
              <w14:schemeClr w14:val="tx1"/>
            </w14:solidFill>
          </w14:textFill>
        </w:rPr>
        <w:t>购政策的通知》（财库〔</w:t>
      </w:r>
      <w:r>
        <w:rPr>
          <w:rFonts w:ascii="Times New Roman" w:hAnsi="Times New Roman" w:eastAsia="宋体" w:cs="Times New Roman"/>
          <w:color w:val="000000" w:themeColor="text1"/>
          <w:kern w:val="0"/>
          <w:szCs w:val="21"/>
          <w14:textFill>
            <w14:solidFill>
              <w14:schemeClr w14:val="tx1"/>
            </w14:solidFill>
          </w14:textFill>
        </w:rPr>
        <w:t>2017</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141</w:t>
      </w:r>
      <w:r>
        <w:rPr>
          <w:rFonts w:hint="eastAsia" w:ascii="Times New Roman" w:hAnsi="Times New Roman" w:eastAsia="宋体" w:cs="Times New Roman"/>
          <w:color w:val="000000" w:themeColor="text1"/>
          <w:kern w:val="0"/>
          <w:szCs w:val="21"/>
          <w14:textFill>
            <w14:solidFill>
              <w14:schemeClr w14:val="tx1"/>
            </w14:solidFill>
          </w14:textFill>
        </w:rPr>
        <w:t>号）的规定，本单位为符合条件的残疾人福利性单位，</w:t>
      </w:r>
      <w:r>
        <w:rPr>
          <w:rFonts w:ascii="Times New Roman" w:hAnsi="Times New Roman" w:eastAsia="宋体" w:cs="Times New Roman"/>
          <w:color w:val="000000" w:themeColor="text1"/>
          <w:spacing w:val="-48"/>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且本单位参加</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单位的</w:t>
      </w:r>
      <w:r>
        <w:rPr>
          <w:rFonts w:hint="eastAsia" w:ascii="Times New Roman" w:hAnsi="Times New Roman" w:eastAsia="宋体" w:cs="Times New Roman"/>
          <w:color w:val="000000" w:themeColor="text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项目采购活动提供本单位制</w:t>
      </w:r>
      <w:r>
        <w:rPr>
          <w:rFonts w:ascii="Times New Roman" w:hAnsi="Times New Roman" w:eastAsia="宋体" w:cs="Times New Roman"/>
          <w:color w:val="000000" w:themeColor="text1"/>
          <w:spacing w:val="-11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5"/>
          <w:kern w:val="0"/>
          <w:szCs w:val="21"/>
          <w14:textFill>
            <w14:solidFill>
              <w14:schemeClr w14:val="tx1"/>
            </w14:solidFill>
          </w14:textFill>
        </w:rPr>
        <w:t>造的货物（或由本单位承担工程</w:t>
      </w:r>
      <w:r>
        <w:rPr>
          <w:rFonts w:ascii="Times New Roman" w:hAnsi="Times New Roman" w:eastAsia="宋体" w:cs="Times New Roman"/>
          <w:color w:val="000000" w:themeColor="text1"/>
          <w:spacing w:val="5"/>
          <w:kern w:val="0"/>
          <w:szCs w:val="21"/>
          <w14:textFill>
            <w14:solidFill>
              <w14:schemeClr w14:val="tx1"/>
            </w14:solidFill>
          </w14:textFill>
        </w:rPr>
        <w:t>/</w:t>
      </w:r>
      <w:r>
        <w:rPr>
          <w:rFonts w:hint="eastAsia" w:ascii="Times New Roman" w:hAnsi="Times New Roman" w:eastAsia="宋体" w:cs="Times New Roman"/>
          <w:color w:val="000000" w:themeColor="text1"/>
          <w:spacing w:val="5"/>
          <w:kern w:val="0"/>
          <w:szCs w:val="21"/>
          <w14:textFill>
            <w14:solidFill>
              <w14:schemeClr w14:val="tx1"/>
            </w14:solidFill>
          </w14:textFill>
        </w:rPr>
        <w:t>提供服务），或者提供其他残疾人福利性单位制造的货物</w:t>
      </w:r>
      <w:r>
        <w:rPr>
          <w:rFonts w:hint="eastAsia" w:ascii="Times New Roman" w:hAnsi="Times New Roman" w:eastAsia="宋体" w:cs="Times New Roman"/>
          <w:color w:val="000000" w:themeColor="text1"/>
          <w:kern w:val="0"/>
          <w:szCs w:val="21"/>
          <w14:textFill>
            <w14:solidFill>
              <w14:schemeClr w14:val="tx1"/>
            </w14:solidFill>
          </w14:textFill>
        </w:rPr>
        <w:t>（不包括使用非残疾人福利性单位注册商标的货物）。</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本单位对上述声明的真实性负责。如有虚假，将依法承担相应责任。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供应商名称（企业公章）：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5" w:type="default"/>
          <w:pgSz w:w="11920" w:h="16850"/>
          <w:pgMar w:top="1360" w:right="1020" w:bottom="1520" w:left="1100" w:header="0" w:footer="1330" w:gutter="0"/>
          <w:pgNumType w:fmt="numberInDash"/>
          <w:cols w:space="720" w:num="1"/>
        </w:sectPr>
      </w:pP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   月   日</w:t>
      </w: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277" w:name="_Toc24419"/>
      <w:bookmarkStart w:id="278" w:name="_Toc88447553"/>
      <w:bookmarkStart w:id="279" w:name="_Toc1439"/>
      <w:bookmarkStart w:id="280" w:name="_Toc7703"/>
      <w:bookmarkStart w:id="281" w:name="_Toc32291"/>
      <w:bookmarkStart w:id="282" w:name="_Toc13084"/>
      <w:bookmarkStart w:id="283" w:name="_Toc25922"/>
      <w:bookmarkStart w:id="284" w:name="_Toc595608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三</w:t>
      </w:r>
      <w:r>
        <w:rPr>
          <w:rFonts w:hint="eastAsia" w:ascii="宋体" w:hAnsi="Times New Roman" w:eastAsia="宋体" w:cs="宋体"/>
          <w:color w:val="000000" w:themeColor="text1"/>
          <w:kern w:val="0"/>
          <w:sz w:val="28"/>
          <w:szCs w:val="28"/>
          <w14:textFill>
            <w14:solidFill>
              <w14:schemeClr w14:val="tx1"/>
            </w14:solidFill>
          </w14:textFill>
        </w:rPr>
        <w:t>、节能产品、环境标志产品明细表</w:t>
      </w:r>
      <w:bookmarkEnd w:id="277"/>
      <w:bookmarkEnd w:id="278"/>
      <w:bookmarkEnd w:id="279"/>
      <w:bookmarkEnd w:id="280"/>
      <w:bookmarkEnd w:id="281"/>
      <w:bookmarkEnd w:id="282"/>
      <w:bookmarkEnd w:id="283"/>
    </w:p>
    <w:p>
      <w:pPr>
        <w:jc w:val="center"/>
        <w:rPr>
          <w:rFonts w:ascii="宋体" w:hAnsi="宋体" w:eastAsia="宋体" w:cs="Times New Roman"/>
          <w:b/>
          <w:color w:val="000000" w:themeColor="text1"/>
          <w:szCs w:val="21"/>
          <w:lang w:val="en-GB"/>
          <w14:textFill>
            <w14:solidFill>
              <w14:schemeClr w14:val="tx1"/>
            </w14:solidFill>
          </w14:textFill>
        </w:rPr>
      </w:pPr>
      <w:r>
        <w:rPr>
          <w:rFonts w:hint="eastAsia" w:ascii="宋体" w:hAnsi="宋体" w:eastAsia="宋体" w:cs="Times New Roman"/>
          <w:b/>
          <w:color w:val="000000" w:themeColor="text1"/>
          <w:szCs w:val="21"/>
          <w:lang w:val="en-GB"/>
          <w14:textFill>
            <w14:solidFill>
              <w14:schemeClr w14:val="tx1"/>
            </w14:solidFill>
          </w14:textFill>
        </w:rPr>
        <w:t>节能产品明细表</w:t>
      </w:r>
    </w:p>
    <w:p>
      <w:pPr>
        <w:spacing w:line="360" w:lineRule="auto"/>
        <w:rPr>
          <w:rFonts w:ascii="宋体" w:hAnsi="宋体" w:eastAsia="宋体" w:cs="宋体"/>
          <w:color w:val="000000" w:themeColor="text1"/>
          <w:szCs w:val="21"/>
          <w:lang w:val="en-GB"/>
          <w14:textFill>
            <w14:solidFill>
              <w14:schemeClr w14:val="tx1"/>
            </w14:solidFill>
          </w14:textFill>
        </w:rPr>
      </w:pPr>
    </w:p>
    <w:tbl>
      <w:tblPr>
        <w:tblStyle w:val="1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节字标志认证证书号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国家节能产品认证证书有效截止日期</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tabs>
          <w:tab w:val="left" w:pos="840"/>
        </w:tabs>
        <w:autoSpaceDE w:val="0"/>
        <w:autoSpaceDN w:val="0"/>
        <w:adjustRightInd w:val="0"/>
        <w:spacing w:line="360" w:lineRule="auto"/>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Times New Roman"/>
          <w:b/>
          <w:color w:val="000000" w:themeColor="text1"/>
          <w:kern w:val="0"/>
          <w:szCs w:val="21"/>
          <w:lang w:val="en-GB"/>
          <w14:textFill>
            <w14:solidFill>
              <w14:schemeClr w14:val="tx1"/>
            </w14:solidFill>
          </w14:textFill>
        </w:rPr>
        <w:t>环境标志产品明细表</w:t>
      </w:r>
    </w:p>
    <w:tbl>
      <w:tblPr>
        <w:tblStyle w:val="1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中国环境标志认证证书编号</w:t>
            </w:r>
          </w:p>
        </w:tc>
        <w:tc>
          <w:tcPr>
            <w:tcW w:w="994"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认证证书有效</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截止日期</w:t>
            </w:r>
          </w:p>
        </w:tc>
        <w:tc>
          <w:tcPr>
            <w:tcW w:w="994" w:type="dxa"/>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kinsoku w:val="0"/>
        <w:overflowPunct w:val="0"/>
        <w:autoSpaceDE w:val="0"/>
        <w:autoSpaceDN w:val="0"/>
        <w:adjustRightInd w:val="0"/>
        <w:spacing w:before="7"/>
        <w:ind w:firstLine="630" w:firstLineChars="300"/>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r>
        <w:rPr>
          <w:rFonts w:hint="eastAsia" w:ascii="宋体" w:hAnsi="宋体" w:eastAsia="宋体" w:cs="宋体"/>
          <w:color w:val="000000" w:themeColor="text1"/>
          <w:szCs w:val="21"/>
          <w:lang w:val="en-GB"/>
          <w14:textFill>
            <w14:solidFill>
              <w14:schemeClr w14:val="tx1"/>
            </w14:solidFill>
          </w14:textFill>
        </w:rPr>
        <w:t>填报要求：</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 本表的设备名称、品牌型号、金额应与</w:t>
      </w:r>
      <w:r>
        <w:rPr>
          <w:rFonts w:hint="eastAsia" w:ascii="宋体" w:hAnsi="宋体" w:eastAsia="宋体" w:cs="宋体"/>
          <w:bCs/>
          <w:color w:val="000000" w:themeColor="text1"/>
          <w:kern w:val="0"/>
          <w:szCs w:val="21"/>
          <w14:textFill>
            <w14:solidFill>
              <w14:schemeClr w14:val="tx1"/>
            </w14:solidFill>
          </w14:textFill>
        </w:rPr>
        <w:t>货物分项报价一览表</w:t>
      </w:r>
      <w:r>
        <w:rPr>
          <w:rFonts w:hint="eastAsia" w:ascii="宋体" w:hAnsi="宋体" w:eastAsia="宋体" w:cs="宋体"/>
          <w:color w:val="000000" w:themeColor="text1"/>
          <w:kern w:val="0"/>
          <w:szCs w:val="21"/>
          <w14:textFill>
            <w14:solidFill>
              <w14:schemeClr w14:val="tx1"/>
            </w14:solidFill>
          </w14:textFill>
        </w:rPr>
        <w:t>一致。</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 请</w:t>
      </w:r>
      <w:r>
        <w:rPr>
          <w:rFonts w:hint="eastAsia" w:ascii="Times New Roman" w:hAnsi="宋体" w:eastAsia="宋体" w:cs="Times New Roman"/>
          <w:color w:val="000000" w:themeColor="text1"/>
          <w:spacing w:val="6"/>
          <w:kern w:val="0"/>
          <w:szCs w:val="21"/>
          <w14:textFill>
            <w14:solidFill>
              <w14:schemeClr w14:val="tx1"/>
            </w14:solidFill>
          </w14:textFill>
        </w:rPr>
        <w:t>供应商</w:t>
      </w:r>
      <w:r>
        <w:rPr>
          <w:rFonts w:hint="eastAsia" w:ascii="宋体" w:hAnsi="宋体" w:eastAsia="宋体" w:cs="宋体"/>
          <w:color w:val="000000" w:themeColor="text1"/>
          <w:kern w:val="0"/>
          <w:szCs w:val="21"/>
          <w14:textFill>
            <w14:solidFill>
              <w14:schemeClr w14:val="tx1"/>
            </w14:solidFill>
          </w14:textFill>
        </w:rPr>
        <w:t>正确填写本表，所填内容将作为评审的依据。其内容或数据应与对应的证明资料相符。</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 没有相关产品，投标文件中此表可不填写，保留此格式。</w:t>
      </w:r>
      <w:r>
        <w:rPr>
          <w:rFonts w:ascii="宋体" w:hAnsi="宋体" w:eastAsia="宋体" w:cs="宋体"/>
          <w:color w:val="000000" w:themeColor="text1"/>
          <w:kern w:val="0"/>
          <w:szCs w:val="21"/>
          <w14:textFill>
            <w14:solidFill>
              <w14:schemeClr w14:val="tx1"/>
            </w14:solidFill>
          </w14:textFill>
        </w:rPr>
        <w:br w:type="page"/>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67"/>
        <w:ind w:left="373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85" w:name="_Toc15454"/>
      <w:bookmarkStart w:id="286" w:name="_Toc15512"/>
      <w:bookmarkStart w:id="287" w:name="_Toc25355"/>
      <w:bookmarkStart w:id="288" w:name="_Toc88447554"/>
      <w:bookmarkStart w:id="289" w:name="_Toc27974"/>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四</w:t>
      </w:r>
      <w:r>
        <w:rPr>
          <w:rFonts w:hint="eastAsia" w:ascii="宋体" w:hAnsi="Times New Roman" w:eastAsia="宋体" w:cs="宋体"/>
          <w:color w:val="000000" w:themeColor="text1"/>
          <w:kern w:val="0"/>
          <w:sz w:val="28"/>
          <w:szCs w:val="28"/>
          <w14:textFill>
            <w14:solidFill>
              <w14:schemeClr w14:val="tx1"/>
            </w14:solidFill>
          </w14:textFill>
        </w:rPr>
        <w:t>、技术支持</w:t>
      </w:r>
      <w:bookmarkEnd w:id="284"/>
      <w:r>
        <w:rPr>
          <w:rFonts w:hint="eastAsia" w:ascii="宋体" w:hAnsi="Times New Roman" w:eastAsia="宋体" w:cs="宋体"/>
          <w:color w:val="000000" w:themeColor="text1"/>
          <w:kern w:val="0"/>
          <w:sz w:val="28"/>
          <w:szCs w:val="28"/>
          <w14:textFill>
            <w14:solidFill>
              <w14:schemeClr w14:val="tx1"/>
            </w14:solidFill>
          </w14:textFill>
        </w:rPr>
        <w:t>资料</w:t>
      </w:r>
      <w:bookmarkEnd w:id="285"/>
      <w:bookmarkEnd w:id="286"/>
      <w:bookmarkEnd w:id="287"/>
      <w:bookmarkEnd w:id="288"/>
      <w:bookmarkEnd w:id="289"/>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90" w:name="_Toc27105"/>
      <w:bookmarkStart w:id="291" w:name="_Toc31611"/>
      <w:bookmarkStart w:id="292" w:name="_Toc32180"/>
      <w:r>
        <w:rPr>
          <w:rFonts w:hint="eastAsia" w:ascii="Times New Roman" w:hAnsi="Times New Roman" w:eastAsia="宋体" w:cs="Times New Roman"/>
          <w:color w:val="000000" w:themeColor="text1"/>
          <w:kern w:val="0"/>
          <w:sz w:val="24"/>
          <w:szCs w:val="24"/>
          <w14:textFill>
            <w14:solidFill>
              <w14:schemeClr w14:val="tx1"/>
            </w14:solidFill>
          </w14:textFill>
        </w:rPr>
        <w:t>格式自拟，要求按照招标参数要求，提供供应商产品资料。</w:t>
      </w:r>
      <w:bookmarkEnd w:id="290"/>
      <w:bookmarkEnd w:id="291"/>
      <w:bookmarkEnd w:id="292"/>
    </w:p>
    <w:p>
      <w:pPr>
        <w:kinsoku w:val="0"/>
        <w:overflowPunct w:val="0"/>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26"/>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100" w:bottom="1520" w:left="1100" w:header="0" w:footer="1330" w:gutter="0"/>
          <w:pgNumType w:fmt="numberInDash"/>
          <w:cols w:space="720" w:num="1"/>
          <w:titlePg/>
          <w:docGrid w:linePitch="326" w:charSpace="0"/>
        </w:sect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ind w:left="678" w:firstLine="560" w:firstLineChars="200"/>
        <w:jc w:val="left"/>
        <w:outlineLvl w:val="0"/>
        <w:rPr>
          <w:rFonts w:ascii="宋体" w:hAnsi="Times New Roman" w:eastAsia="宋体" w:cs="宋体"/>
          <w:color w:val="000000" w:themeColor="text1"/>
          <w:kern w:val="0"/>
          <w:sz w:val="28"/>
          <w:szCs w:val="28"/>
          <w14:textFill>
            <w14:solidFill>
              <w14:schemeClr w14:val="tx1"/>
            </w14:solidFill>
          </w14:textFill>
        </w:rPr>
      </w:pPr>
      <w:bookmarkStart w:id="293" w:name="_Toc6851"/>
      <w:bookmarkStart w:id="294" w:name="_Toc8962"/>
      <w:bookmarkStart w:id="295" w:name="_Toc88447556"/>
      <w:bookmarkStart w:id="296" w:name="_Toc13964"/>
      <w:bookmarkStart w:id="297" w:name="_Toc387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五</w:t>
      </w:r>
      <w:r>
        <w:rPr>
          <w:rFonts w:hint="eastAsia" w:ascii="宋体" w:hAnsi="Times New Roman" w:eastAsia="宋体" w:cs="宋体"/>
          <w:color w:val="000000" w:themeColor="text1"/>
          <w:kern w:val="0"/>
          <w:sz w:val="28"/>
          <w:szCs w:val="28"/>
          <w14:textFill>
            <w14:solidFill>
              <w14:schemeClr w14:val="tx1"/>
            </w14:solidFill>
          </w14:textFill>
        </w:rPr>
        <w:t>、供应商认为需要加以说明的其他内容</w:t>
      </w:r>
      <w:bookmarkEnd w:id="293"/>
      <w:bookmarkEnd w:id="294"/>
      <w:bookmarkEnd w:id="295"/>
      <w:bookmarkEnd w:id="296"/>
      <w:bookmarkEnd w:id="297"/>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pStyle w:val="41"/>
        <w:rPr>
          <w:color w:val="000000" w:themeColor="text1"/>
          <w14:textFill>
            <w14:solidFill>
              <w14:schemeClr w14:val="tx1"/>
            </w14:solidFill>
          </w14:textFill>
        </w:r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rPr>
          <w:color w:val="000000" w:themeColor="text1"/>
          <w14:textFill>
            <w14:solidFill>
              <w14:schemeClr w14:val="tx1"/>
            </w14:solidFill>
          </w14:textFill>
        </w:rPr>
      </w:pPr>
    </w:p>
    <w:p/>
    <w:p/>
    <w:p/>
    <w:sectPr>
      <w:pgSz w:w="11920" w:h="16850"/>
      <w:pgMar w:top="1380" w:right="1680" w:bottom="709" w:left="1680" w:header="0" w:footer="73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FangSong_GB2312">
    <w:altName w:val="仿宋"/>
    <w:panose1 w:val="02010609060101010101"/>
    <w:charset w:val="00"/>
    <w:family w:val="roman"/>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insoku w:val="0"/>
      <w:overflowPunct w:val="0"/>
      <w:spacing w:before="0" w:line="14" w:lineRule="auto"/>
      <w:ind w:left="0"/>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62 -</w: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581315"/>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7"/>
      <w:kinsoku w:val="0"/>
      <w:overflowPunct w:val="0"/>
      <w:spacing w:before="0" w:line="14" w:lineRule="auto"/>
      <w:ind w:left="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42 -</w:t>
    </w:r>
    <w:r>
      <w:fldChar w:fldCharType="end"/>
    </w:r>
  </w:p>
  <w:p>
    <w:pPr>
      <w:pStyle w:val="7"/>
      <w:kinsoku w:val="0"/>
      <w:overflowPunct w:val="0"/>
      <w:spacing w:before="0"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46 -</w:t>
    </w:r>
    <w:r>
      <w:fldChar w:fldCharType="end"/>
    </w:r>
  </w:p>
  <w:p>
    <w:pPr>
      <w:pStyle w:val="7"/>
      <w:kinsoku w:val="0"/>
      <w:overflowPunct w:val="0"/>
      <w:spacing w:before="0" w:line="14" w:lineRule="auto"/>
      <w:ind w:left="0"/>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7"/>
      <w:kinsoku w:val="0"/>
      <w:overflowPunct w:val="0"/>
      <w:spacing w:before="0" w:line="14" w:lineRule="auto"/>
      <w:ind w:left="0"/>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7"/>
      <w:kinsoku w:val="0"/>
      <w:overflowPunct w:val="0"/>
      <w:spacing w:before="0" w:line="14" w:lineRule="auto"/>
      <w:ind w:left="0"/>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58 -</w:t>
    </w:r>
    <w:r>
      <w:fldChar w:fldCharType="end"/>
    </w:r>
  </w:p>
  <w:p>
    <w:pPr>
      <w:pStyle w:val="7"/>
      <w:kinsoku w:val="0"/>
      <w:overflowPunct w:val="0"/>
      <w:spacing w:before="0" w:line="14" w:lineRule="auto"/>
      <w:ind w:left="0"/>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60 -</w:t>
    </w:r>
    <w:r>
      <w:fldChar w:fldCharType="end"/>
    </w:r>
  </w:p>
  <w:p>
    <w:pPr>
      <w:pStyle w:val="7"/>
      <w:kinsoku w:val="0"/>
      <w:overflowPunct w:val="0"/>
      <w:spacing w:before="0" w:line="14" w:lineRule="auto"/>
      <w:ind w:left="0"/>
      <w:rPr>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63 -</w:t>
    </w:r>
    <w:r>
      <w:fldChar w:fldCharType="end"/>
    </w:r>
  </w:p>
  <w:p>
    <w:pPr>
      <w:pStyle w:val="7"/>
      <w:kinsoku w:val="0"/>
      <w:overflowPunct w:val="0"/>
      <w:spacing w:before="0" w:line="14" w:lineRule="auto"/>
      <w:ind w:left="0"/>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F5A905"/>
    <w:multiLevelType w:val="singleLevel"/>
    <w:tmpl w:val="AEF5A905"/>
    <w:lvl w:ilvl="0" w:tentative="0">
      <w:start w:val="7"/>
      <w:numFmt w:val="chineseCounting"/>
      <w:suff w:val="nothing"/>
      <w:lvlText w:val="%1、"/>
      <w:lvlJc w:val="left"/>
      <w:rPr>
        <w:rFonts w:hint="eastAsia"/>
      </w:rPr>
    </w:lvl>
  </w:abstractNum>
  <w:abstractNum w:abstractNumId="1">
    <w:nsid w:val="FFFFFFFB"/>
    <w:multiLevelType w:val="multilevel"/>
    <w:tmpl w:val="FFFFFFFB"/>
    <w:lvl w:ilvl="0" w:tentative="0">
      <w:start w:val="1"/>
      <w:numFmt w:val="chineseCountingThousand"/>
      <w:lvlText w:val="%1."/>
      <w:legacy w:legacy="1" w:legacySpace="113" w:legacyIndent="425"/>
      <w:lvlJc w:val="left"/>
      <w:pPr>
        <w:ind w:left="425" w:hanging="425"/>
      </w:pPr>
      <w:rPr>
        <w:rFonts w:cs="Times New Roman"/>
      </w:rPr>
    </w:lvl>
    <w:lvl w:ilvl="1" w:tentative="0">
      <w:start w:val="1"/>
      <w:numFmt w:val="decimal"/>
      <w:lvlText w:val="%2."/>
      <w:legacy w:legacy="1" w:legacySpace="0" w:legacyIndent="425"/>
      <w:lvlJc w:val="left"/>
      <w:pPr>
        <w:ind w:left="851" w:hanging="425"/>
      </w:pPr>
      <w:rPr>
        <w:rFonts w:cs="Times New Roman"/>
      </w:rPr>
    </w:lvl>
    <w:lvl w:ilvl="2" w:tentative="0">
      <w:start w:val="1"/>
      <w:numFmt w:val="none"/>
      <w:pStyle w:val="4"/>
      <w:suff w:val="nothing"/>
      <w:lvlText w:val=""/>
      <w:lvlJc w:val="left"/>
      <w:pPr>
        <w:ind w:left="851" w:hanging="425"/>
      </w:pPr>
      <w:rPr>
        <w:rFonts w:cs="Times New Roman"/>
      </w:rPr>
    </w:lvl>
    <w:lvl w:ilvl="3" w:tentative="0">
      <w:start w:val="1"/>
      <w:numFmt w:val="lowerLetter"/>
      <w:lvlText w:val="%4)"/>
      <w:legacy w:legacy="1" w:legacySpace="0" w:legacyIndent="425"/>
      <w:lvlJc w:val="left"/>
      <w:pPr>
        <w:ind w:left="1700" w:hanging="425"/>
      </w:pPr>
      <w:rPr>
        <w:rFonts w:cs="Times New Roman"/>
      </w:rPr>
    </w:lvl>
    <w:lvl w:ilvl="4" w:tentative="0">
      <w:start w:val="1"/>
      <w:numFmt w:val="decimal"/>
      <w:lvlText w:val="(%5)"/>
      <w:legacy w:legacy="1" w:legacySpace="0" w:legacyIndent="425"/>
      <w:lvlJc w:val="left"/>
      <w:pPr>
        <w:ind w:left="2125" w:hanging="425"/>
      </w:pPr>
      <w:rPr>
        <w:rFonts w:cs="Times New Roman"/>
      </w:rPr>
    </w:lvl>
    <w:lvl w:ilvl="5" w:tentative="0">
      <w:start w:val="1"/>
      <w:numFmt w:val="lowerLetter"/>
      <w:lvlText w:val="(%6)"/>
      <w:legacy w:legacy="1" w:legacySpace="0" w:legacyIndent="425"/>
      <w:lvlJc w:val="left"/>
      <w:pPr>
        <w:ind w:left="2550" w:hanging="425"/>
      </w:pPr>
      <w:rPr>
        <w:rFonts w:cs="Times New Roman"/>
      </w:rPr>
    </w:lvl>
    <w:lvl w:ilvl="6" w:tentative="0">
      <w:start w:val="1"/>
      <w:numFmt w:val="lowerRoman"/>
      <w:lvlText w:val="(%7)"/>
      <w:legacy w:legacy="1" w:legacySpace="0" w:legacyIndent="425"/>
      <w:lvlJc w:val="left"/>
      <w:pPr>
        <w:ind w:left="2975" w:hanging="425"/>
      </w:pPr>
      <w:rPr>
        <w:rFonts w:cs="Times New Roman"/>
      </w:rPr>
    </w:lvl>
    <w:lvl w:ilvl="7" w:tentative="0">
      <w:start w:val="1"/>
      <w:numFmt w:val="lowerLetter"/>
      <w:lvlText w:val="(%8)"/>
      <w:legacy w:legacy="1" w:legacySpace="0" w:legacyIndent="425"/>
      <w:lvlJc w:val="left"/>
      <w:pPr>
        <w:ind w:left="3400" w:hanging="425"/>
      </w:pPr>
      <w:rPr>
        <w:rFonts w:cs="Times New Roman"/>
      </w:rPr>
    </w:lvl>
    <w:lvl w:ilvl="8" w:tentative="0">
      <w:start w:val="1"/>
      <w:numFmt w:val="lowerRoman"/>
      <w:lvlText w:val="(%9)"/>
      <w:legacy w:legacy="1" w:legacySpace="0" w:legacyIndent="425"/>
      <w:lvlJc w:val="left"/>
      <w:pPr>
        <w:ind w:left="3825" w:hanging="425"/>
      </w:pPr>
      <w:rPr>
        <w:rFonts w:cs="Times New Roman"/>
      </w:rPr>
    </w:lvl>
  </w:abstractNum>
  <w:abstractNum w:abstractNumId="2">
    <w:nsid w:val="0000001E"/>
    <w:multiLevelType w:val="multilevel"/>
    <w:tmpl w:val="0000001E"/>
    <w:lvl w:ilvl="0" w:tentative="0">
      <w:start w:val="1"/>
      <w:numFmt w:val="decimal"/>
      <w:lvlText w:val="%1."/>
      <w:lvlJc w:val="left"/>
      <w:pPr>
        <w:tabs>
          <w:tab w:val="left" w:pos="1140"/>
        </w:tabs>
        <w:ind w:left="1140" w:hanging="420"/>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493B133B"/>
    <w:multiLevelType w:val="multilevel"/>
    <w:tmpl w:val="493B133B"/>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76047A8A"/>
    <w:multiLevelType w:val="singleLevel"/>
    <w:tmpl w:val="76047A8A"/>
    <w:lvl w:ilvl="0" w:tentative="0">
      <w:start w:val="1"/>
      <w:numFmt w:val="chineseCounting"/>
      <w:suff w:val="nothing"/>
      <w:lvlText w:val="（%1）"/>
      <w:lvlJc w:val="left"/>
      <w:rPr>
        <w:rFonts w:hint="eastAsia"/>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8XM3yISnJ5eyHQTuHem6+3GmY1M=" w:salt="QLGyIrs0k83Sccl8qt/vG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lYjI0OGJkZDc1YjQ5ZWQzOTAxZThjMDBiMGY5ZmIifQ=="/>
  </w:docVars>
  <w:rsids>
    <w:rsidRoot w:val="18543CF9"/>
    <w:rsid w:val="00520897"/>
    <w:rsid w:val="01A826CA"/>
    <w:rsid w:val="02247ACE"/>
    <w:rsid w:val="023F0464"/>
    <w:rsid w:val="028535FF"/>
    <w:rsid w:val="033743E6"/>
    <w:rsid w:val="037E320E"/>
    <w:rsid w:val="04256A3D"/>
    <w:rsid w:val="04425FE9"/>
    <w:rsid w:val="055D1F0C"/>
    <w:rsid w:val="064500CB"/>
    <w:rsid w:val="069420D1"/>
    <w:rsid w:val="06C537BD"/>
    <w:rsid w:val="0850534E"/>
    <w:rsid w:val="093E76C7"/>
    <w:rsid w:val="094B1DE4"/>
    <w:rsid w:val="09DB6ABC"/>
    <w:rsid w:val="0B071D3B"/>
    <w:rsid w:val="0B1D330C"/>
    <w:rsid w:val="0B385646"/>
    <w:rsid w:val="0BA42D25"/>
    <w:rsid w:val="0C9037D2"/>
    <w:rsid w:val="0CA83C7C"/>
    <w:rsid w:val="0CD43ED0"/>
    <w:rsid w:val="0D047E23"/>
    <w:rsid w:val="0D3A44CA"/>
    <w:rsid w:val="0D3F3B5F"/>
    <w:rsid w:val="0D4465FA"/>
    <w:rsid w:val="0DF34C7D"/>
    <w:rsid w:val="0E0B16CD"/>
    <w:rsid w:val="0E336944"/>
    <w:rsid w:val="0EC20452"/>
    <w:rsid w:val="0EC637FF"/>
    <w:rsid w:val="0EEA6492"/>
    <w:rsid w:val="1068003A"/>
    <w:rsid w:val="1097317E"/>
    <w:rsid w:val="11220530"/>
    <w:rsid w:val="1163111B"/>
    <w:rsid w:val="11BE63FD"/>
    <w:rsid w:val="124935A2"/>
    <w:rsid w:val="12AE19A1"/>
    <w:rsid w:val="145558C5"/>
    <w:rsid w:val="15281AB4"/>
    <w:rsid w:val="15B42ABF"/>
    <w:rsid w:val="16441A33"/>
    <w:rsid w:val="16516E47"/>
    <w:rsid w:val="17A65C95"/>
    <w:rsid w:val="18074383"/>
    <w:rsid w:val="183B3DB9"/>
    <w:rsid w:val="18543CF9"/>
    <w:rsid w:val="193208CA"/>
    <w:rsid w:val="1978289E"/>
    <w:rsid w:val="19AD7F51"/>
    <w:rsid w:val="1A0B4BE5"/>
    <w:rsid w:val="1A2553F4"/>
    <w:rsid w:val="1AC567CB"/>
    <w:rsid w:val="1AF63056"/>
    <w:rsid w:val="1BBE4697"/>
    <w:rsid w:val="1C2C01A7"/>
    <w:rsid w:val="1C2E6D29"/>
    <w:rsid w:val="1D644857"/>
    <w:rsid w:val="1E0565AE"/>
    <w:rsid w:val="1F1541C9"/>
    <w:rsid w:val="20223EB6"/>
    <w:rsid w:val="20717F2A"/>
    <w:rsid w:val="211B0D02"/>
    <w:rsid w:val="22245940"/>
    <w:rsid w:val="22851A6B"/>
    <w:rsid w:val="23C45AE8"/>
    <w:rsid w:val="24612064"/>
    <w:rsid w:val="247500F5"/>
    <w:rsid w:val="24B71C84"/>
    <w:rsid w:val="26F3599D"/>
    <w:rsid w:val="270E6820"/>
    <w:rsid w:val="2744655C"/>
    <w:rsid w:val="275306F2"/>
    <w:rsid w:val="277F2F2D"/>
    <w:rsid w:val="2815563F"/>
    <w:rsid w:val="284866D5"/>
    <w:rsid w:val="2852036A"/>
    <w:rsid w:val="28C876FF"/>
    <w:rsid w:val="28DD78B1"/>
    <w:rsid w:val="29FD079E"/>
    <w:rsid w:val="2A2715E7"/>
    <w:rsid w:val="2A9574E7"/>
    <w:rsid w:val="2B3640E7"/>
    <w:rsid w:val="2B593A95"/>
    <w:rsid w:val="2CA07F1F"/>
    <w:rsid w:val="2D4C3F3D"/>
    <w:rsid w:val="2DA22888"/>
    <w:rsid w:val="2E345C0F"/>
    <w:rsid w:val="2EA72D69"/>
    <w:rsid w:val="2F5702EB"/>
    <w:rsid w:val="2FB03EC7"/>
    <w:rsid w:val="30655F67"/>
    <w:rsid w:val="307456F4"/>
    <w:rsid w:val="30F93D50"/>
    <w:rsid w:val="316C3231"/>
    <w:rsid w:val="31712CAC"/>
    <w:rsid w:val="31B41A25"/>
    <w:rsid w:val="31EE17C3"/>
    <w:rsid w:val="320D376A"/>
    <w:rsid w:val="32166D38"/>
    <w:rsid w:val="322F67FD"/>
    <w:rsid w:val="32D21D23"/>
    <w:rsid w:val="32E25E06"/>
    <w:rsid w:val="33AB2AE8"/>
    <w:rsid w:val="33C57F19"/>
    <w:rsid w:val="33C64EFA"/>
    <w:rsid w:val="35971DA3"/>
    <w:rsid w:val="35F21280"/>
    <w:rsid w:val="37D50947"/>
    <w:rsid w:val="37E27046"/>
    <w:rsid w:val="38161961"/>
    <w:rsid w:val="38994A3E"/>
    <w:rsid w:val="38E218F0"/>
    <w:rsid w:val="38E90DE3"/>
    <w:rsid w:val="38F10B41"/>
    <w:rsid w:val="3928462D"/>
    <w:rsid w:val="39294E38"/>
    <w:rsid w:val="39462B58"/>
    <w:rsid w:val="396F5377"/>
    <w:rsid w:val="39A369DF"/>
    <w:rsid w:val="39E457B5"/>
    <w:rsid w:val="3AD924FC"/>
    <w:rsid w:val="3B914B85"/>
    <w:rsid w:val="3BAB4D14"/>
    <w:rsid w:val="3BC60CD2"/>
    <w:rsid w:val="3C5B34B7"/>
    <w:rsid w:val="3D311C7C"/>
    <w:rsid w:val="3DFE7834"/>
    <w:rsid w:val="3E0D2BA2"/>
    <w:rsid w:val="3E3A062B"/>
    <w:rsid w:val="3F220916"/>
    <w:rsid w:val="40D20119"/>
    <w:rsid w:val="41080632"/>
    <w:rsid w:val="414C2F42"/>
    <w:rsid w:val="4198271B"/>
    <w:rsid w:val="42004812"/>
    <w:rsid w:val="42254FE2"/>
    <w:rsid w:val="4276163D"/>
    <w:rsid w:val="42CE281C"/>
    <w:rsid w:val="43B23314"/>
    <w:rsid w:val="43D61CCF"/>
    <w:rsid w:val="43E73A30"/>
    <w:rsid w:val="4404721B"/>
    <w:rsid w:val="447F5266"/>
    <w:rsid w:val="449052F8"/>
    <w:rsid w:val="44E623E5"/>
    <w:rsid w:val="45B24076"/>
    <w:rsid w:val="46017364"/>
    <w:rsid w:val="4650235F"/>
    <w:rsid w:val="47681CB9"/>
    <w:rsid w:val="478B183F"/>
    <w:rsid w:val="47975F91"/>
    <w:rsid w:val="47F17FF6"/>
    <w:rsid w:val="481039C2"/>
    <w:rsid w:val="495C73DE"/>
    <w:rsid w:val="4A631398"/>
    <w:rsid w:val="4AF764A2"/>
    <w:rsid w:val="4B085B79"/>
    <w:rsid w:val="4D1F45CA"/>
    <w:rsid w:val="4D3F08E5"/>
    <w:rsid w:val="4DCB088C"/>
    <w:rsid w:val="4F6C607F"/>
    <w:rsid w:val="4F9C19A5"/>
    <w:rsid w:val="4FD32219"/>
    <w:rsid w:val="50FE637F"/>
    <w:rsid w:val="5232691D"/>
    <w:rsid w:val="52B725FD"/>
    <w:rsid w:val="52D41ACF"/>
    <w:rsid w:val="53265008"/>
    <w:rsid w:val="53C83F02"/>
    <w:rsid w:val="54B8170F"/>
    <w:rsid w:val="553E5B78"/>
    <w:rsid w:val="557C6AFB"/>
    <w:rsid w:val="55825812"/>
    <w:rsid w:val="568466E1"/>
    <w:rsid w:val="569C7E2B"/>
    <w:rsid w:val="57D1564F"/>
    <w:rsid w:val="583848AE"/>
    <w:rsid w:val="58D47E44"/>
    <w:rsid w:val="596F3EF7"/>
    <w:rsid w:val="597B0EF6"/>
    <w:rsid w:val="5A2E693B"/>
    <w:rsid w:val="5ACE04AA"/>
    <w:rsid w:val="5C640FA6"/>
    <w:rsid w:val="5CE837F7"/>
    <w:rsid w:val="5EFE7E17"/>
    <w:rsid w:val="5F014952"/>
    <w:rsid w:val="600F393E"/>
    <w:rsid w:val="60611410"/>
    <w:rsid w:val="60700B70"/>
    <w:rsid w:val="61216DC9"/>
    <w:rsid w:val="614608E4"/>
    <w:rsid w:val="61870133"/>
    <w:rsid w:val="61CC6B2B"/>
    <w:rsid w:val="61CD35B4"/>
    <w:rsid w:val="62561D7F"/>
    <w:rsid w:val="625B6CA3"/>
    <w:rsid w:val="62D33B51"/>
    <w:rsid w:val="636776DF"/>
    <w:rsid w:val="63AA3121"/>
    <w:rsid w:val="63AA40CB"/>
    <w:rsid w:val="64F5495F"/>
    <w:rsid w:val="65B75E9B"/>
    <w:rsid w:val="65C5024C"/>
    <w:rsid w:val="67237B54"/>
    <w:rsid w:val="67626648"/>
    <w:rsid w:val="68CC6FFB"/>
    <w:rsid w:val="68EF4B15"/>
    <w:rsid w:val="69076FCD"/>
    <w:rsid w:val="69101BD4"/>
    <w:rsid w:val="69A22C77"/>
    <w:rsid w:val="69ED6D3E"/>
    <w:rsid w:val="69EE74C3"/>
    <w:rsid w:val="69EE7667"/>
    <w:rsid w:val="6A7554F1"/>
    <w:rsid w:val="6C587073"/>
    <w:rsid w:val="6C910638"/>
    <w:rsid w:val="6E907F65"/>
    <w:rsid w:val="70113542"/>
    <w:rsid w:val="7083374F"/>
    <w:rsid w:val="71F51912"/>
    <w:rsid w:val="729C539E"/>
    <w:rsid w:val="72CE5BF7"/>
    <w:rsid w:val="72DE77C2"/>
    <w:rsid w:val="733C4C78"/>
    <w:rsid w:val="7363682B"/>
    <w:rsid w:val="73A143B8"/>
    <w:rsid w:val="73CF562F"/>
    <w:rsid w:val="746D5229"/>
    <w:rsid w:val="749D7B1B"/>
    <w:rsid w:val="74EE65C9"/>
    <w:rsid w:val="7554465E"/>
    <w:rsid w:val="771A0A72"/>
    <w:rsid w:val="79054FA9"/>
    <w:rsid w:val="792D69AB"/>
    <w:rsid w:val="79A953E1"/>
    <w:rsid w:val="7A1B3742"/>
    <w:rsid w:val="7A1C7FC7"/>
    <w:rsid w:val="7AA1149B"/>
    <w:rsid w:val="7AA66432"/>
    <w:rsid w:val="7AF378B6"/>
    <w:rsid w:val="7B171426"/>
    <w:rsid w:val="7B442487"/>
    <w:rsid w:val="7BF13703"/>
    <w:rsid w:val="7C35622C"/>
    <w:rsid w:val="7CBA047A"/>
    <w:rsid w:val="7CFE2601"/>
    <w:rsid w:val="7D20578D"/>
    <w:rsid w:val="7DB155FF"/>
    <w:rsid w:val="7DC47E4E"/>
    <w:rsid w:val="7E6478FC"/>
    <w:rsid w:val="7E693997"/>
    <w:rsid w:val="7EBD7483"/>
    <w:rsid w:val="7F20292A"/>
    <w:rsid w:val="7F2D19D9"/>
    <w:rsid w:val="7F392227"/>
    <w:rsid w:val="7FCC5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9"/>
    <w:pPr>
      <w:keepNext/>
      <w:keepLines/>
      <w:spacing w:before="340" w:after="330" w:line="576" w:lineRule="auto"/>
      <w:outlineLvl w:val="0"/>
    </w:pPr>
    <w:rPr>
      <w:b/>
      <w:bCs/>
      <w:kern w:val="44"/>
      <w:sz w:val="44"/>
      <w:szCs w:val="44"/>
    </w:rPr>
  </w:style>
  <w:style w:type="paragraph" w:styleId="2">
    <w:name w:val="heading 2"/>
    <w:basedOn w:val="1"/>
    <w:next w:val="1"/>
    <w:qFormat/>
    <w:uiPriority w:val="9"/>
    <w:pPr>
      <w:ind w:left="100" w:right="102"/>
      <w:outlineLvl w:val="2"/>
    </w:pPr>
    <w:rPr>
      <w:rFonts w:ascii="Microsoft JhengHei" w:hAnsi="Microsoft JhengHei" w:eastAsia="Microsoft JhengHei" w:cs="Microsoft JhengHei"/>
      <w:b/>
      <w:bCs/>
      <w:sz w:val="32"/>
      <w:szCs w:val="32"/>
    </w:rPr>
  </w:style>
  <w:style w:type="paragraph" w:styleId="4">
    <w:name w:val="heading 3"/>
    <w:basedOn w:val="1"/>
    <w:next w:val="5"/>
    <w:qFormat/>
    <w:uiPriority w:val="99"/>
    <w:pPr>
      <w:keepNext/>
      <w:keepLines/>
      <w:numPr>
        <w:ilvl w:val="2"/>
        <w:numId w:val="1"/>
      </w:numPr>
      <w:adjustRightInd w:val="0"/>
      <w:spacing w:before="160" w:after="160" w:line="160" w:lineRule="atLeast"/>
      <w:textAlignment w:val="baseline"/>
      <w:outlineLvl w:val="2"/>
    </w:pPr>
    <w:rPr>
      <w:rFonts w:ascii="黑体" w:eastAsia="黑体"/>
      <w:kern w:val="0"/>
      <w:sz w:val="28"/>
      <w:szCs w:val="20"/>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5">
    <w:name w:val="文档正文"/>
    <w:basedOn w:val="1"/>
    <w:qFormat/>
    <w:uiPriority w:val="99"/>
    <w:pPr>
      <w:adjustRightInd w:val="0"/>
      <w:spacing w:line="480" w:lineRule="atLeast"/>
      <w:ind w:firstLine="567"/>
      <w:textAlignment w:val="baseline"/>
    </w:pPr>
    <w:rPr>
      <w:rFonts w:ascii="FangSong_GB2312" w:eastAsia="FangSong_GB2312"/>
      <w:kern w:val="0"/>
      <w:sz w:val="28"/>
      <w:szCs w:val="20"/>
    </w:rPr>
  </w:style>
  <w:style w:type="paragraph" w:styleId="6">
    <w:name w:val="Normal Indent"/>
    <w:basedOn w:val="1"/>
    <w:qFormat/>
    <w:uiPriority w:val="0"/>
    <w:pPr>
      <w:ind w:firstLine="420"/>
    </w:pPr>
    <w:rPr>
      <w:rFonts w:ascii="Times New Roman" w:hAnsi="Times New Roman" w:eastAsia="宋体" w:cs="Times New Roman"/>
      <w:szCs w:val="20"/>
    </w:rPr>
  </w:style>
  <w:style w:type="paragraph" w:styleId="7">
    <w:name w:val="Body Text"/>
    <w:basedOn w:val="1"/>
    <w:next w:val="1"/>
    <w:qFormat/>
    <w:uiPriority w:val="0"/>
    <w:pPr>
      <w:autoSpaceDE w:val="0"/>
      <w:autoSpaceDN w:val="0"/>
      <w:adjustRightInd w:val="0"/>
      <w:spacing w:before="34"/>
      <w:ind w:left="599"/>
      <w:jc w:val="left"/>
    </w:pPr>
    <w:rPr>
      <w:rFonts w:ascii="Times New Roman" w:hAnsi="Times New Roman" w:cs="Times New Roman"/>
      <w:kern w:val="0"/>
      <w:sz w:val="24"/>
      <w:szCs w:val="24"/>
    </w:rPr>
  </w:style>
  <w:style w:type="paragraph" w:styleId="8">
    <w:name w:val="Body Text Indent"/>
    <w:basedOn w:val="1"/>
    <w:next w:val="9"/>
    <w:qFormat/>
    <w:uiPriority w:val="0"/>
    <w:pPr>
      <w:autoSpaceDE w:val="0"/>
      <w:autoSpaceDN w:val="0"/>
      <w:adjustRightInd w:val="0"/>
      <w:spacing w:after="120"/>
      <w:ind w:left="420" w:leftChars="200"/>
      <w:jc w:val="left"/>
    </w:pPr>
    <w:rPr>
      <w:rFonts w:ascii="Times New Roman" w:hAnsi="Times New Roman" w:eastAsia="宋体" w:cs="Times New Roman"/>
      <w:kern w:val="0"/>
      <w:sz w:val="24"/>
      <w:szCs w:val="24"/>
    </w:rPr>
  </w:style>
  <w:style w:type="paragraph" w:styleId="9">
    <w:name w:val="envelope return"/>
    <w:basedOn w:val="1"/>
    <w:qFormat/>
    <w:uiPriority w:val="0"/>
    <w:pPr>
      <w:autoSpaceDE w:val="0"/>
      <w:autoSpaceDN w:val="0"/>
      <w:adjustRightInd w:val="0"/>
      <w:snapToGrid w:val="0"/>
      <w:jc w:val="left"/>
    </w:pPr>
    <w:rPr>
      <w:rFonts w:ascii="Arial" w:hAnsi="Arial" w:eastAsia="宋体" w:cs="Times New Roman"/>
      <w:kern w:val="0"/>
      <w:sz w:val="24"/>
      <w:szCs w:val="24"/>
    </w:rPr>
  </w:style>
  <w:style w:type="paragraph" w:styleId="10">
    <w:name w:val="Plain Text"/>
    <w:basedOn w:val="1"/>
    <w:qFormat/>
    <w:uiPriority w:val="0"/>
    <w:pPr>
      <w:ind w:firstLine="200" w:firstLineChars="200"/>
    </w:pPr>
    <w:rPr>
      <w:rFonts w:ascii="宋体" w:hAnsi="Courier New"/>
      <w:szCs w:val="20"/>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autoSpaceDE w:val="0"/>
      <w:autoSpaceDN w:val="0"/>
      <w:adjustRightInd w:val="0"/>
      <w:jc w:val="left"/>
    </w:pPr>
    <w:rPr>
      <w:rFonts w:ascii="Times New Roman" w:hAnsi="Times New Roman" w:eastAsia="宋体" w:cs="Times New Roman"/>
      <w:kern w:val="0"/>
      <w:sz w:val="24"/>
      <w:szCs w:val="24"/>
    </w:rPr>
  </w:style>
  <w:style w:type="paragraph" w:styleId="14">
    <w:name w:val="Body Text 2"/>
    <w:basedOn w:val="1"/>
    <w:qFormat/>
    <w:uiPriority w:val="0"/>
    <w:pPr>
      <w:spacing w:after="120" w:line="480" w:lineRule="auto"/>
    </w:pPr>
    <w:rPr>
      <w:szCs w:val="20"/>
    </w:rPr>
  </w:style>
  <w:style w:type="paragraph" w:styleId="15">
    <w:name w:val="Normal (Web)"/>
    <w:basedOn w:val="1"/>
    <w:unhideWhenUsed/>
    <w:qFormat/>
    <w:uiPriority w:val="99"/>
    <w:pPr>
      <w:autoSpaceDE w:val="0"/>
      <w:autoSpaceDN w:val="0"/>
      <w:adjustRightInd w:val="0"/>
      <w:jc w:val="left"/>
    </w:pPr>
    <w:rPr>
      <w:rFonts w:ascii="Times New Roman" w:hAnsi="Times New Roman" w:eastAsia="宋体" w:cs="Times New Roman"/>
      <w:kern w:val="0"/>
      <w:sz w:val="24"/>
      <w:szCs w:val="24"/>
    </w:rPr>
  </w:style>
  <w:style w:type="paragraph" w:styleId="16">
    <w:name w:val="Body Text First Indent"/>
    <w:basedOn w:val="7"/>
    <w:next w:val="17"/>
    <w:qFormat/>
    <w:uiPriority w:val="0"/>
    <w:pPr>
      <w:ind w:firstLine="420" w:firstLineChars="100"/>
    </w:pPr>
  </w:style>
  <w:style w:type="paragraph" w:styleId="17">
    <w:name w:val="Body Text First Indent 2"/>
    <w:basedOn w:val="8"/>
    <w:next w:val="1"/>
    <w:qFormat/>
    <w:uiPriority w:val="0"/>
    <w:pPr>
      <w:ind w:firstLine="420" w:firstLineChars="200"/>
    </w:pPr>
    <w:rPr>
      <w:sz w:val="21"/>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style>
  <w:style w:type="character" w:styleId="22">
    <w:name w:val="FollowedHyperlink"/>
    <w:basedOn w:val="20"/>
    <w:qFormat/>
    <w:uiPriority w:val="0"/>
    <w:rPr>
      <w:color w:val="800080"/>
      <w:u w:val="none"/>
    </w:rPr>
  </w:style>
  <w:style w:type="character" w:styleId="23">
    <w:name w:val="Emphasis"/>
    <w:basedOn w:val="20"/>
    <w:qFormat/>
    <w:uiPriority w:val="0"/>
  </w:style>
  <w:style w:type="character" w:styleId="24">
    <w:name w:val="HTML Definition"/>
    <w:basedOn w:val="20"/>
    <w:qFormat/>
    <w:uiPriority w:val="0"/>
  </w:style>
  <w:style w:type="character" w:styleId="25">
    <w:name w:val="HTML Typewriter"/>
    <w:basedOn w:val="20"/>
    <w:qFormat/>
    <w:uiPriority w:val="0"/>
    <w:rPr>
      <w:rFonts w:hint="default" w:ascii="monospace" w:hAnsi="monospace" w:eastAsia="monospace" w:cs="monospace"/>
      <w:sz w:val="20"/>
    </w:rPr>
  </w:style>
  <w:style w:type="character" w:styleId="26">
    <w:name w:val="HTML Acronym"/>
    <w:basedOn w:val="20"/>
    <w:qFormat/>
    <w:uiPriority w:val="0"/>
  </w:style>
  <w:style w:type="character" w:styleId="27">
    <w:name w:val="HTML Variable"/>
    <w:basedOn w:val="20"/>
    <w:qFormat/>
    <w:uiPriority w:val="0"/>
  </w:style>
  <w:style w:type="character" w:styleId="28">
    <w:name w:val="Hyperlink"/>
    <w:basedOn w:val="20"/>
    <w:qFormat/>
    <w:uiPriority w:val="0"/>
    <w:rPr>
      <w:color w:val="0000FF"/>
      <w:u w:val="none"/>
    </w:rPr>
  </w:style>
  <w:style w:type="character" w:styleId="29">
    <w:name w:val="HTML Code"/>
    <w:basedOn w:val="20"/>
    <w:qFormat/>
    <w:uiPriority w:val="0"/>
    <w:rPr>
      <w:rFonts w:hint="default" w:ascii="monospace" w:hAnsi="monospace" w:eastAsia="monospace" w:cs="monospace"/>
      <w:sz w:val="20"/>
    </w:rPr>
  </w:style>
  <w:style w:type="character" w:styleId="30">
    <w:name w:val="HTML Cite"/>
    <w:basedOn w:val="20"/>
    <w:qFormat/>
    <w:uiPriority w:val="0"/>
  </w:style>
  <w:style w:type="character" w:styleId="31">
    <w:name w:val="HTML Keyboard"/>
    <w:basedOn w:val="20"/>
    <w:qFormat/>
    <w:uiPriority w:val="0"/>
    <w:rPr>
      <w:rFonts w:ascii="monospace" w:hAnsi="monospace" w:eastAsia="monospace" w:cs="monospace"/>
      <w:sz w:val="20"/>
    </w:rPr>
  </w:style>
  <w:style w:type="character" w:styleId="32">
    <w:name w:val="HTML Sample"/>
    <w:basedOn w:val="20"/>
    <w:qFormat/>
    <w:uiPriority w:val="0"/>
    <w:rPr>
      <w:rFonts w:hint="default" w:ascii="monospace" w:hAnsi="monospace" w:eastAsia="monospace" w:cs="monospace"/>
    </w:rPr>
  </w:style>
  <w:style w:type="paragraph" w:customStyle="1" w:styleId="33">
    <w:name w:val="style4"/>
    <w:basedOn w:val="1"/>
    <w:next w:val="34"/>
    <w:qFormat/>
    <w:uiPriority w:val="0"/>
    <w:pPr>
      <w:widowControl/>
      <w:autoSpaceDE/>
      <w:autoSpaceDN/>
      <w:spacing w:before="280" w:after="280"/>
      <w:jc w:val="both"/>
    </w:pPr>
    <w:rPr>
      <w:sz w:val="18"/>
    </w:rPr>
  </w:style>
  <w:style w:type="paragraph" w:customStyle="1" w:styleId="34">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
    <w:name w:val="无间隔1"/>
    <w:next w:val="36"/>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6">
    <w:name w:val="TOC Heading1"/>
    <w:next w:val="1"/>
    <w:qFormat/>
    <w:uiPriority w:val="0"/>
    <w:pPr>
      <w:wordWrap w:val="0"/>
    </w:pPr>
    <w:rPr>
      <w:rFonts w:ascii="Calibri" w:hAnsi="Calibri" w:eastAsia="宋体" w:cs="Times New Roman"/>
      <w:sz w:val="32"/>
      <w:szCs w:val="22"/>
      <w:lang w:val="en-US" w:eastAsia="zh-CN" w:bidi="ar-SA"/>
    </w:rPr>
  </w:style>
  <w:style w:type="paragraph" w:customStyle="1" w:styleId="37">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eastAsia="宋体" w:cs="Times New Roman"/>
      <w:kern w:val="0"/>
      <w:sz w:val="24"/>
      <w:szCs w:val="24"/>
    </w:rPr>
  </w:style>
  <w:style w:type="paragraph" w:customStyle="1" w:styleId="38">
    <w:name w:val="WPSOffice手动目录 1"/>
    <w:qFormat/>
    <w:uiPriority w:val="99"/>
    <w:rPr>
      <w:rFonts w:ascii="Times New Roman" w:hAnsi="Times New Roman" w:eastAsia="宋体" w:cs="Times New Roman"/>
      <w:lang w:val="en-US" w:eastAsia="zh-CN" w:bidi="ar-SA"/>
    </w:rPr>
  </w:style>
  <w:style w:type="paragraph" w:styleId="39">
    <w:name w:val="List Paragraph"/>
    <w:basedOn w:val="1"/>
    <w:qFormat/>
    <w:uiPriority w:val="99"/>
    <w:pPr>
      <w:autoSpaceDE w:val="0"/>
      <w:autoSpaceDN w:val="0"/>
      <w:adjustRightInd w:val="0"/>
      <w:jc w:val="left"/>
    </w:pPr>
    <w:rPr>
      <w:rFonts w:ascii="Times New Roman" w:hAnsi="Times New Roman" w:eastAsia="宋体" w:cs="Times New Roman"/>
      <w:kern w:val="0"/>
      <w:sz w:val="24"/>
      <w:szCs w:val="24"/>
    </w:rPr>
  </w:style>
  <w:style w:type="character" w:customStyle="1" w:styleId="40">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41">
    <w:name w:val="**正文"/>
    <w:basedOn w:val="1"/>
    <w:qFormat/>
    <w:uiPriority w:val="0"/>
    <w:pPr>
      <w:spacing w:line="360" w:lineRule="auto"/>
      <w:ind w:firstLine="482"/>
    </w:pPr>
    <w:rPr>
      <w:rFonts w:ascii="宋体" w:hAnsi="宋体" w:eastAsia="宋体" w:cs="Times New Roman"/>
      <w:sz w:val="24"/>
      <w:szCs w:val="24"/>
    </w:rPr>
  </w:style>
  <w:style w:type="paragraph" w:customStyle="1" w:styleId="42">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 w:type="paragraph" w:customStyle="1" w:styleId="43">
    <w:name w:val="引文目录标题1"/>
    <w:basedOn w:val="1"/>
    <w:next w:val="1"/>
    <w:qFormat/>
    <w:uiPriority w:val="0"/>
    <w:pPr>
      <w:spacing w:before="120" w:after="100" w:afterAutospacing="1"/>
    </w:pPr>
    <w:rPr>
      <w:rFonts w:ascii="Cambria" w:hAnsi="Cambria"/>
      <w:sz w:val="24"/>
    </w:rPr>
  </w:style>
  <w:style w:type="table" w:customStyle="1" w:styleId="4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35521</Words>
  <Characters>39530</Characters>
  <Lines>0</Lines>
  <Paragraphs>0</Paragraphs>
  <TotalTime>13</TotalTime>
  <ScaleCrop>false</ScaleCrop>
  <LinksUpToDate>false</LinksUpToDate>
  <CharactersWithSpaces>41684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2023-05-24T08:59:00Z</dcterms:created>
  <dc:creator>王富祯</dc:creator>
  <cp:lastModifiedBy>王恺</cp:lastModifiedBy>
  <dcterms:modified xsi:type="dcterms:W3CDTF">2023-11-08T09:22:17Z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EC34D52E205A4EE9B8ECB03523E8CAA4_13</vt:lpwstr>
  </property>
</Properties>
</file>