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tabs>
          <w:tab w:val="left" w:pos="7567"/>
        </w:tabs>
        <w:spacing w:line="360" w:lineRule="auto"/>
        <w:jc w:val="center"/>
        <w:rPr>
          <w:rFonts w:ascii="仿宋" w:hAnsi="仿宋" w:eastAsia="仿宋" w:cs="仿宋"/>
          <w:b/>
          <w:color w:val="auto"/>
          <w:sz w:val="44"/>
          <w:szCs w:val="44"/>
          <w:highlight w:val="none"/>
        </w:rPr>
      </w:pPr>
      <w:r>
        <w:rPr>
          <w:rFonts w:hint="eastAsia" w:ascii="仿宋" w:hAnsi="仿宋" w:eastAsia="仿宋" w:cs="仿宋"/>
          <w:b/>
          <w:color w:val="auto"/>
          <w:sz w:val="44"/>
          <w:szCs w:val="44"/>
          <w:highlight w:val="none"/>
        </w:rPr>
        <w:t>郑州市中原区审计局2023年审计服务中介机构框架协议采购项目</w:t>
      </w: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tabs>
          <w:tab w:val="left" w:pos="7567"/>
        </w:tabs>
        <w:spacing w:line="360" w:lineRule="auto"/>
        <w:jc w:val="center"/>
        <w:rPr>
          <w:rFonts w:ascii="仿宋" w:hAnsi="仿宋" w:eastAsia="仿宋" w:cs="仿宋"/>
          <w:b/>
          <w:color w:val="auto"/>
          <w:sz w:val="72"/>
          <w:szCs w:val="72"/>
          <w:highlight w:val="none"/>
        </w:rPr>
      </w:pPr>
      <w:r>
        <w:rPr>
          <w:rFonts w:hint="eastAsia" w:ascii="仿宋" w:hAnsi="仿宋" w:eastAsia="仿宋" w:cs="仿宋"/>
          <w:b/>
          <w:color w:val="auto"/>
          <w:sz w:val="72"/>
          <w:szCs w:val="72"/>
          <w:highlight w:val="none"/>
        </w:rPr>
        <w:t>征 集 文 件</w:t>
      </w:r>
    </w:p>
    <w:p>
      <w:pPr>
        <w:shd w:val="clear"/>
        <w:spacing w:line="360" w:lineRule="auto"/>
        <w:jc w:val="center"/>
        <w:rPr>
          <w:rFonts w:ascii="仿宋" w:hAnsi="仿宋" w:eastAsia="仿宋" w:cs="仿宋"/>
          <w:color w:val="auto"/>
          <w:sz w:val="28"/>
          <w:szCs w:val="28"/>
          <w:highlight w:val="none"/>
        </w:rPr>
      </w:pPr>
      <w:r>
        <w:rPr>
          <w:rFonts w:hint="eastAsia" w:ascii="仿宋" w:hAnsi="仿宋" w:eastAsia="仿宋" w:cs="仿宋"/>
          <w:color w:val="auto"/>
          <w:highlight w:val="none"/>
        </w:rPr>
        <w:drawing>
          <wp:inline distT="0" distB="0" distL="114300" distR="114300">
            <wp:extent cx="1800225" cy="1800225"/>
            <wp:effectExtent l="0" t="0" r="9525" b="9525"/>
            <wp:docPr id="5" name="图片 5" descr="d772d1ce1a68a9d435d0b0e5d972f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772d1ce1a68a9d435d0b0e5d972fa7"/>
                    <pic:cNvPicPr>
                      <a:picLocks noChangeAspect="1"/>
                    </pic:cNvPicPr>
                  </pic:nvPicPr>
                  <pic:blipFill>
                    <a:blip r:embed="rId12"/>
                    <a:stretch>
                      <a:fillRect/>
                    </a:stretch>
                  </pic:blipFill>
                  <pic:spPr>
                    <a:xfrm>
                      <a:off x="0" y="0"/>
                      <a:ext cx="1800225" cy="1800225"/>
                    </a:xfrm>
                    <a:prstGeom prst="rect">
                      <a:avLst/>
                    </a:prstGeom>
                  </pic:spPr>
                </pic:pic>
              </a:graphicData>
            </a:graphic>
          </wp:inline>
        </w:drawing>
      </w: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spacing w:line="360" w:lineRule="auto"/>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采购人：郑州市中原区审计局</w:t>
      </w:r>
    </w:p>
    <w:p>
      <w:pPr>
        <w:shd w:val="clear"/>
        <w:spacing w:line="360" w:lineRule="auto"/>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采购代理机构：河南瑞珂工程管理有限公司</w:t>
      </w:r>
    </w:p>
    <w:p>
      <w:pPr>
        <w:shd w:val="clear"/>
        <w:spacing w:line="360" w:lineRule="auto"/>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日期：二〇二三年</w:t>
      </w:r>
      <w:r>
        <w:rPr>
          <w:rFonts w:hint="eastAsia" w:ascii="仿宋" w:hAnsi="仿宋" w:eastAsia="仿宋" w:cs="仿宋"/>
          <w:b/>
          <w:bCs/>
          <w:color w:val="auto"/>
          <w:sz w:val="32"/>
          <w:szCs w:val="32"/>
          <w:highlight w:val="none"/>
          <w:lang w:val="en-US" w:eastAsia="zh-CN"/>
        </w:rPr>
        <w:t>五</w:t>
      </w:r>
      <w:r>
        <w:rPr>
          <w:rFonts w:hint="eastAsia" w:ascii="仿宋" w:hAnsi="仿宋" w:eastAsia="仿宋" w:cs="仿宋"/>
          <w:b/>
          <w:bCs/>
          <w:color w:val="auto"/>
          <w:sz w:val="32"/>
          <w:szCs w:val="32"/>
          <w:highlight w:val="none"/>
        </w:rPr>
        <w:t>月</w:t>
      </w:r>
    </w:p>
    <w:p>
      <w:pPr>
        <w:shd w:val="clear"/>
        <w:spacing w:line="360" w:lineRule="auto"/>
        <w:rPr>
          <w:rFonts w:ascii="仿宋" w:hAnsi="仿宋" w:eastAsia="仿宋" w:cs="仿宋"/>
          <w:b/>
          <w:bCs/>
          <w:color w:val="auto"/>
          <w:sz w:val="36"/>
          <w:szCs w:val="36"/>
          <w:highlight w:val="none"/>
        </w:rPr>
      </w:pPr>
      <w:bookmarkStart w:id="0" w:name="_Toc22953395"/>
      <w:bookmarkEnd w:id="0"/>
      <w:bookmarkStart w:id="1" w:name="_Toc22804073"/>
      <w:bookmarkEnd w:id="1"/>
    </w:p>
    <w:p>
      <w:pPr>
        <w:pStyle w:val="2"/>
        <w:shd w:val="clear"/>
        <w:rPr>
          <w:rFonts w:ascii="仿宋" w:hAnsi="仿宋" w:eastAsia="仿宋" w:cs="仿宋"/>
          <w:color w:val="auto"/>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17" w:right="1417" w:bottom="1417" w:left="1417" w:header="777" w:footer="641" w:gutter="0"/>
          <w:cols w:space="720" w:num="1"/>
          <w:titlePg/>
        </w:sectPr>
      </w:pPr>
    </w:p>
    <w:p>
      <w:pPr>
        <w:shd w:val="clear"/>
        <w:rPr>
          <w:rFonts w:ascii="仿宋" w:hAnsi="仿宋" w:eastAsia="仿宋" w:cs="仿宋"/>
          <w:color w:val="auto"/>
          <w:highlight w:val="none"/>
        </w:rPr>
      </w:pPr>
    </w:p>
    <w:p>
      <w:pPr>
        <w:shd w:val="clear"/>
        <w:spacing w:line="360" w:lineRule="auto"/>
        <w:jc w:val="center"/>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目  录</w:t>
      </w:r>
    </w:p>
    <w:p>
      <w:pPr>
        <w:pStyle w:val="21"/>
        <w:shd w:val="clear"/>
        <w:tabs>
          <w:tab w:val="right" w:leader="dot" w:pos="9072"/>
          <w:tab w:val="clear" w:pos="8460"/>
        </w:tabs>
        <w:rPr>
          <w:color w:val="auto"/>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TOC \o "1-3" \h \z \u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_Toc18241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第一章 征集公告</w:t>
      </w:r>
      <w:r>
        <w:rPr>
          <w:color w:val="auto"/>
          <w:highlight w:val="none"/>
        </w:rPr>
        <w:tab/>
      </w:r>
      <w:r>
        <w:rPr>
          <w:color w:val="auto"/>
          <w:highlight w:val="none"/>
        </w:rPr>
        <w:fldChar w:fldCharType="begin"/>
      </w:r>
      <w:r>
        <w:rPr>
          <w:color w:val="auto"/>
          <w:highlight w:val="none"/>
        </w:rPr>
        <w:instrText xml:space="preserve"> PAGEREF _Toc18241 \h </w:instrText>
      </w:r>
      <w:r>
        <w:rPr>
          <w:color w:val="auto"/>
          <w:highlight w:val="none"/>
        </w:rPr>
        <w:fldChar w:fldCharType="separate"/>
      </w:r>
      <w:r>
        <w:rPr>
          <w:color w:val="auto"/>
          <w:highlight w:val="none"/>
        </w:rPr>
        <w:t>4</w:t>
      </w:r>
      <w:r>
        <w:rPr>
          <w:color w:val="auto"/>
          <w:highlight w:val="none"/>
        </w:rPr>
        <w:fldChar w:fldCharType="end"/>
      </w:r>
      <w:r>
        <w:rPr>
          <w:rFonts w:hint="eastAsia" w:ascii="仿宋" w:hAnsi="仿宋" w:eastAsia="仿宋" w:cs="仿宋"/>
          <w:color w:val="auto"/>
          <w:highlight w:val="none"/>
        </w:rPr>
        <w:fldChar w:fldCharType="end"/>
      </w:r>
    </w:p>
    <w:p>
      <w:pPr>
        <w:pStyle w:val="21"/>
        <w:shd w:val="clear"/>
        <w:tabs>
          <w:tab w:val="right" w:leader="dot" w:pos="9072"/>
          <w:tab w:val="clear" w:pos="846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_Toc2331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_Toc2331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_Toc26267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供应商须知前附表</w:t>
      </w:r>
      <w:r>
        <w:rPr>
          <w:color w:val="auto"/>
          <w:highlight w:val="none"/>
        </w:rPr>
        <w:tab/>
      </w:r>
      <w:r>
        <w:rPr>
          <w:color w:val="auto"/>
          <w:highlight w:val="none"/>
        </w:rPr>
        <w:fldChar w:fldCharType="begin"/>
      </w:r>
      <w:r>
        <w:rPr>
          <w:color w:val="auto"/>
          <w:highlight w:val="none"/>
        </w:rPr>
        <w:instrText xml:space="preserve"> PAGEREF _Toc26267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_Toc20772 </w:instrText>
      </w:r>
      <w:r>
        <w:rPr>
          <w:rFonts w:hint="eastAsia" w:ascii="仿宋" w:hAnsi="仿宋" w:eastAsia="仿宋" w:cs="仿宋"/>
          <w:color w:val="auto"/>
          <w:highlight w:val="none"/>
        </w:rPr>
        <w:fldChar w:fldCharType="separate"/>
      </w:r>
      <w:r>
        <w:rPr>
          <w:rFonts w:ascii="仿宋" w:hAnsi="仿宋" w:eastAsia="仿宋" w:cs="仿宋"/>
          <w:color w:val="auto"/>
          <w:szCs w:val="24"/>
          <w:highlight w:val="none"/>
        </w:rPr>
        <w:t xml:space="preserve">1. </w:t>
      </w:r>
      <w:r>
        <w:rPr>
          <w:rFonts w:hint="eastAsia" w:ascii="仿宋" w:hAnsi="仿宋" w:eastAsia="仿宋" w:cs="仿宋"/>
          <w:color w:val="auto"/>
          <w:szCs w:val="24"/>
          <w:highlight w:val="none"/>
        </w:rPr>
        <w:t>总则</w:t>
      </w:r>
      <w:r>
        <w:rPr>
          <w:color w:val="auto"/>
          <w:highlight w:val="none"/>
        </w:rPr>
        <w:tab/>
      </w:r>
      <w:r>
        <w:rPr>
          <w:color w:val="auto"/>
          <w:highlight w:val="none"/>
        </w:rPr>
        <w:fldChar w:fldCharType="begin"/>
      </w:r>
      <w:r>
        <w:rPr>
          <w:color w:val="auto"/>
          <w:highlight w:val="none"/>
        </w:rPr>
        <w:instrText xml:space="preserve"> PAGEREF _Toc20772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_Toc991 </w:instrText>
      </w:r>
      <w:r>
        <w:rPr>
          <w:rFonts w:hint="eastAsia" w:ascii="仿宋" w:hAnsi="仿宋" w:eastAsia="仿宋" w:cs="仿宋"/>
          <w:color w:val="auto"/>
          <w:highlight w:val="none"/>
        </w:rPr>
        <w:fldChar w:fldCharType="separate"/>
      </w:r>
      <w:r>
        <w:rPr>
          <w:rFonts w:hint="default" w:ascii="仿宋" w:hAnsi="仿宋" w:eastAsia="仿宋" w:cs="仿宋"/>
          <w:color w:val="auto"/>
          <w:szCs w:val="24"/>
          <w:highlight w:val="none"/>
        </w:rPr>
        <w:t xml:space="preserve">1.1 </w:t>
      </w:r>
      <w:r>
        <w:rPr>
          <w:rFonts w:hint="eastAsia" w:ascii="仿宋" w:hAnsi="仿宋" w:eastAsia="仿宋" w:cs="仿宋"/>
          <w:color w:val="auto"/>
          <w:szCs w:val="24"/>
          <w:highlight w:val="none"/>
        </w:rPr>
        <w:t>适用范围</w:t>
      </w:r>
      <w:r>
        <w:rPr>
          <w:color w:val="auto"/>
          <w:highlight w:val="none"/>
        </w:rPr>
        <w:tab/>
      </w:r>
      <w:r>
        <w:rPr>
          <w:color w:val="auto"/>
          <w:highlight w:val="none"/>
        </w:rPr>
        <w:fldChar w:fldCharType="begin"/>
      </w:r>
      <w:r>
        <w:rPr>
          <w:color w:val="auto"/>
          <w:highlight w:val="none"/>
        </w:rPr>
        <w:instrText xml:space="preserve"> PAGEREF _Toc991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_Toc25175 </w:instrText>
      </w:r>
      <w:r>
        <w:rPr>
          <w:rFonts w:hint="eastAsia" w:ascii="仿宋" w:hAnsi="仿宋" w:eastAsia="仿宋" w:cs="仿宋"/>
          <w:color w:val="auto"/>
          <w:highlight w:val="none"/>
        </w:rPr>
        <w:fldChar w:fldCharType="separate"/>
      </w:r>
      <w:r>
        <w:rPr>
          <w:rFonts w:hint="default" w:ascii="仿宋" w:hAnsi="仿宋" w:eastAsia="仿宋" w:cs="仿宋"/>
          <w:color w:val="auto"/>
          <w:szCs w:val="24"/>
          <w:highlight w:val="none"/>
        </w:rPr>
        <w:t xml:space="preserve">1.2 </w:t>
      </w:r>
      <w:r>
        <w:rPr>
          <w:rFonts w:hint="eastAsia" w:ascii="仿宋" w:hAnsi="仿宋" w:eastAsia="仿宋" w:cs="仿宋"/>
          <w:color w:val="auto"/>
          <w:szCs w:val="24"/>
          <w:highlight w:val="none"/>
        </w:rPr>
        <w:t>资金来源</w:t>
      </w:r>
      <w:r>
        <w:rPr>
          <w:color w:val="auto"/>
          <w:highlight w:val="none"/>
        </w:rPr>
        <w:tab/>
      </w:r>
      <w:r>
        <w:rPr>
          <w:color w:val="auto"/>
          <w:highlight w:val="none"/>
        </w:rPr>
        <w:fldChar w:fldCharType="begin"/>
      </w:r>
      <w:r>
        <w:rPr>
          <w:color w:val="auto"/>
          <w:highlight w:val="none"/>
        </w:rPr>
        <w:instrText xml:space="preserve"> PAGEREF _Toc25175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_Toc14822 </w:instrText>
      </w:r>
      <w:r>
        <w:rPr>
          <w:rFonts w:hint="eastAsia" w:ascii="仿宋" w:hAnsi="仿宋" w:eastAsia="仿宋" w:cs="仿宋"/>
          <w:color w:val="auto"/>
          <w:highlight w:val="none"/>
        </w:rPr>
        <w:fldChar w:fldCharType="separate"/>
      </w:r>
      <w:r>
        <w:rPr>
          <w:rFonts w:hint="default" w:ascii="仿宋" w:hAnsi="仿宋" w:eastAsia="仿宋" w:cs="仿宋"/>
          <w:color w:val="auto"/>
          <w:szCs w:val="24"/>
          <w:highlight w:val="none"/>
        </w:rPr>
        <w:t xml:space="preserve">1.3 </w:t>
      </w:r>
      <w:r>
        <w:rPr>
          <w:rFonts w:hint="eastAsia" w:ascii="仿宋" w:hAnsi="仿宋" w:eastAsia="仿宋" w:cs="仿宋"/>
          <w:color w:val="auto"/>
          <w:szCs w:val="24"/>
          <w:highlight w:val="none"/>
        </w:rPr>
        <w:t>采购范围、费用结算标准、框架协议服务期限及服务标准</w:t>
      </w:r>
      <w:r>
        <w:rPr>
          <w:color w:val="auto"/>
          <w:highlight w:val="none"/>
        </w:rPr>
        <w:tab/>
      </w:r>
      <w:r>
        <w:rPr>
          <w:color w:val="auto"/>
          <w:highlight w:val="none"/>
        </w:rPr>
        <w:fldChar w:fldCharType="begin"/>
      </w:r>
      <w:r>
        <w:rPr>
          <w:color w:val="auto"/>
          <w:highlight w:val="none"/>
        </w:rPr>
        <w:instrText xml:space="preserve"> PAGEREF _Toc14822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_Toc5513 </w:instrText>
      </w:r>
      <w:r>
        <w:rPr>
          <w:rFonts w:hint="eastAsia" w:ascii="仿宋" w:hAnsi="仿宋" w:eastAsia="仿宋" w:cs="仿宋"/>
          <w:color w:val="auto"/>
          <w:highlight w:val="none"/>
        </w:rPr>
        <w:fldChar w:fldCharType="separate"/>
      </w:r>
      <w:r>
        <w:rPr>
          <w:rFonts w:hint="default" w:ascii="仿宋" w:hAnsi="仿宋" w:eastAsia="仿宋" w:cs="仿宋"/>
          <w:color w:val="auto"/>
          <w:szCs w:val="24"/>
          <w:highlight w:val="none"/>
        </w:rPr>
        <w:t xml:space="preserve">1.4 </w:t>
      </w:r>
      <w:r>
        <w:rPr>
          <w:rFonts w:hint="eastAsia" w:ascii="仿宋" w:hAnsi="仿宋" w:eastAsia="仿宋" w:cs="仿宋"/>
          <w:color w:val="auto"/>
          <w:szCs w:val="24"/>
          <w:highlight w:val="none"/>
        </w:rPr>
        <w:t>供应商资格要求</w:t>
      </w:r>
      <w:r>
        <w:rPr>
          <w:color w:val="auto"/>
          <w:highlight w:val="none"/>
        </w:rPr>
        <w:tab/>
      </w:r>
      <w:r>
        <w:rPr>
          <w:color w:val="auto"/>
          <w:highlight w:val="none"/>
        </w:rPr>
        <w:fldChar w:fldCharType="begin"/>
      </w:r>
      <w:r>
        <w:rPr>
          <w:color w:val="auto"/>
          <w:highlight w:val="none"/>
        </w:rPr>
        <w:instrText xml:space="preserve"> PAGEREF _Toc5513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_Toc27165 </w:instrText>
      </w:r>
      <w:r>
        <w:rPr>
          <w:rFonts w:hint="eastAsia" w:ascii="仿宋" w:hAnsi="仿宋" w:eastAsia="仿宋" w:cs="仿宋"/>
          <w:color w:val="auto"/>
          <w:highlight w:val="none"/>
        </w:rPr>
        <w:fldChar w:fldCharType="separate"/>
      </w:r>
      <w:r>
        <w:rPr>
          <w:rFonts w:hint="default" w:ascii="仿宋" w:hAnsi="仿宋" w:eastAsia="仿宋" w:cs="仿宋"/>
          <w:color w:val="auto"/>
          <w:szCs w:val="24"/>
          <w:highlight w:val="none"/>
        </w:rPr>
        <w:t xml:space="preserve">1.5 </w:t>
      </w:r>
      <w:r>
        <w:rPr>
          <w:rFonts w:hint="eastAsia" w:ascii="仿宋" w:hAnsi="仿宋" w:eastAsia="仿宋" w:cs="仿宋"/>
          <w:color w:val="auto"/>
          <w:szCs w:val="24"/>
          <w:highlight w:val="none"/>
        </w:rPr>
        <w:t>入围供应商数量</w:t>
      </w:r>
      <w:r>
        <w:rPr>
          <w:color w:val="auto"/>
          <w:highlight w:val="none"/>
        </w:rPr>
        <w:tab/>
      </w:r>
      <w:r>
        <w:rPr>
          <w:color w:val="auto"/>
          <w:highlight w:val="none"/>
        </w:rPr>
        <w:fldChar w:fldCharType="begin"/>
      </w:r>
      <w:r>
        <w:rPr>
          <w:color w:val="auto"/>
          <w:highlight w:val="none"/>
        </w:rPr>
        <w:instrText xml:space="preserve"> PAGEREF _Toc27165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_Toc19096 </w:instrText>
      </w:r>
      <w:r>
        <w:rPr>
          <w:rFonts w:hint="eastAsia" w:ascii="仿宋" w:hAnsi="仿宋" w:eastAsia="仿宋" w:cs="仿宋"/>
          <w:color w:val="auto"/>
          <w:highlight w:val="none"/>
        </w:rPr>
        <w:fldChar w:fldCharType="separate"/>
      </w:r>
      <w:r>
        <w:rPr>
          <w:rFonts w:hint="default" w:ascii="仿宋" w:hAnsi="仿宋" w:eastAsia="仿宋" w:cs="仿宋"/>
          <w:color w:val="auto"/>
          <w:szCs w:val="24"/>
          <w:highlight w:val="none"/>
        </w:rPr>
        <w:t xml:space="preserve">1.6 </w:t>
      </w:r>
      <w:r>
        <w:rPr>
          <w:rFonts w:hint="eastAsia" w:ascii="仿宋" w:hAnsi="仿宋" w:eastAsia="仿宋" w:cs="仿宋"/>
          <w:color w:val="auto"/>
          <w:szCs w:val="24"/>
          <w:highlight w:val="none"/>
        </w:rPr>
        <w:t>入围费用</w:t>
      </w:r>
      <w:r>
        <w:rPr>
          <w:color w:val="auto"/>
          <w:highlight w:val="none"/>
        </w:rPr>
        <w:tab/>
      </w:r>
      <w:r>
        <w:rPr>
          <w:color w:val="auto"/>
          <w:highlight w:val="none"/>
        </w:rPr>
        <w:fldChar w:fldCharType="begin"/>
      </w:r>
      <w:r>
        <w:rPr>
          <w:color w:val="auto"/>
          <w:highlight w:val="none"/>
        </w:rPr>
        <w:instrText xml:space="preserve"> PAGEREF _Toc19096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_Toc4208 </w:instrText>
      </w:r>
      <w:r>
        <w:rPr>
          <w:rFonts w:hint="eastAsia" w:ascii="仿宋" w:hAnsi="仿宋" w:eastAsia="仿宋" w:cs="仿宋"/>
          <w:color w:val="auto"/>
          <w:highlight w:val="none"/>
        </w:rPr>
        <w:fldChar w:fldCharType="separate"/>
      </w:r>
      <w:r>
        <w:rPr>
          <w:rFonts w:hint="default" w:ascii="仿宋" w:hAnsi="仿宋" w:eastAsia="仿宋" w:cs="仿宋"/>
          <w:color w:val="auto"/>
          <w:szCs w:val="24"/>
          <w:highlight w:val="none"/>
        </w:rPr>
        <w:t xml:space="preserve">1.7 </w:t>
      </w:r>
      <w:r>
        <w:rPr>
          <w:rFonts w:hint="eastAsia" w:ascii="仿宋" w:hAnsi="仿宋" w:eastAsia="仿宋" w:cs="仿宋"/>
          <w:color w:val="auto"/>
          <w:szCs w:val="24"/>
          <w:highlight w:val="none"/>
        </w:rPr>
        <w:t>分包</w:t>
      </w:r>
      <w:r>
        <w:rPr>
          <w:color w:val="auto"/>
          <w:highlight w:val="none"/>
        </w:rPr>
        <w:tab/>
      </w:r>
      <w:r>
        <w:rPr>
          <w:color w:val="auto"/>
          <w:highlight w:val="none"/>
        </w:rPr>
        <w:fldChar w:fldCharType="begin"/>
      </w:r>
      <w:r>
        <w:rPr>
          <w:color w:val="auto"/>
          <w:highlight w:val="none"/>
        </w:rPr>
        <w:instrText xml:space="preserve"> PAGEREF _Toc4208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_Toc17213 </w:instrText>
      </w:r>
      <w:r>
        <w:rPr>
          <w:rFonts w:hint="eastAsia" w:ascii="仿宋" w:hAnsi="仿宋" w:eastAsia="仿宋" w:cs="仿宋"/>
          <w:color w:val="auto"/>
          <w:highlight w:val="none"/>
        </w:rPr>
        <w:fldChar w:fldCharType="separate"/>
      </w:r>
      <w:r>
        <w:rPr>
          <w:rFonts w:hint="default" w:ascii="仿宋" w:hAnsi="仿宋" w:eastAsia="仿宋" w:cs="仿宋"/>
          <w:color w:val="auto"/>
          <w:szCs w:val="24"/>
          <w:highlight w:val="none"/>
        </w:rPr>
        <w:t xml:space="preserve">1.8 </w:t>
      </w:r>
      <w:r>
        <w:rPr>
          <w:rFonts w:hint="eastAsia" w:ascii="仿宋" w:hAnsi="仿宋" w:eastAsia="仿宋" w:cs="仿宋"/>
          <w:color w:val="auto"/>
          <w:szCs w:val="24"/>
          <w:highlight w:val="none"/>
        </w:rPr>
        <w:t>响应和偏差</w:t>
      </w:r>
      <w:r>
        <w:rPr>
          <w:color w:val="auto"/>
          <w:highlight w:val="none"/>
        </w:rPr>
        <w:tab/>
      </w:r>
      <w:r>
        <w:rPr>
          <w:color w:val="auto"/>
          <w:highlight w:val="none"/>
        </w:rPr>
        <w:fldChar w:fldCharType="begin"/>
      </w:r>
      <w:r>
        <w:rPr>
          <w:color w:val="auto"/>
          <w:highlight w:val="none"/>
        </w:rPr>
        <w:instrText xml:space="preserve"> PAGEREF _Toc17213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_Toc12103 </w:instrText>
      </w:r>
      <w:r>
        <w:rPr>
          <w:rFonts w:hint="eastAsia" w:ascii="仿宋" w:hAnsi="仿宋" w:eastAsia="仿宋" w:cs="仿宋"/>
          <w:color w:val="auto"/>
          <w:highlight w:val="none"/>
        </w:rPr>
        <w:fldChar w:fldCharType="separate"/>
      </w:r>
      <w:r>
        <w:rPr>
          <w:rFonts w:hint="default" w:ascii="仿宋" w:hAnsi="仿宋" w:eastAsia="仿宋" w:cs="仿宋"/>
          <w:color w:val="auto"/>
          <w:szCs w:val="24"/>
          <w:highlight w:val="none"/>
        </w:rPr>
        <w:t xml:space="preserve">1.9 </w:t>
      </w:r>
      <w:r>
        <w:rPr>
          <w:rFonts w:hint="eastAsia" w:ascii="仿宋" w:hAnsi="仿宋" w:eastAsia="仿宋" w:cs="仿宋"/>
          <w:color w:val="auto"/>
          <w:szCs w:val="24"/>
          <w:highlight w:val="none"/>
        </w:rPr>
        <w:t>语言</w:t>
      </w:r>
      <w:r>
        <w:rPr>
          <w:color w:val="auto"/>
          <w:highlight w:val="none"/>
        </w:rPr>
        <w:tab/>
      </w:r>
      <w:r>
        <w:rPr>
          <w:color w:val="auto"/>
          <w:highlight w:val="none"/>
        </w:rPr>
        <w:fldChar w:fldCharType="begin"/>
      </w:r>
      <w:r>
        <w:rPr>
          <w:color w:val="auto"/>
          <w:highlight w:val="none"/>
        </w:rPr>
        <w:instrText xml:space="preserve"> PAGEREF _Toc12103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_Toc27017 </w:instrText>
      </w:r>
      <w:r>
        <w:rPr>
          <w:rFonts w:hint="eastAsia" w:ascii="仿宋" w:hAnsi="仿宋" w:eastAsia="仿宋" w:cs="仿宋"/>
          <w:color w:val="auto"/>
          <w:highlight w:val="none"/>
        </w:rPr>
        <w:fldChar w:fldCharType="separate"/>
      </w:r>
      <w:r>
        <w:rPr>
          <w:rFonts w:hint="default" w:ascii="仿宋" w:hAnsi="仿宋" w:eastAsia="仿宋" w:cs="仿宋"/>
          <w:color w:val="auto"/>
          <w:szCs w:val="24"/>
          <w:highlight w:val="none"/>
        </w:rPr>
        <w:t xml:space="preserve">1.10 </w:t>
      </w:r>
      <w:r>
        <w:rPr>
          <w:rFonts w:hint="eastAsia" w:ascii="仿宋" w:hAnsi="仿宋" w:eastAsia="仿宋" w:cs="仿宋"/>
          <w:color w:val="auto"/>
          <w:szCs w:val="24"/>
          <w:highlight w:val="none"/>
        </w:rPr>
        <w:t>货币</w:t>
      </w:r>
      <w:r>
        <w:rPr>
          <w:color w:val="auto"/>
          <w:highlight w:val="none"/>
        </w:rPr>
        <w:tab/>
      </w:r>
      <w:r>
        <w:rPr>
          <w:color w:val="auto"/>
          <w:highlight w:val="none"/>
        </w:rPr>
        <w:fldChar w:fldCharType="begin"/>
      </w:r>
      <w:r>
        <w:rPr>
          <w:color w:val="auto"/>
          <w:highlight w:val="none"/>
        </w:rPr>
        <w:instrText xml:space="preserve"> PAGEREF _Toc27017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_Toc23692 </w:instrText>
      </w:r>
      <w:r>
        <w:rPr>
          <w:rFonts w:hint="eastAsia" w:ascii="仿宋" w:hAnsi="仿宋" w:eastAsia="仿宋" w:cs="仿宋"/>
          <w:color w:val="auto"/>
          <w:highlight w:val="none"/>
        </w:rPr>
        <w:fldChar w:fldCharType="separate"/>
      </w:r>
      <w:r>
        <w:rPr>
          <w:rFonts w:hint="default" w:ascii="仿宋" w:hAnsi="仿宋" w:eastAsia="仿宋" w:cs="仿宋"/>
          <w:color w:val="auto"/>
          <w:szCs w:val="24"/>
          <w:highlight w:val="none"/>
        </w:rPr>
        <w:t xml:space="preserve">1.11 </w:t>
      </w:r>
      <w:r>
        <w:rPr>
          <w:rFonts w:hint="eastAsia" w:ascii="仿宋" w:hAnsi="仿宋" w:eastAsia="仿宋" w:cs="仿宋"/>
          <w:color w:val="auto"/>
          <w:szCs w:val="24"/>
          <w:highlight w:val="none"/>
        </w:rPr>
        <w:t>保密</w:t>
      </w:r>
      <w:r>
        <w:rPr>
          <w:color w:val="auto"/>
          <w:highlight w:val="none"/>
        </w:rPr>
        <w:tab/>
      </w:r>
      <w:r>
        <w:rPr>
          <w:color w:val="auto"/>
          <w:highlight w:val="none"/>
        </w:rPr>
        <w:fldChar w:fldCharType="begin"/>
      </w:r>
      <w:r>
        <w:rPr>
          <w:color w:val="auto"/>
          <w:highlight w:val="none"/>
        </w:rPr>
        <w:instrText xml:space="preserve"> PAGEREF _Toc23692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_Toc1882 </w:instrText>
      </w:r>
      <w:r>
        <w:rPr>
          <w:rFonts w:hint="eastAsia" w:ascii="仿宋" w:hAnsi="仿宋" w:eastAsia="仿宋" w:cs="仿宋"/>
          <w:color w:val="auto"/>
          <w:highlight w:val="none"/>
        </w:rPr>
        <w:fldChar w:fldCharType="separate"/>
      </w:r>
      <w:r>
        <w:rPr>
          <w:rFonts w:ascii="仿宋" w:hAnsi="仿宋" w:eastAsia="仿宋" w:cs="仿宋"/>
          <w:color w:val="auto"/>
          <w:szCs w:val="24"/>
          <w:highlight w:val="none"/>
        </w:rPr>
        <w:t xml:space="preserve">2. </w:t>
      </w:r>
      <w:r>
        <w:rPr>
          <w:rFonts w:hint="eastAsia" w:ascii="仿宋" w:hAnsi="仿宋" w:eastAsia="仿宋" w:cs="仿宋"/>
          <w:color w:val="auto"/>
          <w:szCs w:val="24"/>
          <w:highlight w:val="none"/>
        </w:rPr>
        <w:t>征集文件</w:t>
      </w:r>
      <w:r>
        <w:rPr>
          <w:color w:val="auto"/>
          <w:highlight w:val="none"/>
        </w:rPr>
        <w:tab/>
      </w:r>
      <w:r>
        <w:rPr>
          <w:color w:val="auto"/>
          <w:highlight w:val="none"/>
        </w:rPr>
        <w:fldChar w:fldCharType="begin"/>
      </w:r>
      <w:r>
        <w:rPr>
          <w:color w:val="auto"/>
          <w:highlight w:val="none"/>
        </w:rPr>
        <w:instrText xml:space="preserve"> PAGEREF _Toc1882 \h </w:instrText>
      </w:r>
      <w:r>
        <w:rPr>
          <w:color w:val="auto"/>
          <w:highlight w:val="none"/>
        </w:rPr>
        <w:fldChar w:fldCharType="separate"/>
      </w:r>
      <w:r>
        <w:rPr>
          <w:color w:val="auto"/>
          <w:highlight w:val="none"/>
        </w:rPr>
        <w:t>17</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_Toc32734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2.1 </w:t>
      </w:r>
      <w:r>
        <w:rPr>
          <w:rFonts w:hint="eastAsia" w:ascii="仿宋" w:hAnsi="仿宋" w:eastAsia="仿宋" w:cs="仿宋"/>
          <w:color w:val="auto"/>
          <w:szCs w:val="24"/>
          <w:highlight w:val="none"/>
        </w:rPr>
        <w:t>征集文件的构成</w:t>
      </w:r>
      <w:r>
        <w:rPr>
          <w:color w:val="auto"/>
          <w:highlight w:val="none"/>
        </w:rPr>
        <w:tab/>
      </w:r>
      <w:r>
        <w:rPr>
          <w:color w:val="auto"/>
          <w:highlight w:val="none"/>
        </w:rPr>
        <w:fldChar w:fldCharType="begin"/>
      </w:r>
      <w:r>
        <w:rPr>
          <w:color w:val="auto"/>
          <w:highlight w:val="none"/>
        </w:rPr>
        <w:instrText xml:space="preserve"> PAGEREF _Toc32734 \h </w:instrText>
      </w:r>
      <w:r>
        <w:rPr>
          <w:color w:val="auto"/>
          <w:highlight w:val="none"/>
        </w:rPr>
        <w:fldChar w:fldCharType="separate"/>
      </w:r>
      <w:r>
        <w:rPr>
          <w:color w:val="auto"/>
          <w:highlight w:val="none"/>
        </w:rPr>
        <w:t>17</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_Toc24123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2.2 </w:t>
      </w:r>
      <w:r>
        <w:rPr>
          <w:rFonts w:hint="eastAsia" w:ascii="仿宋" w:hAnsi="仿宋" w:eastAsia="仿宋" w:cs="仿宋"/>
          <w:color w:val="auto"/>
          <w:szCs w:val="24"/>
          <w:highlight w:val="none"/>
        </w:rPr>
        <w:t>征集文件的澄清</w:t>
      </w:r>
      <w:r>
        <w:rPr>
          <w:color w:val="auto"/>
          <w:highlight w:val="none"/>
        </w:rPr>
        <w:tab/>
      </w:r>
      <w:r>
        <w:rPr>
          <w:color w:val="auto"/>
          <w:highlight w:val="none"/>
        </w:rPr>
        <w:fldChar w:fldCharType="begin"/>
      </w:r>
      <w:r>
        <w:rPr>
          <w:color w:val="auto"/>
          <w:highlight w:val="none"/>
        </w:rPr>
        <w:instrText xml:space="preserve"> PAGEREF _Toc24123 \h </w:instrText>
      </w:r>
      <w:r>
        <w:rPr>
          <w:color w:val="auto"/>
          <w:highlight w:val="none"/>
        </w:rPr>
        <w:fldChar w:fldCharType="separate"/>
      </w:r>
      <w:r>
        <w:rPr>
          <w:color w:val="auto"/>
          <w:highlight w:val="none"/>
        </w:rPr>
        <w:t>17</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_Toc4952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2.3 </w:t>
      </w:r>
      <w:r>
        <w:rPr>
          <w:rFonts w:hint="eastAsia" w:ascii="仿宋" w:hAnsi="仿宋" w:eastAsia="仿宋" w:cs="仿宋"/>
          <w:color w:val="auto"/>
          <w:szCs w:val="24"/>
          <w:highlight w:val="none"/>
        </w:rPr>
        <w:t>征集文件的修改</w:t>
      </w:r>
      <w:r>
        <w:rPr>
          <w:color w:val="auto"/>
          <w:highlight w:val="none"/>
        </w:rPr>
        <w:tab/>
      </w:r>
      <w:r>
        <w:rPr>
          <w:color w:val="auto"/>
          <w:highlight w:val="none"/>
        </w:rPr>
        <w:fldChar w:fldCharType="begin"/>
      </w:r>
      <w:r>
        <w:rPr>
          <w:color w:val="auto"/>
          <w:highlight w:val="none"/>
        </w:rPr>
        <w:instrText xml:space="preserve"> PAGEREF _Toc4952 \h </w:instrText>
      </w:r>
      <w:r>
        <w:rPr>
          <w:color w:val="auto"/>
          <w:highlight w:val="none"/>
        </w:rPr>
        <w:fldChar w:fldCharType="separate"/>
      </w:r>
      <w:r>
        <w:rPr>
          <w:color w:val="auto"/>
          <w:highlight w:val="none"/>
        </w:rPr>
        <w:t>18</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_Toc19348 </w:instrText>
      </w:r>
      <w:r>
        <w:rPr>
          <w:rFonts w:hint="eastAsia" w:ascii="仿宋" w:hAnsi="仿宋" w:eastAsia="仿宋" w:cs="仿宋"/>
          <w:color w:val="auto"/>
          <w:highlight w:val="none"/>
        </w:rPr>
        <w:fldChar w:fldCharType="separate"/>
      </w:r>
      <w:r>
        <w:rPr>
          <w:rFonts w:ascii="仿宋" w:hAnsi="仿宋" w:eastAsia="仿宋" w:cs="仿宋"/>
          <w:color w:val="auto"/>
          <w:szCs w:val="24"/>
          <w:highlight w:val="none"/>
        </w:rPr>
        <w:t xml:space="preserve">3. </w:t>
      </w:r>
      <w:r>
        <w:rPr>
          <w:rFonts w:hint="eastAsia" w:ascii="仿宋" w:hAnsi="仿宋" w:eastAsia="仿宋" w:cs="仿宋"/>
          <w:color w:val="auto"/>
          <w:szCs w:val="24"/>
          <w:highlight w:val="none"/>
        </w:rPr>
        <w:t>响应文件</w:t>
      </w:r>
      <w:r>
        <w:rPr>
          <w:color w:val="auto"/>
          <w:highlight w:val="none"/>
        </w:rPr>
        <w:tab/>
      </w:r>
      <w:r>
        <w:rPr>
          <w:color w:val="auto"/>
          <w:highlight w:val="none"/>
        </w:rPr>
        <w:fldChar w:fldCharType="begin"/>
      </w:r>
      <w:r>
        <w:rPr>
          <w:color w:val="auto"/>
          <w:highlight w:val="none"/>
        </w:rPr>
        <w:instrText xml:space="preserve"> PAGEREF _Toc19348 \h </w:instrText>
      </w:r>
      <w:r>
        <w:rPr>
          <w:color w:val="auto"/>
          <w:highlight w:val="none"/>
        </w:rPr>
        <w:fldChar w:fldCharType="separate"/>
      </w:r>
      <w:r>
        <w:rPr>
          <w:color w:val="auto"/>
          <w:highlight w:val="none"/>
        </w:rPr>
        <w:t>18</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_Toc920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3.1 </w:t>
      </w:r>
      <w:r>
        <w:rPr>
          <w:rFonts w:hint="eastAsia" w:ascii="仿宋" w:hAnsi="仿宋" w:eastAsia="仿宋" w:cs="仿宋"/>
          <w:color w:val="auto"/>
          <w:szCs w:val="24"/>
          <w:highlight w:val="none"/>
        </w:rPr>
        <w:t>响应文件的组成</w:t>
      </w:r>
      <w:r>
        <w:rPr>
          <w:color w:val="auto"/>
          <w:highlight w:val="none"/>
        </w:rPr>
        <w:tab/>
      </w:r>
      <w:r>
        <w:rPr>
          <w:color w:val="auto"/>
          <w:highlight w:val="none"/>
        </w:rPr>
        <w:fldChar w:fldCharType="begin"/>
      </w:r>
      <w:r>
        <w:rPr>
          <w:color w:val="auto"/>
          <w:highlight w:val="none"/>
        </w:rPr>
        <w:instrText xml:space="preserve"> PAGEREF _Toc920 \h </w:instrText>
      </w:r>
      <w:r>
        <w:rPr>
          <w:color w:val="auto"/>
          <w:highlight w:val="none"/>
        </w:rPr>
        <w:fldChar w:fldCharType="separate"/>
      </w:r>
      <w:r>
        <w:rPr>
          <w:color w:val="auto"/>
          <w:highlight w:val="none"/>
        </w:rPr>
        <w:t>18</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_Toc17175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3.2 </w:t>
      </w:r>
      <w:r>
        <w:rPr>
          <w:rFonts w:hint="eastAsia" w:ascii="仿宋" w:hAnsi="仿宋" w:eastAsia="仿宋" w:cs="仿宋"/>
          <w:color w:val="auto"/>
          <w:szCs w:val="24"/>
          <w:highlight w:val="none"/>
        </w:rPr>
        <w:t>响应报价</w:t>
      </w:r>
      <w:r>
        <w:rPr>
          <w:color w:val="auto"/>
          <w:highlight w:val="none"/>
        </w:rPr>
        <w:tab/>
      </w:r>
      <w:r>
        <w:rPr>
          <w:color w:val="auto"/>
          <w:highlight w:val="none"/>
        </w:rPr>
        <w:fldChar w:fldCharType="begin"/>
      </w:r>
      <w:r>
        <w:rPr>
          <w:color w:val="auto"/>
          <w:highlight w:val="none"/>
        </w:rPr>
        <w:instrText xml:space="preserve"> PAGEREF _Toc17175 \h </w:instrText>
      </w:r>
      <w:r>
        <w:rPr>
          <w:color w:val="auto"/>
          <w:highlight w:val="none"/>
        </w:rPr>
        <w:fldChar w:fldCharType="separate"/>
      </w:r>
      <w:r>
        <w:rPr>
          <w:color w:val="auto"/>
          <w:highlight w:val="none"/>
        </w:rPr>
        <w:t>18</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_Toc28900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3.3 </w:t>
      </w:r>
      <w:r>
        <w:rPr>
          <w:rFonts w:hint="eastAsia" w:ascii="仿宋" w:hAnsi="仿宋" w:eastAsia="仿宋" w:cs="仿宋"/>
          <w:color w:val="auto"/>
          <w:szCs w:val="24"/>
          <w:highlight w:val="none"/>
        </w:rPr>
        <w:t>响应文件有效期</w:t>
      </w:r>
      <w:r>
        <w:rPr>
          <w:color w:val="auto"/>
          <w:highlight w:val="none"/>
        </w:rPr>
        <w:tab/>
      </w:r>
      <w:r>
        <w:rPr>
          <w:color w:val="auto"/>
          <w:highlight w:val="none"/>
        </w:rPr>
        <w:fldChar w:fldCharType="begin"/>
      </w:r>
      <w:r>
        <w:rPr>
          <w:color w:val="auto"/>
          <w:highlight w:val="none"/>
        </w:rPr>
        <w:instrText xml:space="preserve"> PAGEREF _Toc28900 \h </w:instrText>
      </w:r>
      <w:r>
        <w:rPr>
          <w:color w:val="auto"/>
          <w:highlight w:val="none"/>
        </w:rPr>
        <w:fldChar w:fldCharType="separate"/>
      </w:r>
      <w:r>
        <w:rPr>
          <w:color w:val="auto"/>
          <w:highlight w:val="none"/>
        </w:rPr>
        <w:t>18</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_Toc31177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3.4 </w:t>
      </w:r>
      <w:r>
        <w:rPr>
          <w:rFonts w:hint="eastAsia" w:ascii="仿宋" w:hAnsi="仿宋" w:eastAsia="仿宋" w:cs="仿宋"/>
          <w:color w:val="auto"/>
          <w:szCs w:val="24"/>
          <w:highlight w:val="none"/>
        </w:rPr>
        <w:t>入围保证金</w:t>
      </w:r>
      <w:r>
        <w:rPr>
          <w:color w:val="auto"/>
          <w:highlight w:val="none"/>
        </w:rPr>
        <w:tab/>
      </w:r>
      <w:r>
        <w:rPr>
          <w:color w:val="auto"/>
          <w:highlight w:val="none"/>
        </w:rPr>
        <w:fldChar w:fldCharType="begin"/>
      </w:r>
      <w:r>
        <w:rPr>
          <w:color w:val="auto"/>
          <w:highlight w:val="none"/>
        </w:rPr>
        <w:instrText xml:space="preserve"> PAGEREF _Toc31177 \h </w:instrText>
      </w:r>
      <w:r>
        <w:rPr>
          <w:color w:val="auto"/>
          <w:highlight w:val="none"/>
        </w:rPr>
        <w:fldChar w:fldCharType="separate"/>
      </w:r>
      <w:r>
        <w:rPr>
          <w:color w:val="auto"/>
          <w:highlight w:val="none"/>
        </w:rPr>
        <w:t>18</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_Toc25255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3.5 </w:t>
      </w:r>
      <w:r>
        <w:rPr>
          <w:rFonts w:hint="eastAsia" w:ascii="仿宋" w:hAnsi="仿宋" w:eastAsia="仿宋" w:cs="仿宋"/>
          <w:color w:val="auto"/>
          <w:szCs w:val="24"/>
          <w:highlight w:val="none"/>
        </w:rPr>
        <w:t>供应商资格的证明文件</w:t>
      </w:r>
      <w:r>
        <w:rPr>
          <w:color w:val="auto"/>
          <w:highlight w:val="none"/>
        </w:rPr>
        <w:tab/>
      </w:r>
      <w:r>
        <w:rPr>
          <w:color w:val="auto"/>
          <w:highlight w:val="none"/>
        </w:rPr>
        <w:fldChar w:fldCharType="begin"/>
      </w:r>
      <w:r>
        <w:rPr>
          <w:color w:val="auto"/>
          <w:highlight w:val="none"/>
        </w:rPr>
        <w:instrText xml:space="preserve"> PAGEREF _Toc25255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_Toc11800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3.6 </w:t>
      </w:r>
      <w:r>
        <w:rPr>
          <w:rFonts w:hint="eastAsia" w:ascii="仿宋" w:hAnsi="仿宋" w:eastAsia="仿宋" w:cs="仿宋"/>
          <w:color w:val="auto"/>
          <w:szCs w:val="24"/>
          <w:highlight w:val="none"/>
        </w:rPr>
        <w:t>供应商技术证明文件</w:t>
      </w:r>
      <w:r>
        <w:rPr>
          <w:color w:val="auto"/>
          <w:highlight w:val="none"/>
        </w:rPr>
        <w:tab/>
      </w:r>
      <w:r>
        <w:rPr>
          <w:color w:val="auto"/>
          <w:highlight w:val="none"/>
        </w:rPr>
        <w:fldChar w:fldCharType="begin"/>
      </w:r>
      <w:r>
        <w:rPr>
          <w:color w:val="auto"/>
          <w:highlight w:val="none"/>
        </w:rPr>
        <w:instrText xml:space="preserve"> PAGEREF _Toc11800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_Toc18327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3.7 </w:t>
      </w:r>
      <w:r>
        <w:rPr>
          <w:rFonts w:hint="eastAsia" w:ascii="仿宋" w:hAnsi="仿宋" w:eastAsia="仿宋" w:cs="仿宋"/>
          <w:color w:val="auto"/>
          <w:szCs w:val="24"/>
          <w:highlight w:val="none"/>
        </w:rPr>
        <w:t>响应文件编制</w:t>
      </w:r>
      <w:r>
        <w:rPr>
          <w:color w:val="auto"/>
          <w:highlight w:val="none"/>
        </w:rPr>
        <w:tab/>
      </w:r>
      <w:r>
        <w:rPr>
          <w:color w:val="auto"/>
          <w:highlight w:val="none"/>
        </w:rPr>
        <w:fldChar w:fldCharType="begin"/>
      </w:r>
      <w:r>
        <w:rPr>
          <w:color w:val="auto"/>
          <w:highlight w:val="none"/>
        </w:rPr>
        <w:instrText xml:space="preserve"> PAGEREF _Toc18327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_Toc7642 </w:instrText>
      </w:r>
      <w:r>
        <w:rPr>
          <w:rFonts w:hint="eastAsia" w:ascii="仿宋" w:hAnsi="仿宋" w:eastAsia="仿宋" w:cs="仿宋"/>
          <w:color w:val="auto"/>
          <w:highlight w:val="none"/>
        </w:rPr>
        <w:fldChar w:fldCharType="separate"/>
      </w:r>
      <w:r>
        <w:rPr>
          <w:rFonts w:ascii="仿宋" w:hAnsi="仿宋" w:eastAsia="仿宋" w:cs="仿宋"/>
          <w:color w:val="auto"/>
          <w:szCs w:val="24"/>
          <w:highlight w:val="none"/>
        </w:rPr>
        <w:t xml:space="preserve">4. </w:t>
      </w:r>
      <w:r>
        <w:rPr>
          <w:rFonts w:hint="eastAsia" w:ascii="仿宋" w:hAnsi="仿宋" w:eastAsia="仿宋" w:cs="仿宋"/>
          <w:color w:val="auto"/>
          <w:szCs w:val="24"/>
          <w:highlight w:val="none"/>
        </w:rPr>
        <w:t>响应</w:t>
      </w:r>
      <w:r>
        <w:rPr>
          <w:color w:val="auto"/>
          <w:highlight w:val="none"/>
        </w:rPr>
        <w:tab/>
      </w:r>
      <w:r>
        <w:rPr>
          <w:color w:val="auto"/>
          <w:highlight w:val="none"/>
        </w:rPr>
        <w:fldChar w:fldCharType="begin"/>
      </w:r>
      <w:r>
        <w:rPr>
          <w:color w:val="auto"/>
          <w:highlight w:val="none"/>
        </w:rPr>
        <w:instrText xml:space="preserve"> PAGEREF _Toc7642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_Toc12350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4.1 </w:t>
      </w:r>
      <w:r>
        <w:rPr>
          <w:rFonts w:hint="eastAsia" w:ascii="仿宋" w:hAnsi="仿宋" w:eastAsia="仿宋" w:cs="仿宋"/>
          <w:color w:val="auto"/>
          <w:szCs w:val="24"/>
          <w:highlight w:val="none"/>
        </w:rPr>
        <w:t>响应文件的密封和标记</w:t>
      </w:r>
      <w:r>
        <w:rPr>
          <w:color w:val="auto"/>
          <w:highlight w:val="none"/>
        </w:rPr>
        <w:tab/>
      </w:r>
      <w:r>
        <w:rPr>
          <w:color w:val="auto"/>
          <w:highlight w:val="none"/>
        </w:rPr>
        <w:fldChar w:fldCharType="begin"/>
      </w:r>
      <w:r>
        <w:rPr>
          <w:color w:val="auto"/>
          <w:highlight w:val="none"/>
        </w:rPr>
        <w:instrText xml:space="preserve"> PAGEREF _Toc12350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_Toc311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4.2 </w:t>
      </w:r>
      <w:r>
        <w:rPr>
          <w:rFonts w:hint="eastAsia" w:ascii="仿宋" w:hAnsi="仿宋" w:eastAsia="仿宋" w:cs="仿宋"/>
          <w:color w:val="auto"/>
          <w:szCs w:val="24"/>
          <w:highlight w:val="none"/>
        </w:rPr>
        <w:t>响应文件的提交</w:t>
      </w:r>
      <w:r>
        <w:rPr>
          <w:color w:val="auto"/>
          <w:highlight w:val="none"/>
        </w:rPr>
        <w:tab/>
      </w:r>
      <w:r>
        <w:rPr>
          <w:color w:val="auto"/>
          <w:highlight w:val="none"/>
        </w:rPr>
        <w:fldChar w:fldCharType="begin"/>
      </w:r>
      <w:r>
        <w:rPr>
          <w:color w:val="auto"/>
          <w:highlight w:val="none"/>
        </w:rPr>
        <w:instrText xml:space="preserve"> PAGEREF _Toc311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_Toc24270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4.3 </w:t>
      </w:r>
      <w:r>
        <w:rPr>
          <w:rFonts w:hint="eastAsia" w:ascii="仿宋" w:hAnsi="仿宋" w:eastAsia="仿宋" w:cs="仿宋"/>
          <w:color w:val="auto"/>
          <w:szCs w:val="24"/>
          <w:highlight w:val="none"/>
        </w:rPr>
        <w:t>响应文件的修改和撤回</w:t>
      </w:r>
      <w:r>
        <w:rPr>
          <w:color w:val="auto"/>
          <w:highlight w:val="none"/>
        </w:rPr>
        <w:tab/>
      </w:r>
      <w:r>
        <w:rPr>
          <w:color w:val="auto"/>
          <w:highlight w:val="none"/>
        </w:rPr>
        <w:fldChar w:fldCharType="begin"/>
      </w:r>
      <w:r>
        <w:rPr>
          <w:color w:val="auto"/>
          <w:highlight w:val="none"/>
        </w:rPr>
        <w:instrText xml:space="preserve"> PAGEREF _Toc24270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_Toc22970 </w:instrText>
      </w:r>
      <w:r>
        <w:rPr>
          <w:rFonts w:hint="eastAsia" w:ascii="仿宋" w:hAnsi="仿宋" w:eastAsia="仿宋" w:cs="仿宋"/>
          <w:color w:val="auto"/>
          <w:highlight w:val="none"/>
        </w:rPr>
        <w:fldChar w:fldCharType="separate"/>
      </w:r>
      <w:r>
        <w:rPr>
          <w:rFonts w:ascii="仿宋" w:hAnsi="仿宋" w:eastAsia="仿宋" w:cs="仿宋"/>
          <w:color w:val="auto"/>
          <w:szCs w:val="24"/>
          <w:highlight w:val="none"/>
        </w:rPr>
        <w:t xml:space="preserve">5. </w:t>
      </w:r>
      <w:r>
        <w:rPr>
          <w:rFonts w:hint="eastAsia" w:ascii="仿宋" w:hAnsi="仿宋" w:eastAsia="仿宋" w:cs="仿宋"/>
          <w:color w:val="auto"/>
          <w:szCs w:val="24"/>
          <w:highlight w:val="none"/>
        </w:rPr>
        <w:t>开标、资格审查与评审</w:t>
      </w:r>
      <w:r>
        <w:rPr>
          <w:color w:val="auto"/>
          <w:highlight w:val="none"/>
        </w:rPr>
        <w:tab/>
      </w:r>
      <w:r>
        <w:rPr>
          <w:color w:val="auto"/>
          <w:highlight w:val="none"/>
        </w:rPr>
        <w:fldChar w:fldCharType="begin"/>
      </w:r>
      <w:r>
        <w:rPr>
          <w:color w:val="auto"/>
          <w:highlight w:val="none"/>
        </w:rPr>
        <w:instrText xml:space="preserve"> PAGEREF _Toc22970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_Toc24146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5.1 </w:t>
      </w:r>
      <w:r>
        <w:rPr>
          <w:rFonts w:hint="eastAsia" w:ascii="仿宋" w:hAnsi="仿宋" w:eastAsia="仿宋" w:cs="仿宋"/>
          <w:color w:val="auto"/>
          <w:szCs w:val="24"/>
          <w:highlight w:val="none"/>
        </w:rPr>
        <w:t>开标</w:t>
      </w:r>
      <w:r>
        <w:rPr>
          <w:color w:val="auto"/>
          <w:highlight w:val="none"/>
        </w:rPr>
        <w:tab/>
      </w:r>
      <w:r>
        <w:rPr>
          <w:color w:val="auto"/>
          <w:highlight w:val="none"/>
        </w:rPr>
        <w:fldChar w:fldCharType="begin"/>
      </w:r>
      <w:r>
        <w:rPr>
          <w:color w:val="auto"/>
          <w:highlight w:val="none"/>
        </w:rPr>
        <w:instrText xml:space="preserve"> PAGEREF _Toc24146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_Toc7974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5.2 </w:t>
      </w:r>
      <w:r>
        <w:rPr>
          <w:rFonts w:hint="eastAsia" w:ascii="仿宋" w:hAnsi="仿宋" w:eastAsia="仿宋" w:cs="仿宋"/>
          <w:color w:val="auto"/>
          <w:szCs w:val="24"/>
          <w:highlight w:val="none"/>
        </w:rPr>
        <w:t>资格审查工作</w:t>
      </w:r>
      <w:r>
        <w:rPr>
          <w:color w:val="auto"/>
          <w:highlight w:val="none"/>
        </w:rPr>
        <w:tab/>
      </w:r>
      <w:r>
        <w:rPr>
          <w:color w:val="auto"/>
          <w:highlight w:val="none"/>
        </w:rPr>
        <w:fldChar w:fldCharType="begin"/>
      </w:r>
      <w:r>
        <w:rPr>
          <w:color w:val="auto"/>
          <w:highlight w:val="none"/>
        </w:rPr>
        <w:instrText xml:space="preserve"> PAGEREF _Toc7974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_Toc9413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5.3 </w:t>
      </w:r>
      <w:r>
        <w:rPr>
          <w:rFonts w:hint="eastAsia" w:ascii="仿宋" w:hAnsi="仿宋" w:eastAsia="仿宋" w:cs="仿宋"/>
          <w:color w:val="auto"/>
          <w:szCs w:val="24"/>
          <w:highlight w:val="none"/>
        </w:rPr>
        <w:t>评审工作</w:t>
      </w:r>
      <w:r>
        <w:rPr>
          <w:color w:val="auto"/>
          <w:highlight w:val="none"/>
        </w:rPr>
        <w:tab/>
      </w:r>
      <w:r>
        <w:rPr>
          <w:color w:val="auto"/>
          <w:highlight w:val="none"/>
        </w:rPr>
        <w:fldChar w:fldCharType="begin"/>
      </w:r>
      <w:r>
        <w:rPr>
          <w:color w:val="auto"/>
          <w:highlight w:val="none"/>
        </w:rPr>
        <w:instrText xml:space="preserve"> PAGEREF _Toc9413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_Toc24516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5.4 </w:t>
      </w:r>
      <w:r>
        <w:rPr>
          <w:rFonts w:hint="eastAsia" w:ascii="仿宋" w:hAnsi="仿宋" w:eastAsia="仿宋" w:cs="仿宋"/>
          <w:color w:val="auto"/>
          <w:szCs w:val="24"/>
          <w:highlight w:val="none"/>
        </w:rPr>
        <w:t>保密及其它注意事项</w:t>
      </w:r>
      <w:r>
        <w:rPr>
          <w:color w:val="auto"/>
          <w:highlight w:val="none"/>
        </w:rPr>
        <w:tab/>
      </w:r>
      <w:r>
        <w:rPr>
          <w:color w:val="auto"/>
          <w:highlight w:val="none"/>
        </w:rPr>
        <w:fldChar w:fldCharType="begin"/>
      </w:r>
      <w:r>
        <w:rPr>
          <w:color w:val="auto"/>
          <w:highlight w:val="none"/>
        </w:rPr>
        <w:instrText xml:space="preserve"> PAGEREF _Toc24516 \h </w:instrText>
      </w:r>
      <w:r>
        <w:rPr>
          <w:color w:val="auto"/>
          <w:highlight w:val="none"/>
        </w:rPr>
        <w:fldChar w:fldCharType="separate"/>
      </w:r>
      <w:r>
        <w:rPr>
          <w:color w:val="auto"/>
          <w:highlight w:val="none"/>
        </w:rPr>
        <w:t>21</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_Toc7838 </w:instrText>
      </w:r>
      <w:r>
        <w:rPr>
          <w:rFonts w:hint="eastAsia" w:ascii="仿宋" w:hAnsi="仿宋" w:eastAsia="仿宋" w:cs="仿宋"/>
          <w:color w:val="auto"/>
          <w:highlight w:val="none"/>
        </w:rPr>
        <w:fldChar w:fldCharType="separate"/>
      </w:r>
      <w:r>
        <w:rPr>
          <w:rFonts w:ascii="仿宋" w:hAnsi="仿宋" w:eastAsia="仿宋" w:cs="仿宋"/>
          <w:color w:val="auto"/>
          <w:szCs w:val="24"/>
          <w:highlight w:val="none"/>
        </w:rPr>
        <w:t xml:space="preserve">6. </w:t>
      </w:r>
      <w:r>
        <w:rPr>
          <w:rFonts w:hint="eastAsia" w:ascii="仿宋" w:hAnsi="仿宋" w:eastAsia="仿宋" w:cs="仿宋"/>
          <w:color w:val="auto"/>
          <w:szCs w:val="24"/>
          <w:highlight w:val="none"/>
        </w:rPr>
        <w:t>授予框架协议</w:t>
      </w:r>
      <w:r>
        <w:rPr>
          <w:color w:val="auto"/>
          <w:highlight w:val="none"/>
        </w:rPr>
        <w:tab/>
      </w:r>
      <w:r>
        <w:rPr>
          <w:color w:val="auto"/>
          <w:highlight w:val="none"/>
        </w:rPr>
        <w:fldChar w:fldCharType="begin"/>
      </w:r>
      <w:r>
        <w:rPr>
          <w:color w:val="auto"/>
          <w:highlight w:val="none"/>
        </w:rPr>
        <w:instrText xml:space="preserve"> PAGEREF _Toc7838 \h </w:instrText>
      </w:r>
      <w:r>
        <w:rPr>
          <w:color w:val="auto"/>
          <w:highlight w:val="none"/>
        </w:rPr>
        <w:fldChar w:fldCharType="separate"/>
      </w:r>
      <w:r>
        <w:rPr>
          <w:color w:val="auto"/>
          <w:highlight w:val="none"/>
        </w:rPr>
        <w:t>22</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_Toc22592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6.1 </w:t>
      </w:r>
      <w:r>
        <w:rPr>
          <w:rFonts w:hint="eastAsia" w:ascii="仿宋" w:hAnsi="仿宋" w:eastAsia="仿宋" w:cs="仿宋"/>
          <w:color w:val="auto"/>
          <w:szCs w:val="24"/>
          <w:highlight w:val="none"/>
        </w:rPr>
        <w:t>入围结果公告</w:t>
      </w:r>
      <w:r>
        <w:rPr>
          <w:color w:val="auto"/>
          <w:highlight w:val="none"/>
        </w:rPr>
        <w:tab/>
      </w:r>
      <w:r>
        <w:rPr>
          <w:color w:val="auto"/>
          <w:highlight w:val="none"/>
        </w:rPr>
        <w:fldChar w:fldCharType="begin"/>
      </w:r>
      <w:r>
        <w:rPr>
          <w:color w:val="auto"/>
          <w:highlight w:val="none"/>
        </w:rPr>
        <w:instrText xml:space="preserve"> PAGEREF _Toc22592 \h </w:instrText>
      </w:r>
      <w:r>
        <w:rPr>
          <w:color w:val="auto"/>
          <w:highlight w:val="none"/>
        </w:rPr>
        <w:fldChar w:fldCharType="separate"/>
      </w:r>
      <w:r>
        <w:rPr>
          <w:color w:val="auto"/>
          <w:highlight w:val="none"/>
        </w:rPr>
        <w:t>22</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_Toc14267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6.2 </w:t>
      </w:r>
      <w:r>
        <w:rPr>
          <w:rFonts w:hint="eastAsia" w:ascii="仿宋" w:hAnsi="仿宋" w:eastAsia="仿宋" w:cs="仿宋"/>
          <w:color w:val="auto"/>
          <w:szCs w:val="24"/>
          <w:highlight w:val="none"/>
        </w:rPr>
        <w:t>取消入围资格或者</w:t>
      </w:r>
      <w:r>
        <w:rPr>
          <w:rFonts w:hint="eastAsia" w:ascii="仿宋" w:hAnsi="仿宋" w:eastAsia="仿宋" w:cs="仿宋"/>
          <w:color w:val="auto"/>
          <w:kern w:val="0"/>
          <w:szCs w:val="24"/>
          <w:highlight w:val="none"/>
        </w:rPr>
        <w:t>解除框架协议的情形</w:t>
      </w:r>
      <w:r>
        <w:rPr>
          <w:color w:val="auto"/>
          <w:highlight w:val="none"/>
        </w:rPr>
        <w:tab/>
      </w:r>
      <w:r>
        <w:rPr>
          <w:color w:val="auto"/>
          <w:highlight w:val="none"/>
        </w:rPr>
        <w:fldChar w:fldCharType="begin"/>
      </w:r>
      <w:r>
        <w:rPr>
          <w:color w:val="auto"/>
          <w:highlight w:val="none"/>
        </w:rPr>
        <w:instrText xml:space="preserve"> PAGEREF _Toc14267 \h </w:instrText>
      </w:r>
      <w:r>
        <w:rPr>
          <w:color w:val="auto"/>
          <w:highlight w:val="none"/>
        </w:rPr>
        <w:fldChar w:fldCharType="separate"/>
      </w:r>
      <w:r>
        <w:rPr>
          <w:color w:val="auto"/>
          <w:highlight w:val="none"/>
        </w:rPr>
        <w:t>22</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_Toc26450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6.3 </w:t>
      </w:r>
      <w:r>
        <w:rPr>
          <w:rFonts w:hint="eastAsia" w:ascii="仿宋" w:hAnsi="仿宋" w:eastAsia="仿宋" w:cs="仿宋"/>
          <w:color w:val="auto"/>
          <w:szCs w:val="24"/>
          <w:highlight w:val="none"/>
        </w:rPr>
        <w:t>入围通知书</w:t>
      </w:r>
      <w:r>
        <w:rPr>
          <w:color w:val="auto"/>
          <w:highlight w:val="none"/>
        </w:rPr>
        <w:tab/>
      </w:r>
      <w:r>
        <w:rPr>
          <w:color w:val="auto"/>
          <w:highlight w:val="none"/>
        </w:rPr>
        <w:fldChar w:fldCharType="begin"/>
      </w:r>
      <w:r>
        <w:rPr>
          <w:color w:val="auto"/>
          <w:highlight w:val="none"/>
        </w:rPr>
        <w:instrText xml:space="preserve"> PAGEREF _Toc26450 \h </w:instrText>
      </w:r>
      <w:r>
        <w:rPr>
          <w:color w:val="auto"/>
          <w:highlight w:val="none"/>
        </w:rPr>
        <w:fldChar w:fldCharType="separate"/>
      </w:r>
      <w:r>
        <w:rPr>
          <w:color w:val="auto"/>
          <w:highlight w:val="none"/>
        </w:rPr>
        <w:t>23</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_Toc21737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6.4 </w:t>
      </w:r>
      <w:r>
        <w:rPr>
          <w:rFonts w:hint="eastAsia" w:ascii="仿宋" w:hAnsi="仿宋" w:eastAsia="仿宋" w:cs="仿宋"/>
          <w:color w:val="auto"/>
          <w:szCs w:val="24"/>
          <w:highlight w:val="none"/>
        </w:rPr>
        <w:t>履约保证金</w:t>
      </w:r>
      <w:r>
        <w:rPr>
          <w:color w:val="auto"/>
          <w:highlight w:val="none"/>
        </w:rPr>
        <w:tab/>
      </w:r>
      <w:r>
        <w:rPr>
          <w:color w:val="auto"/>
          <w:highlight w:val="none"/>
        </w:rPr>
        <w:fldChar w:fldCharType="begin"/>
      </w:r>
      <w:r>
        <w:rPr>
          <w:color w:val="auto"/>
          <w:highlight w:val="none"/>
        </w:rPr>
        <w:instrText xml:space="preserve"> PAGEREF _Toc21737 \h </w:instrText>
      </w:r>
      <w:r>
        <w:rPr>
          <w:color w:val="auto"/>
          <w:highlight w:val="none"/>
        </w:rPr>
        <w:fldChar w:fldCharType="separate"/>
      </w:r>
      <w:r>
        <w:rPr>
          <w:color w:val="auto"/>
          <w:highlight w:val="none"/>
        </w:rPr>
        <w:t>23</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_Toc9153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6.5 </w:t>
      </w:r>
      <w:r>
        <w:rPr>
          <w:rFonts w:hint="eastAsia" w:ascii="仿宋" w:hAnsi="仿宋" w:eastAsia="仿宋" w:cs="仿宋"/>
          <w:color w:val="auto"/>
          <w:szCs w:val="24"/>
          <w:highlight w:val="none"/>
        </w:rPr>
        <w:t>签订框架协议</w:t>
      </w:r>
      <w:r>
        <w:rPr>
          <w:color w:val="auto"/>
          <w:highlight w:val="none"/>
        </w:rPr>
        <w:tab/>
      </w:r>
      <w:r>
        <w:rPr>
          <w:color w:val="auto"/>
          <w:highlight w:val="none"/>
        </w:rPr>
        <w:fldChar w:fldCharType="begin"/>
      </w:r>
      <w:r>
        <w:rPr>
          <w:color w:val="auto"/>
          <w:highlight w:val="none"/>
        </w:rPr>
        <w:instrText xml:space="preserve"> PAGEREF _Toc9153 \h </w:instrText>
      </w:r>
      <w:r>
        <w:rPr>
          <w:color w:val="auto"/>
          <w:highlight w:val="none"/>
        </w:rPr>
        <w:fldChar w:fldCharType="separate"/>
      </w:r>
      <w:r>
        <w:rPr>
          <w:color w:val="auto"/>
          <w:highlight w:val="none"/>
        </w:rPr>
        <w:t>23</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_Toc2641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6.6 </w:t>
      </w:r>
      <w:r>
        <w:rPr>
          <w:rFonts w:hint="eastAsia" w:ascii="仿宋" w:hAnsi="仿宋" w:eastAsia="仿宋" w:cs="仿宋"/>
          <w:color w:val="auto"/>
          <w:szCs w:val="24"/>
          <w:highlight w:val="none"/>
        </w:rPr>
        <w:t>第二阶段成交供应商的选定</w:t>
      </w:r>
      <w:r>
        <w:rPr>
          <w:color w:val="auto"/>
          <w:highlight w:val="none"/>
        </w:rPr>
        <w:tab/>
      </w:r>
      <w:r>
        <w:rPr>
          <w:color w:val="auto"/>
          <w:highlight w:val="none"/>
        </w:rPr>
        <w:fldChar w:fldCharType="begin"/>
      </w:r>
      <w:r>
        <w:rPr>
          <w:color w:val="auto"/>
          <w:highlight w:val="none"/>
        </w:rPr>
        <w:instrText xml:space="preserve"> PAGEREF _Toc2641 \h </w:instrText>
      </w:r>
      <w:r>
        <w:rPr>
          <w:color w:val="auto"/>
          <w:highlight w:val="none"/>
        </w:rPr>
        <w:fldChar w:fldCharType="separate"/>
      </w:r>
      <w:r>
        <w:rPr>
          <w:color w:val="auto"/>
          <w:highlight w:val="none"/>
        </w:rPr>
        <w:t>24</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_Toc20363 </w:instrText>
      </w:r>
      <w:r>
        <w:rPr>
          <w:rFonts w:hint="eastAsia" w:ascii="仿宋" w:hAnsi="仿宋" w:eastAsia="仿宋" w:cs="仿宋"/>
          <w:color w:val="auto"/>
          <w:highlight w:val="none"/>
        </w:rPr>
        <w:fldChar w:fldCharType="separate"/>
      </w:r>
      <w:r>
        <w:rPr>
          <w:rFonts w:hint="default" w:ascii="宋体" w:hAnsi="宋体" w:eastAsia="宋体" w:cs="宋体"/>
          <w:bCs/>
          <w:color w:val="auto"/>
          <w:szCs w:val="24"/>
          <w:highlight w:val="none"/>
        </w:rPr>
        <w:t xml:space="preserve">6.7 </w:t>
      </w:r>
      <w:r>
        <w:rPr>
          <w:rFonts w:hint="eastAsia" w:ascii="仿宋" w:hAnsi="仿宋" w:eastAsia="仿宋" w:cs="仿宋"/>
          <w:color w:val="auto"/>
          <w:szCs w:val="24"/>
          <w:highlight w:val="none"/>
        </w:rPr>
        <w:t>入围供应商的清退和补充</w:t>
      </w:r>
      <w:r>
        <w:rPr>
          <w:color w:val="auto"/>
          <w:highlight w:val="none"/>
        </w:rPr>
        <w:tab/>
      </w:r>
      <w:r>
        <w:rPr>
          <w:color w:val="auto"/>
          <w:highlight w:val="none"/>
        </w:rPr>
        <w:fldChar w:fldCharType="begin"/>
      </w:r>
      <w:r>
        <w:rPr>
          <w:color w:val="auto"/>
          <w:highlight w:val="none"/>
        </w:rPr>
        <w:instrText xml:space="preserve"> PAGEREF _Toc20363 \h </w:instrText>
      </w:r>
      <w:r>
        <w:rPr>
          <w:color w:val="auto"/>
          <w:highlight w:val="none"/>
        </w:rPr>
        <w:fldChar w:fldCharType="separate"/>
      </w:r>
      <w:r>
        <w:rPr>
          <w:color w:val="auto"/>
          <w:highlight w:val="none"/>
        </w:rPr>
        <w:t>24</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_Toc32395 </w:instrText>
      </w:r>
      <w:r>
        <w:rPr>
          <w:rFonts w:hint="eastAsia" w:ascii="仿宋" w:hAnsi="仿宋" w:eastAsia="仿宋" w:cs="仿宋"/>
          <w:color w:val="auto"/>
          <w:highlight w:val="none"/>
        </w:rPr>
        <w:fldChar w:fldCharType="separate"/>
      </w:r>
      <w:r>
        <w:rPr>
          <w:rFonts w:ascii="仿宋" w:hAnsi="仿宋" w:eastAsia="仿宋" w:cs="仿宋"/>
          <w:color w:val="auto"/>
          <w:szCs w:val="24"/>
          <w:highlight w:val="none"/>
        </w:rPr>
        <w:t xml:space="preserve">7. </w:t>
      </w:r>
      <w:r>
        <w:rPr>
          <w:rFonts w:hint="eastAsia" w:ascii="仿宋" w:hAnsi="仿宋" w:eastAsia="仿宋" w:cs="仿宋"/>
          <w:color w:val="auto"/>
          <w:szCs w:val="24"/>
          <w:highlight w:val="none"/>
        </w:rPr>
        <w:t>纪律和监督</w:t>
      </w:r>
      <w:r>
        <w:rPr>
          <w:color w:val="auto"/>
          <w:highlight w:val="none"/>
        </w:rPr>
        <w:tab/>
      </w:r>
      <w:r>
        <w:rPr>
          <w:color w:val="auto"/>
          <w:highlight w:val="none"/>
        </w:rPr>
        <w:fldChar w:fldCharType="begin"/>
      </w:r>
      <w:r>
        <w:rPr>
          <w:color w:val="auto"/>
          <w:highlight w:val="none"/>
        </w:rPr>
        <w:instrText xml:space="preserve"> PAGEREF _Toc32395 \h </w:instrText>
      </w:r>
      <w:r>
        <w:rPr>
          <w:color w:val="auto"/>
          <w:highlight w:val="none"/>
        </w:rPr>
        <w:fldChar w:fldCharType="separate"/>
      </w:r>
      <w:r>
        <w:rPr>
          <w:color w:val="auto"/>
          <w:highlight w:val="none"/>
        </w:rPr>
        <w:t>25</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_Toc31026 </w:instrText>
      </w:r>
      <w:r>
        <w:rPr>
          <w:rFonts w:hint="eastAsia" w:ascii="仿宋" w:hAnsi="仿宋" w:eastAsia="仿宋" w:cs="仿宋"/>
          <w:color w:val="auto"/>
          <w:highlight w:val="none"/>
        </w:rPr>
        <w:fldChar w:fldCharType="separate"/>
      </w:r>
      <w:r>
        <w:rPr>
          <w:rFonts w:ascii="仿宋" w:hAnsi="仿宋" w:eastAsia="仿宋" w:cs="仿宋"/>
          <w:color w:val="auto"/>
          <w:szCs w:val="24"/>
          <w:highlight w:val="none"/>
        </w:rPr>
        <w:t xml:space="preserve">8. </w:t>
      </w:r>
      <w:r>
        <w:rPr>
          <w:rFonts w:hint="eastAsia" w:ascii="仿宋" w:hAnsi="仿宋" w:eastAsia="仿宋" w:cs="仿宋"/>
          <w:color w:val="auto"/>
          <w:szCs w:val="24"/>
          <w:highlight w:val="none"/>
        </w:rPr>
        <w:t>需要补充的其他内容</w:t>
      </w:r>
      <w:r>
        <w:rPr>
          <w:color w:val="auto"/>
          <w:highlight w:val="none"/>
        </w:rPr>
        <w:tab/>
      </w:r>
      <w:r>
        <w:rPr>
          <w:color w:val="auto"/>
          <w:highlight w:val="none"/>
        </w:rPr>
        <w:fldChar w:fldCharType="begin"/>
      </w:r>
      <w:r>
        <w:rPr>
          <w:color w:val="auto"/>
          <w:highlight w:val="none"/>
        </w:rPr>
        <w:instrText xml:space="preserve"> PAGEREF _Toc31026 \h </w:instrText>
      </w:r>
      <w:r>
        <w:rPr>
          <w:color w:val="auto"/>
          <w:highlight w:val="none"/>
        </w:rPr>
        <w:fldChar w:fldCharType="separate"/>
      </w:r>
      <w:r>
        <w:rPr>
          <w:color w:val="auto"/>
          <w:highlight w:val="none"/>
        </w:rPr>
        <w:t>26</w:t>
      </w:r>
      <w:r>
        <w:rPr>
          <w:color w:val="auto"/>
          <w:highlight w:val="none"/>
        </w:rPr>
        <w:fldChar w:fldCharType="end"/>
      </w:r>
      <w:r>
        <w:rPr>
          <w:rFonts w:hint="eastAsia" w:ascii="仿宋" w:hAnsi="仿宋" w:eastAsia="仿宋" w:cs="仿宋"/>
          <w:color w:val="auto"/>
          <w:highlight w:val="none"/>
        </w:rPr>
        <w:fldChar w:fldCharType="end"/>
      </w:r>
    </w:p>
    <w:p>
      <w:pPr>
        <w:pStyle w:val="21"/>
        <w:shd w:val="clear"/>
        <w:tabs>
          <w:tab w:val="right" w:leader="dot" w:pos="9072"/>
          <w:tab w:val="clear" w:pos="846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_Toc10036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第三章 评审方法（质量优先法）</w:t>
      </w:r>
      <w:r>
        <w:rPr>
          <w:color w:val="auto"/>
          <w:highlight w:val="none"/>
        </w:rPr>
        <w:tab/>
      </w:r>
      <w:r>
        <w:rPr>
          <w:color w:val="auto"/>
          <w:highlight w:val="none"/>
        </w:rPr>
        <w:fldChar w:fldCharType="begin"/>
      </w:r>
      <w:r>
        <w:rPr>
          <w:color w:val="auto"/>
          <w:highlight w:val="none"/>
        </w:rPr>
        <w:instrText xml:space="preserve"> PAGEREF _Toc10036 \h </w:instrText>
      </w:r>
      <w:r>
        <w:rPr>
          <w:color w:val="auto"/>
          <w:highlight w:val="none"/>
        </w:rPr>
        <w:fldChar w:fldCharType="separate"/>
      </w:r>
      <w:r>
        <w:rPr>
          <w:color w:val="auto"/>
          <w:highlight w:val="none"/>
        </w:rPr>
        <w:t>30</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_Toc25724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一、资格审查前附表</w:t>
      </w:r>
      <w:r>
        <w:rPr>
          <w:color w:val="auto"/>
          <w:highlight w:val="none"/>
        </w:rPr>
        <w:tab/>
      </w:r>
      <w:r>
        <w:rPr>
          <w:color w:val="auto"/>
          <w:highlight w:val="none"/>
        </w:rPr>
        <w:fldChar w:fldCharType="begin"/>
      </w:r>
      <w:r>
        <w:rPr>
          <w:color w:val="auto"/>
          <w:highlight w:val="none"/>
        </w:rPr>
        <w:instrText xml:space="preserve"> PAGEREF _Toc25724 \h </w:instrText>
      </w:r>
      <w:r>
        <w:rPr>
          <w:color w:val="auto"/>
          <w:highlight w:val="none"/>
        </w:rPr>
        <w:fldChar w:fldCharType="separate"/>
      </w:r>
      <w:r>
        <w:rPr>
          <w:color w:val="auto"/>
          <w:highlight w:val="none"/>
        </w:rPr>
        <w:t>30</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_Toc13102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二、符合性审查前附表</w:t>
      </w:r>
      <w:r>
        <w:rPr>
          <w:color w:val="auto"/>
          <w:highlight w:val="none"/>
        </w:rPr>
        <w:tab/>
      </w:r>
      <w:r>
        <w:rPr>
          <w:color w:val="auto"/>
          <w:highlight w:val="none"/>
        </w:rPr>
        <w:fldChar w:fldCharType="begin"/>
      </w:r>
      <w:r>
        <w:rPr>
          <w:color w:val="auto"/>
          <w:highlight w:val="none"/>
        </w:rPr>
        <w:instrText xml:space="preserve"> PAGEREF _Toc13102 \h </w:instrText>
      </w:r>
      <w:r>
        <w:rPr>
          <w:color w:val="auto"/>
          <w:highlight w:val="none"/>
        </w:rPr>
        <w:fldChar w:fldCharType="separate"/>
      </w:r>
      <w:r>
        <w:rPr>
          <w:color w:val="auto"/>
          <w:highlight w:val="none"/>
        </w:rPr>
        <w:t>30</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_Toc24104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三、详细评审标准（A包）</w:t>
      </w:r>
      <w:r>
        <w:rPr>
          <w:color w:val="auto"/>
          <w:highlight w:val="none"/>
        </w:rPr>
        <w:tab/>
      </w:r>
      <w:r>
        <w:rPr>
          <w:color w:val="auto"/>
          <w:highlight w:val="none"/>
        </w:rPr>
        <w:fldChar w:fldCharType="begin"/>
      </w:r>
      <w:r>
        <w:rPr>
          <w:color w:val="auto"/>
          <w:highlight w:val="none"/>
        </w:rPr>
        <w:instrText xml:space="preserve"> PAGEREF _Toc24104 \h </w:instrText>
      </w:r>
      <w:r>
        <w:rPr>
          <w:color w:val="auto"/>
          <w:highlight w:val="none"/>
        </w:rPr>
        <w:fldChar w:fldCharType="separate"/>
      </w:r>
      <w:r>
        <w:rPr>
          <w:color w:val="auto"/>
          <w:highlight w:val="none"/>
        </w:rPr>
        <w:t>31</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_Toc22523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三、详细评审标准（B包）</w:t>
      </w:r>
      <w:r>
        <w:rPr>
          <w:color w:val="auto"/>
          <w:highlight w:val="none"/>
        </w:rPr>
        <w:tab/>
      </w:r>
      <w:r>
        <w:rPr>
          <w:color w:val="auto"/>
          <w:highlight w:val="none"/>
        </w:rPr>
        <w:fldChar w:fldCharType="begin"/>
      </w:r>
      <w:r>
        <w:rPr>
          <w:color w:val="auto"/>
          <w:highlight w:val="none"/>
        </w:rPr>
        <w:instrText xml:space="preserve"> PAGEREF _Toc22523 \h </w:instrText>
      </w:r>
      <w:r>
        <w:rPr>
          <w:color w:val="auto"/>
          <w:highlight w:val="none"/>
        </w:rPr>
        <w:fldChar w:fldCharType="separate"/>
      </w:r>
      <w:r>
        <w:rPr>
          <w:color w:val="auto"/>
          <w:highlight w:val="none"/>
        </w:rPr>
        <w:t>33</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_Toc31339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 xml:space="preserve">1. </w:t>
      </w:r>
      <w:r>
        <w:rPr>
          <w:rFonts w:hint="eastAsia" w:ascii="仿宋" w:hAnsi="仿宋" w:eastAsia="仿宋" w:cs="仿宋"/>
          <w:color w:val="auto"/>
          <w:szCs w:val="24"/>
          <w:highlight w:val="none"/>
        </w:rPr>
        <w:t>评审方法</w:t>
      </w:r>
      <w:r>
        <w:rPr>
          <w:color w:val="auto"/>
          <w:highlight w:val="none"/>
        </w:rPr>
        <w:tab/>
      </w:r>
      <w:r>
        <w:rPr>
          <w:color w:val="auto"/>
          <w:highlight w:val="none"/>
        </w:rPr>
        <w:fldChar w:fldCharType="begin"/>
      </w:r>
      <w:r>
        <w:rPr>
          <w:color w:val="auto"/>
          <w:highlight w:val="none"/>
        </w:rPr>
        <w:instrText xml:space="preserve"> PAGEREF _Toc31339 \h </w:instrText>
      </w:r>
      <w:r>
        <w:rPr>
          <w:color w:val="auto"/>
          <w:highlight w:val="none"/>
        </w:rPr>
        <w:fldChar w:fldCharType="separate"/>
      </w:r>
      <w:r>
        <w:rPr>
          <w:color w:val="auto"/>
          <w:highlight w:val="none"/>
        </w:rPr>
        <w:t>35</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_Toc8914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 xml:space="preserve">2. </w:t>
      </w:r>
      <w:r>
        <w:rPr>
          <w:rFonts w:hint="eastAsia" w:ascii="仿宋" w:hAnsi="仿宋" w:eastAsia="仿宋" w:cs="仿宋"/>
          <w:color w:val="auto"/>
          <w:szCs w:val="24"/>
          <w:highlight w:val="none"/>
        </w:rPr>
        <w:t>评审标准</w:t>
      </w:r>
      <w:r>
        <w:rPr>
          <w:color w:val="auto"/>
          <w:highlight w:val="none"/>
        </w:rPr>
        <w:tab/>
      </w:r>
      <w:r>
        <w:rPr>
          <w:color w:val="auto"/>
          <w:highlight w:val="none"/>
        </w:rPr>
        <w:fldChar w:fldCharType="begin"/>
      </w:r>
      <w:r>
        <w:rPr>
          <w:color w:val="auto"/>
          <w:highlight w:val="none"/>
        </w:rPr>
        <w:instrText xml:space="preserve"> PAGEREF _Toc8914 \h </w:instrText>
      </w:r>
      <w:r>
        <w:rPr>
          <w:color w:val="auto"/>
          <w:highlight w:val="none"/>
        </w:rPr>
        <w:fldChar w:fldCharType="separate"/>
      </w:r>
      <w:r>
        <w:rPr>
          <w:color w:val="auto"/>
          <w:highlight w:val="none"/>
        </w:rPr>
        <w:t>35</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_Toc13139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2.1 符合性评审</w:t>
      </w:r>
      <w:r>
        <w:rPr>
          <w:color w:val="auto"/>
          <w:highlight w:val="none"/>
        </w:rPr>
        <w:tab/>
      </w:r>
      <w:r>
        <w:rPr>
          <w:color w:val="auto"/>
          <w:highlight w:val="none"/>
        </w:rPr>
        <w:fldChar w:fldCharType="begin"/>
      </w:r>
      <w:r>
        <w:rPr>
          <w:color w:val="auto"/>
          <w:highlight w:val="none"/>
        </w:rPr>
        <w:instrText xml:space="preserve"> PAGEREF _Toc13139 \h </w:instrText>
      </w:r>
      <w:r>
        <w:rPr>
          <w:color w:val="auto"/>
          <w:highlight w:val="none"/>
        </w:rPr>
        <w:fldChar w:fldCharType="separate"/>
      </w:r>
      <w:r>
        <w:rPr>
          <w:color w:val="auto"/>
          <w:highlight w:val="none"/>
        </w:rPr>
        <w:t>35</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_Toc21351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2.2 分值构成与评分标准</w:t>
      </w:r>
      <w:r>
        <w:rPr>
          <w:color w:val="auto"/>
          <w:highlight w:val="none"/>
        </w:rPr>
        <w:tab/>
      </w:r>
      <w:r>
        <w:rPr>
          <w:color w:val="auto"/>
          <w:highlight w:val="none"/>
        </w:rPr>
        <w:fldChar w:fldCharType="begin"/>
      </w:r>
      <w:r>
        <w:rPr>
          <w:color w:val="auto"/>
          <w:highlight w:val="none"/>
        </w:rPr>
        <w:instrText xml:space="preserve"> PAGEREF _Toc21351 \h </w:instrText>
      </w:r>
      <w:r>
        <w:rPr>
          <w:color w:val="auto"/>
          <w:highlight w:val="none"/>
        </w:rPr>
        <w:fldChar w:fldCharType="separate"/>
      </w:r>
      <w:r>
        <w:rPr>
          <w:color w:val="auto"/>
          <w:highlight w:val="none"/>
        </w:rPr>
        <w:t>35</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_Toc13588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 xml:space="preserve">3. </w:t>
      </w:r>
      <w:r>
        <w:rPr>
          <w:rFonts w:hint="eastAsia" w:ascii="仿宋" w:hAnsi="仿宋" w:eastAsia="仿宋" w:cs="仿宋"/>
          <w:color w:val="auto"/>
          <w:szCs w:val="24"/>
          <w:highlight w:val="none"/>
        </w:rPr>
        <w:t>评审程序</w:t>
      </w:r>
      <w:r>
        <w:rPr>
          <w:color w:val="auto"/>
          <w:highlight w:val="none"/>
        </w:rPr>
        <w:tab/>
      </w:r>
      <w:r>
        <w:rPr>
          <w:color w:val="auto"/>
          <w:highlight w:val="none"/>
        </w:rPr>
        <w:fldChar w:fldCharType="begin"/>
      </w:r>
      <w:r>
        <w:rPr>
          <w:color w:val="auto"/>
          <w:highlight w:val="none"/>
        </w:rPr>
        <w:instrText xml:space="preserve"> PAGEREF _Toc13588 \h </w:instrText>
      </w:r>
      <w:r>
        <w:rPr>
          <w:color w:val="auto"/>
          <w:highlight w:val="none"/>
        </w:rPr>
        <w:fldChar w:fldCharType="separate"/>
      </w:r>
      <w:r>
        <w:rPr>
          <w:color w:val="auto"/>
          <w:highlight w:val="none"/>
        </w:rPr>
        <w:t>35</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_Toc21248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3.1 符合性审查</w:t>
      </w:r>
      <w:r>
        <w:rPr>
          <w:color w:val="auto"/>
          <w:highlight w:val="none"/>
        </w:rPr>
        <w:tab/>
      </w:r>
      <w:r>
        <w:rPr>
          <w:color w:val="auto"/>
          <w:highlight w:val="none"/>
        </w:rPr>
        <w:fldChar w:fldCharType="begin"/>
      </w:r>
      <w:r>
        <w:rPr>
          <w:color w:val="auto"/>
          <w:highlight w:val="none"/>
        </w:rPr>
        <w:instrText xml:space="preserve"> PAGEREF _Toc21248 \h </w:instrText>
      </w:r>
      <w:r>
        <w:rPr>
          <w:color w:val="auto"/>
          <w:highlight w:val="none"/>
        </w:rPr>
        <w:fldChar w:fldCharType="separate"/>
      </w:r>
      <w:r>
        <w:rPr>
          <w:color w:val="auto"/>
          <w:highlight w:val="none"/>
        </w:rPr>
        <w:t>35</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_Toc22105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3.2 详细评审</w:t>
      </w:r>
      <w:r>
        <w:rPr>
          <w:color w:val="auto"/>
          <w:highlight w:val="none"/>
        </w:rPr>
        <w:tab/>
      </w:r>
      <w:r>
        <w:rPr>
          <w:color w:val="auto"/>
          <w:highlight w:val="none"/>
        </w:rPr>
        <w:fldChar w:fldCharType="begin"/>
      </w:r>
      <w:r>
        <w:rPr>
          <w:color w:val="auto"/>
          <w:highlight w:val="none"/>
        </w:rPr>
        <w:instrText xml:space="preserve"> PAGEREF _Toc22105 \h </w:instrText>
      </w:r>
      <w:r>
        <w:rPr>
          <w:color w:val="auto"/>
          <w:highlight w:val="none"/>
        </w:rPr>
        <w:fldChar w:fldCharType="separate"/>
      </w:r>
      <w:r>
        <w:rPr>
          <w:color w:val="auto"/>
          <w:highlight w:val="none"/>
        </w:rPr>
        <w:t>35</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_Toc804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3.3 响应文件的澄清</w:t>
      </w:r>
      <w:r>
        <w:rPr>
          <w:color w:val="auto"/>
          <w:highlight w:val="none"/>
        </w:rPr>
        <w:tab/>
      </w:r>
      <w:r>
        <w:rPr>
          <w:color w:val="auto"/>
          <w:highlight w:val="none"/>
        </w:rPr>
        <w:fldChar w:fldCharType="begin"/>
      </w:r>
      <w:r>
        <w:rPr>
          <w:color w:val="auto"/>
          <w:highlight w:val="none"/>
        </w:rPr>
        <w:instrText xml:space="preserve"> PAGEREF _Toc804 \h </w:instrText>
      </w:r>
      <w:r>
        <w:rPr>
          <w:color w:val="auto"/>
          <w:highlight w:val="none"/>
        </w:rPr>
        <w:fldChar w:fldCharType="separate"/>
      </w:r>
      <w:r>
        <w:rPr>
          <w:color w:val="auto"/>
          <w:highlight w:val="none"/>
        </w:rPr>
        <w:t>35</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_Toc11695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3.4 评审结果</w:t>
      </w:r>
      <w:r>
        <w:rPr>
          <w:color w:val="auto"/>
          <w:highlight w:val="none"/>
        </w:rPr>
        <w:tab/>
      </w:r>
      <w:r>
        <w:rPr>
          <w:color w:val="auto"/>
          <w:highlight w:val="none"/>
        </w:rPr>
        <w:fldChar w:fldCharType="begin"/>
      </w:r>
      <w:r>
        <w:rPr>
          <w:color w:val="auto"/>
          <w:highlight w:val="none"/>
        </w:rPr>
        <w:instrText xml:space="preserve"> PAGEREF _Toc11695 \h </w:instrText>
      </w:r>
      <w:r>
        <w:rPr>
          <w:color w:val="auto"/>
          <w:highlight w:val="none"/>
        </w:rPr>
        <w:fldChar w:fldCharType="separate"/>
      </w:r>
      <w:r>
        <w:rPr>
          <w:color w:val="auto"/>
          <w:highlight w:val="none"/>
        </w:rPr>
        <w:t>36</w:t>
      </w:r>
      <w:r>
        <w:rPr>
          <w:color w:val="auto"/>
          <w:highlight w:val="none"/>
        </w:rPr>
        <w:fldChar w:fldCharType="end"/>
      </w:r>
      <w:r>
        <w:rPr>
          <w:rFonts w:hint="eastAsia" w:ascii="仿宋" w:hAnsi="仿宋" w:eastAsia="仿宋" w:cs="仿宋"/>
          <w:color w:val="auto"/>
          <w:highlight w:val="none"/>
        </w:rPr>
        <w:fldChar w:fldCharType="end"/>
      </w:r>
    </w:p>
    <w:p>
      <w:pPr>
        <w:pStyle w:val="21"/>
        <w:shd w:val="clear"/>
        <w:tabs>
          <w:tab w:val="right" w:leader="dot" w:pos="9072"/>
          <w:tab w:val="clear" w:pos="846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_Toc23290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2"/>
          <w:highlight w:val="none"/>
        </w:rPr>
        <w:t>第四章 政府采购框架协议文本</w:t>
      </w:r>
      <w:r>
        <w:rPr>
          <w:color w:val="auto"/>
          <w:highlight w:val="none"/>
        </w:rPr>
        <w:tab/>
      </w:r>
      <w:r>
        <w:rPr>
          <w:color w:val="auto"/>
          <w:highlight w:val="none"/>
        </w:rPr>
        <w:fldChar w:fldCharType="begin"/>
      </w:r>
      <w:r>
        <w:rPr>
          <w:color w:val="auto"/>
          <w:highlight w:val="none"/>
        </w:rPr>
        <w:instrText xml:space="preserve"> PAGEREF _Toc23290 \h </w:instrText>
      </w:r>
      <w:r>
        <w:rPr>
          <w:color w:val="auto"/>
          <w:highlight w:val="none"/>
        </w:rPr>
        <w:fldChar w:fldCharType="separate"/>
      </w:r>
      <w:r>
        <w:rPr>
          <w:color w:val="auto"/>
          <w:highlight w:val="none"/>
        </w:rPr>
        <w:t>37</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_Toc19783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第一阶段框架协议文本</w:t>
      </w:r>
      <w:r>
        <w:rPr>
          <w:color w:val="auto"/>
          <w:highlight w:val="none"/>
        </w:rPr>
        <w:tab/>
      </w:r>
      <w:r>
        <w:rPr>
          <w:color w:val="auto"/>
          <w:highlight w:val="none"/>
        </w:rPr>
        <w:fldChar w:fldCharType="begin"/>
      </w:r>
      <w:r>
        <w:rPr>
          <w:color w:val="auto"/>
          <w:highlight w:val="none"/>
        </w:rPr>
        <w:instrText xml:space="preserve"> PAGEREF _Toc19783 \h </w:instrText>
      </w:r>
      <w:r>
        <w:rPr>
          <w:color w:val="auto"/>
          <w:highlight w:val="none"/>
        </w:rPr>
        <w:fldChar w:fldCharType="separate"/>
      </w:r>
      <w:r>
        <w:rPr>
          <w:color w:val="auto"/>
          <w:highlight w:val="none"/>
        </w:rPr>
        <w:t>37</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_Toc17670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附件1：反商业贿赂承诺书</w:t>
      </w:r>
      <w:r>
        <w:rPr>
          <w:color w:val="auto"/>
          <w:highlight w:val="none"/>
        </w:rPr>
        <w:tab/>
      </w:r>
      <w:r>
        <w:rPr>
          <w:color w:val="auto"/>
          <w:highlight w:val="none"/>
        </w:rPr>
        <w:fldChar w:fldCharType="begin"/>
      </w:r>
      <w:r>
        <w:rPr>
          <w:color w:val="auto"/>
          <w:highlight w:val="none"/>
        </w:rPr>
        <w:instrText xml:space="preserve"> PAGEREF _Toc17670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_Toc31299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附件2：政府采购廉政合同</w:t>
      </w:r>
      <w:r>
        <w:rPr>
          <w:color w:val="auto"/>
          <w:highlight w:val="none"/>
        </w:rPr>
        <w:tab/>
      </w:r>
      <w:r>
        <w:rPr>
          <w:color w:val="auto"/>
          <w:highlight w:val="none"/>
        </w:rPr>
        <w:fldChar w:fldCharType="begin"/>
      </w:r>
      <w:r>
        <w:rPr>
          <w:color w:val="auto"/>
          <w:highlight w:val="none"/>
        </w:rPr>
        <w:instrText xml:space="preserve"> PAGEREF _Toc31299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_Toc11215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第二阶段×××服务委托合同(A包)</w:t>
      </w:r>
      <w:r>
        <w:rPr>
          <w:color w:val="auto"/>
          <w:highlight w:val="none"/>
        </w:rPr>
        <w:tab/>
      </w:r>
      <w:r>
        <w:rPr>
          <w:color w:val="auto"/>
          <w:highlight w:val="none"/>
        </w:rPr>
        <w:fldChar w:fldCharType="begin"/>
      </w:r>
      <w:r>
        <w:rPr>
          <w:color w:val="auto"/>
          <w:highlight w:val="none"/>
        </w:rPr>
        <w:instrText xml:space="preserve"> PAGEREF _Toc11215 \h </w:instrText>
      </w:r>
      <w:r>
        <w:rPr>
          <w:color w:val="auto"/>
          <w:highlight w:val="none"/>
        </w:rPr>
        <w:fldChar w:fldCharType="separate"/>
      </w:r>
      <w:r>
        <w:rPr>
          <w:color w:val="auto"/>
          <w:highlight w:val="none"/>
        </w:rPr>
        <w:t>44</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_Toc28499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第二阶段×××服务委托合同(B包)</w:t>
      </w:r>
      <w:r>
        <w:rPr>
          <w:color w:val="auto"/>
          <w:highlight w:val="none"/>
        </w:rPr>
        <w:tab/>
      </w:r>
      <w:r>
        <w:rPr>
          <w:color w:val="auto"/>
          <w:highlight w:val="none"/>
        </w:rPr>
        <w:fldChar w:fldCharType="begin"/>
      </w:r>
      <w:r>
        <w:rPr>
          <w:color w:val="auto"/>
          <w:highlight w:val="none"/>
        </w:rPr>
        <w:instrText xml:space="preserve"> PAGEREF _Toc28499 \h </w:instrText>
      </w:r>
      <w:r>
        <w:rPr>
          <w:color w:val="auto"/>
          <w:highlight w:val="none"/>
        </w:rPr>
        <w:fldChar w:fldCharType="separate"/>
      </w:r>
      <w:r>
        <w:rPr>
          <w:color w:val="auto"/>
          <w:highlight w:val="none"/>
        </w:rPr>
        <w:t>48</w:t>
      </w:r>
      <w:r>
        <w:rPr>
          <w:color w:val="auto"/>
          <w:highlight w:val="none"/>
        </w:rPr>
        <w:fldChar w:fldCharType="end"/>
      </w:r>
      <w:r>
        <w:rPr>
          <w:rFonts w:hint="eastAsia" w:ascii="仿宋" w:hAnsi="仿宋" w:eastAsia="仿宋" w:cs="仿宋"/>
          <w:color w:val="auto"/>
          <w:highlight w:val="none"/>
        </w:rPr>
        <w:fldChar w:fldCharType="end"/>
      </w:r>
    </w:p>
    <w:p>
      <w:pPr>
        <w:pStyle w:val="21"/>
        <w:shd w:val="clear"/>
        <w:tabs>
          <w:tab w:val="right" w:leader="dot" w:pos="9072"/>
          <w:tab w:val="clear" w:pos="846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_Toc30844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2"/>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_Toc30844 \h </w:instrText>
      </w:r>
      <w:r>
        <w:rPr>
          <w:color w:val="auto"/>
          <w:highlight w:val="none"/>
        </w:rPr>
        <w:fldChar w:fldCharType="separate"/>
      </w:r>
      <w:r>
        <w:rPr>
          <w:color w:val="auto"/>
          <w:highlight w:val="none"/>
        </w:rPr>
        <w:t>52</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_Toc3413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一、商务要求</w:t>
      </w:r>
      <w:r>
        <w:rPr>
          <w:color w:val="auto"/>
          <w:highlight w:val="none"/>
        </w:rPr>
        <w:tab/>
      </w:r>
      <w:r>
        <w:rPr>
          <w:color w:val="auto"/>
          <w:highlight w:val="none"/>
        </w:rPr>
        <w:fldChar w:fldCharType="begin"/>
      </w:r>
      <w:r>
        <w:rPr>
          <w:color w:val="auto"/>
          <w:highlight w:val="none"/>
        </w:rPr>
        <w:instrText xml:space="preserve"> PAGEREF _Toc3413 \h </w:instrText>
      </w:r>
      <w:r>
        <w:rPr>
          <w:color w:val="auto"/>
          <w:highlight w:val="none"/>
        </w:rPr>
        <w:fldChar w:fldCharType="separate"/>
      </w:r>
      <w:r>
        <w:rPr>
          <w:color w:val="auto"/>
          <w:highlight w:val="none"/>
        </w:rPr>
        <w:t>52</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_Toc31614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二、技术要求</w:t>
      </w:r>
      <w:r>
        <w:rPr>
          <w:color w:val="auto"/>
          <w:highlight w:val="none"/>
        </w:rPr>
        <w:tab/>
      </w:r>
      <w:r>
        <w:rPr>
          <w:color w:val="auto"/>
          <w:highlight w:val="none"/>
        </w:rPr>
        <w:fldChar w:fldCharType="begin"/>
      </w:r>
      <w:r>
        <w:rPr>
          <w:color w:val="auto"/>
          <w:highlight w:val="none"/>
        </w:rPr>
        <w:instrText xml:space="preserve"> PAGEREF _Toc31614 \h </w:instrText>
      </w:r>
      <w:r>
        <w:rPr>
          <w:color w:val="auto"/>
          <w:highlight w:val="none"/>
        </w:rPr>
        <w:fldChar w:fldCharType="separate"/>
      </w:r>
      <w:r>
        <w:rPr>
          <w:color w:val="auto"/>
          <w:highlight w:val="none"/>
        </w:rPr>
        <w:t>55</w:t>
      </w:r>
      <w:r>
        <w:rPr>
          <w:color w:val="auto"/>
          <w:highlight w:val="none"/>
        </w:rPr>
        <w:fldChar w:fldCharType="end"/>
      </w:r>
      <w:r>
        <w:rPr>
          <w:rFonts w:hint="eastAsia" w:ascii="仿宋" w:hAnsi="仿宋" w:eastAsia="仿宋" w:cs="仿宋"/>
          <w:color w:val="auto"/>
          <w:highlight w:val="none"/>
        </w:rPr>
        <w:fldChar w:fldCharType="end"/>
      </w:r>
    </w:p>
    <w:p>
      <w:pPr>
        <w:pStyle w:val="21"/>
        <w:shd w:val="clear"/>
        <w:tabs>
          <w:tab w:val="right" w:leader="dot" w:pos="9072"/>
          <w:tab w:val="clear" w:pos="8460"/>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_Toc12756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32"/>
          <w:highlight w:val="none"/>
        </w:rPr>
        <w:t>第六章 响应文件格式</w:t>
      </w:r>
      <w:r>
        <w:rPr>
          <w:color w:val="auto"/>
          <w:highlight w:val="none"/>
        </w:rPr>
        <w:tab/>
      </w:r>
      <w:r>
        <w:rPr>
          <w:color w:val="auto"/>
          <w:highlight w:val="none"/>
        </w:rPr>
        <w:fldChar w:fldCharType="begin"/>
      </w:r>
      <w:r>
        <w:rPr>
          <w:color w:val="auto"/>
          <w:highlight w:val="none"/>
        </w:rPr>
        <w:instrText xml:space="preserve"> PAGEREF _Toc12756 \h </w:instrText>
      </w:r>
      <w:r>
        <w:rPr>
          <w:color w:val="auto"/>
          <w:highlight w:val="none"/>
        </w:rPr>
        <w:fldChar w:fldCharType="separate"/>
      </w:r>
      <w:r>
        <w:rPr>
          <w:color w:val="auto"/>
          <w:highlight w:val="none"/>
        </w:rPr>
        <w:t>56</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_Toc14223 </w:instrText>
      </w:r>
      <w:r>
        <w:rPr>
          <w:rFonts w:hint="eastAsia" w:ascii="仿宋" w:hAnsi="仿宋" w:eastAsia="仿宋" w:cs="仿宋"/>
          <w:color w:val="auto"/>
          <w:highlight w:val="none"/>
        </w:rPr>
        <w:fldChar w:fldCharType="separate"/>
      </w:r>
      <w:r>
        <w:rPr>
          <w:rFonts w:hint="eastAsia" w:ascii="宋体" w:hAnsi="宋体" w:eastAsia="宋体" w:cs="宋体"/>
          <w:color w:val="auto"/>
          <w:szCs w:val="28"/>
          <w:highlight w:val="none"/>
        </w:rPr>
        <w:t xml:space="preserve">一、 </w:t>
      </w:r>
      <w:r>
        <w:rPr>
          <w:rFonts w:hint="eastAsia" w:ascii="仿宋" w:hAnsi="仿宋" w:eastAsia="仿宋" w:cs="仿宋"/>
          <w:color w:val="auto"/>
          <w:szCs w:val="32"/>
          <w:highlight w:val="none"/>
        </w:rPr>
        <w:t>响应函</w:t>
      </w:r>
      <w:r>
        <w:rPr>
          <w:color w:val="auto"/>
          <w:highlight w:val="none"/>
        </w:rPr>
        <w:tab/>
      </w:r>
      <w:r>
        <w:rPr>
          <w:color w:val="auto"/>
          <w:highlight w:val="none"/>
        </w:rPr>
        <w:fldChar w:fldCharType="begin"/>
      </w:r>
      <w:r>
        <w:rPr>
          <w:color w:val="auto"/>
          <w:highlight w:val="none"/>
        </w:rPr>
        <w:instrText xml:space="preserve"> PAGEREF _Toc14223 \h </w:instrText>
      </w:r>
      <w:r>
        <w:rPr>
          <w:color w:val="auto"/>
          <w:highlight w:val="none"/>
        </w:rPr>
        <w:fldChar w:fldCharType="separate"/>
      </w:r>
      <w:r>
        <w:rPr>
          <w:color w:val="auto"/>
          <w:highlight w:val="none"/>
        </w:rPr>
        <w:t>59</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_Toc27287 </w:instrText>
      </w:r>
      <w:r>
        <w:rPr>
          <w:rFonts w:hint="eastAsia" w:ascii="仿宋" w:hAnsi="仿宋" w:eastAsia="仿宋" w:cs="仿宋"/>
          <w:color w:val="auto"/>
          <w:highlight w:val="none"/>
        </w:rPr>
        <w:fldChar w:fldCharType="separate"/>
      </w:r>
      <w:r>
        <w:rPr>
          <w:rFonts w:hint="eastAsia" w:ascii="宋体" w:hAnsi="宋体" w:eastAsia="宋体" w:cs="宋体"/>
          <w:color w:val="auto"/>
          <w:szCs w:val="28"/>
          <w:highlight w:val="none"/>
        </w:rPr>
        <w:t xml:space="preserve">二、 </w:t>
      </w:r>
      <w:r>
        <w:rPr>
          <w:rFonts w:hint="eastAsia" w:ascii="仿宋" w:hAnsi="仿宋" w:eastAsia="仿宋" w:cs="仿宋"/>
          <w:color w:val="auto"/>
          <w:szCs w:val="32"/>
          <w:highlight w:val="none"/>
        </w:rPr>
        <w:t>响应一览表</w:t>
      </w:r>
      <w:r>
        <w:rPr>
          <w:color w:val="auto"/>
          <w:highlight w:val="none"/>
        </w:rPr>
        <w:tab/>
      </w:r>
      <w:r>
        <w:rPr>
          <w:color w:val="auto"/>
          <w:highlight w:val="none"/>
        </w:rPr>
        <w:fldChar w:fldCharType="begin"/>
      </w:r>
      <w:r>
        <w:rPr>
          <w:color w:val="auto"/>
          <w:highlight w:val="none"/>
        </w:rPr>
        <w:instrText xml:space="preserve"> PAGEREF _Toc27287 \h </w:instrText>
      </w:r>
      <w:r>
        <w:rPr>
          <w:color w:val="auto"/>
          <w:highlight w:val="none"/>
        </w:rPr>
        <w:fldChar w:fldCharType="separate"/>
      </w:r>
      <w:r>
        <w:rPr>
          <w:color w:val="auto"/>
          <w:highlight w:val="none"/>
        </w:rPr>
        <w:t>61</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_Toc2434 </w:instrText>
      </w:r>
      <w:r>
        <w:rPr>
          <w:rFonts w:hint="eastAsia" w:ascii="仿宋" w:hAnsi="仿宋" w:eastAsia="仿宋" w:cs="仿宋"/>
          <w:color w:val="auto"/>
          <w:highlight w:val="none"/>
        </w:rPr>
        <w:fldChar w:fldCharType="separate"/>
      </w:r>
      <w:r>
        <w:rPr>
          <w:rFonts w:hint="eastAsia" w:ascii="宋体" w:hAnsi="宋体" w:eastAsia="宋体" w:cs="宋体"/>
          <w:color w:val="auto"/>
          <w:szCs w:val="28"/>
          <w:highlight w:val="none"/>
        </w:rPr>
        <w:t xml:space="preserve">三、 </w:t>
      </w:r>
      <w:r>
        <w:rPr>
          <w:rFonts w:hint="eastAsia" w:ascii="仿宋" w:hAnsi="仿宋" w:eastAsia="仿宋" w:cs="仿宋"/>
          <w:color w:val="auto"/>
          <w:szCs w:val="32"/>
          <w:highlight w:val="none"/>
        </w:rPr>
        <w:t>法定代表人身份证明</w:t>
      </w:r>
      <w:r>
        <w:rPr>
          <w:color w:val="auto"/>
          <w:highlight w:val="none"/>
        </w:rPr>
        <w:tab/>
      </w:r>
      <w:r>
        <w:rPr>
          <w:color w:val="auto"/>
          <w:highlight w:val="none"/>
        </w:rPr>
        <w:fldChar w:fldCharType="begin"/>
      </w:r>
      <w:r>
        <w:rPr>
          <w:color w:val="auto"/>
          <w:highlight w:val="none"/>
        </w:rPr>
        <w:instrText xml:space="preserve"> PAGEREF _Toc2434 \h </w:instrText>
      </w:r>
      <w:r>
        <w:rPr>
          <w:color w:val="auto"/>
          <w:highlight w:val="none"/>
        </w:rPr>
        <w:fldChar w:fldCharType="separate"/>
      </w:r>
      <w:r>
        <w:rPr>
          <w:color w:val="auto"/>
          <w:highlight w:val="none"/>
        </w:rPr>
        <w:t>63</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_Toc13991 </w:instrText>
      </w:r>
      <w:r>
        <w:rPr>
          <w:rFonts w:hint="eastAsia" w:ascii="仿宋" w:hAnsi="仿宋" w:eastAsia="仿宋" w:cs="仿宋"/>
          <w:color w:val="auto"/>
          <w:highlight w:val="none"/>
        </w:rPr>
        <w:fldChar w:fldCharType="separate"/>
      </w:r>
      <w:r>
        <w:rPr>
          <w:rFonts w:hint="eastAsia" w:ascii="宋体" w:hAnsi="宋体" w:eastAsia="宋体" w:cs="宋体"/>
          <w:color w:val="auto"/>
          <w:szCs w:val="28"/>
          <w:highlight w:val="none"/>
        </w:rPr>
        <w:t xml:space="preserve">四、 </w:t>
      </w:r>
      <w:r>
        <w:rPr>
          <w:rFonts w:hint="eastAsia" w:ascii="仿宋" w:hAnsi="仿宋" w:eastAsia="仿宋" w:cs="仿宋"/>
          <w:color w:val="auto"/>
          <w:szCs w:val="32"/>
          <w:highlight w:val="none"/>
        </w:rPr>
        <w:t>法定代表人(或负责人）授权委托书</w:t>
      </w:r>
      <w:r>
        <w:rPr>
          <w:color w:val="auto"/>
          <w:highlight w:val="none"/>
        </w:rPr>
        <w:tab/>
      </w:r>
      <w:r>
        <w:rPr>
          <w:color w:val="auto"/>
          <w:highlight w:val="none"/>
        </w:rPr>
        <w:fldChar w:fldCharType="begin"/>
      </w:r>
      <w:r>
        <w:rPr>
          <w:color w:val="auto"/>
          <w:highlight w:val="none"/>
        </w:rPr>
        <w:instrText xml:space="preserve"> PAGEREF _Toc13991 \h </w:instrText>
      </w:r>
      <w:r>
        <w:rPr>
          <w:color w:val="auto"/>
          <w:highlight w:val="none"/>
        </w:rPr>
        <w:fldChar w:fldCharType="separate"/>
      </w:r>
      <w:r>
        <w:rPr>
          <w:color w:val="auto"/>
          <w:highlight w:val="none"/>
        </w:rPr>
        <w:t>64</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_Toc15291 </w:instrText>
      </w:r>
      <w:r>
        <w:rPr>
          <w:rFonts w:hint="eastAsia" w:ascii="仿宋" w:hAnsi="仿宋" w:eastAsia="仿宋" w:cs="仿宋"/>
          <w:color w:val="auto"/>
          <w:highlight w:val="none"/>
        </w:rPr>
        <w:fldChar w:fldCharType="separate"/>
      </w:r>
      <w:r>
        <w:rPr>
          <w:rFonts w:hint="eastAsia" w:ascii="宋体" w:hAnsi="宋体" w:eastAsia="宋体" w:cs="宋体"/>
          <w:color w:val="auto"/>
          <w:szCs w:val="28"/>
          <w:highlight w:val="none"/>
        </w:rPr>
        <w:t xml:space="preserve">五、 </w:t>
      </w:r>
      <w:r>
        <w:rPr>
          <w:rFonts w:hint="eastAsia" w:ascii="仿宋" w:hAnsi="仿宋" w:eastAsia="仿宋" w:cs="仿宋"/>
          <w:color w:val="auto"/>
          <w:szCs w:val="32"/>
          <w:highlight w:val="none"/>
        </w:rPr>
        <w:t>供应商资格证明材料</w:t>
      </w:r>
      <w:r>
        <w:rPr>
          <w:color w:val="auto"/>
          <w:highlight w:val="none"/>
        </w:rPr>
        <w:tab/>
      </w:r>
      <w:r>
        <w:rPr>
          <w:color w:val="auto"/>
          <w:highlight w:val="none"/>
        </w:rPr>
        <w:fldChar w:fldCharType="begin"/>
      </w:r>
      <w:r>
        <w:rPr>
          <w:color w:val="auto"/>
          <w:highlight w:val="none"/>
        </w:rPr>
        <w:instrText xml:space="preserve"> PAGEREF _Toc15291 \h </w:instrText>
      </w:r>
      <w:r>
        <w:rPr>
          <w:color w:val="auto"/>
          <w:highlight w:val="none"/>
        </w:rPr>
        <w:fldChar w:fldCharType="separate"/>
      </w:r>
      <w:r>
        <w:rPr>
          <w:color w:val="auto"/>
          <w:highlight w:val="none"/>
        </w:rPr>
        <w:t>65</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_Toc18538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（一）基本情况表</w:t>
      </w:r>
      <w:r>
        <w:rPr>
          <w:color w:val="auto"/>
          <w:highlight w:val="none"/>
        </w:rPr>
        <w:tab/>
      </w:r>
      <w:r>
        <w:rPr>
          <w:color w:val="auto"/>
          <w:highlight w:val="none"/>
        </w:rPr>
        <w:fldChar w:fldCharType="begin"/>
      </w:r>
      <w:r>
        <w:rPr>
          <w:color w:val="auto"/>
          <w:highlight w:val="none"/>
        </w:rPr>
        <w:instrText xml:space="preserve"> PAGEREF _Toc18538 \h </w:instrText>
      </w:r>
      <w:r>
        <w:rPr>
          <w:color w:val="auto"/>
          <w:highlight w:val="none"/>
        </w:rPr>
        <w:fldChar w:fldCharType="separate"/>
      </w:r>
      <w:r>
        <w:rPr>
          <w:color w:val="auto"/>
          <w:highlight w:val="none"/>
        </w:rPr>
        <w:t>65</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_Toc19017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（二）资格证明材料</w:t>
      </w:r>
      <w:r>
        <w:rPr>
          <w:color w:val="auto"/>
          <w:highlight w:val="none"/>
        </w:rPr>
        <w:tab/>
      </w:r>
      <w:r>
        <w:rPr>
          <w:color w:val="auto"/>
          <w:highlight w:val="none"/>
        </w:rPr>
        <w:fldChar w:fldCharType="begin"/>
      </w:r>
      <w:r>
        <w:rPr>
          <w:color w:val="auto"/>
          <w:highlight w:val="none"/>
        </w:rPr>
        <w:instrText xml:space="preserve"> PAGEREF _Toc19017 \h </w:instrText>
      </w:r>
      <w:r>
        <w:rPr>
          <w:color w:val="auto"/>
          <w:highlight w:val="none"/>
        </w:rPr>
        <w:fldChar w:fldCharType="separate"/>
      </w:r>
      <w:r>
        <w:rPr>
          <w:color w:val="auto"/>
          <w:highlight w:val="none"/>
        </w:rPr>
        <w:t>66</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_Toc6609 </w:instrText>
      </w:r>
      <w:r>
        <w:rPr>
          <w:rFonts w:hint="eastAsia" w:ascii="仿宋" w:hAnsi="仿宋" w:eastAsia="仿宋" w:cs="仿宋"/>
          <w:color w:val="auto"/>
          <w:highlight w:val="none"/>
        </w:rPr>
        <w:fldChar w:fldCharType="separate"/>
      </w:r>
      <w:r>
        <w:rPr>
          <w:rFonts w:hint="eastAsia" w:ascii="宋体" w:hAnsi="宋体" w:eastAsia="宋体" w:cs="宋体"/>
          <w:color w:val="auto"/>
          <w:szCs w:val="28"/>
          <w:highlight w:val="none"/>
        </w:rPr>
        <w:t xml:space="preserve">六、 </w:t>
      </w:r>
      <w:r>
        <w:rPr>
          <w:rFonts w:hint="eastAsia" w:ascii="仿宋" w:hAnsi="仿宋" w:eastAsia="仿宋" w:cs="仿宋"/>
          <w:color w:val="auto"/>
          <w:szCs w:val="32"/>
          <w:highlight w:val="none"/>
        </w:rPr>
        <w:t>技术部分</w:t>
      </w:r>
      <w:r>
        <w:rPr>
          <w:color w:val="auto"/>
          <w:highlight w:val="none"/>
        </w:rPr>
        <w:tab/>
      </w:r>
      <w:r>
        <w:rPr>
          <w:color w:val="auto"/>
          <w:highlight w:val="none"/>
        </w:rPr>
        <w:fldChar w:fldCharType="begin"/>
      </w:r>
      <w:r>
        <w:rPr>
          <w:color w:val="auto"/>
          <w:highlight w:val="none"/>
        </w:rPr>
        <w:instrText xml:space="preserve"> PAGEREF _Toc6609 \h </w:instrText>
      </w:r>
      <w:r>
        <w:rPr>
          <w:color w:val="auto"/>
          <w:highlight w:val="none"/>
        </w:rPr>
        <w:fldChar w:fldCharType="separate"/>
      </w:r>
      <w:r>
        <w:rPr>
          <w:color w:val="auto"/>
          <w:highlight w:val="none"/>
        </w:rPr>
        <w:t>67</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_Toc1277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（一）技术要求偏离</w:t>
      </w:r>
      <w:r>
        <w:rPr>
          <w:color w:val="auto"/>
          <w:highlight w:val="none"/>
        </w:rPr>
        <w:tab/>
      </w:r>
      <w:r>
        <w:rPr>
          <w:color w:val="auto"/>
          <w:highlight w:val="none"/>
        </w:rPr>
        <w:fldChar w:fldCharType="begin"/>
      </w:r>
      <w:r>
        <w:rPr>
          <w:color w:val="auto"/>
          <w:highlight w:val="none"/>
        </w:rPr>
        <w:instrText xml:space="preserve"> PAGEREF _Toc1277 \h </w:instrText>
      </w:r>
      <w:r>
        <w:rPr>
          <w:color w:val="auto"/>
          <w:highlight w:val="none"/>
        </w:rPr>
        <w:fldChar w:fldCharType="separate"/>
      </w:r>
      <w:r>
        <w:rPr>
          <w:color w:val="auto"/>
          <w:highlight w:val="none"/>
        </w:rPr>
        <w:t>67</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_Toc27298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（二）技术方案</w:t>
      </w:r>
      <w:r>
        <w:rPr>
          <w:color w:val="auto"/>
          <w:highlight w:val="none"/>
        </w:rPr>
        <w:tab/>
      </w:r>
      <w:r>
        <w:rPr>
          <w:color w:val="auto"/>
          <w:highlight w:val="none"/>
        </w:rPr>
        <w:fldChar w:fldCharType="begin"/>
      </w:r>
      <w:r>
        <w:rPr>
          <w:color w:val="auto"/>
          <w:highlight w:val="none"/>
        </w:rPr>
        <w:instrText xml:space="preserve"> PAGEREF _Toc27298 \h </w:instrText>
      </w:r>
      <w:r>
        <w:rPr>
          <w:color w:val="auto"/>
          <w:highlight w:val="none"/>
        </w:rPr>
        <w:fldChar w:fldCharType="separate"/>
      </w:r>
      <w:r>
        <w:rPr>
          <w:color w:val="auto"/>
          <w:highlight w:val="none"/>
        </w:rPr>
        <w:t>67</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_Toc26344 </w:instrText>
      </w:r>
      <w:r>
        <w:rPr>
          <w:rFonts w:hint="eastAsia" w:ascii="仿宋" w:hAnsi="仿宋" w:eastAsia="仿宋" w:cs="仿宋"/>
          <w:color w:val="auto"/>
          <w:highlight w:val="none"/>
        </w:rPr>
        <w:fldChar w:fldCharType="separate"/>
      </w:r>
      <w:r>
        <w:rPr>
          <w:rFonts w:hint="eastAsia" w:ascii="宋体" w:hAnsi="宋体" w:eastAsia="宋体" w:cs="宋体"/>
          <w:color w:val="auto"/>
          <w:szCs w:val="28"/>
          <w:highlight w:val="none"/>
        </w:rPr>
        <w:t xml:space="preserve">七、 </w:t>
      </w:r>
      <w:r>
        <w:rPr>
          <w:rFonts w:hint="eastAsia" w:ascii="仿宋" w:hAnsi="仿宋" w:eastAsia="仿宋" w:cs="仿宋"/>
          <w:color w:val="auto"/>
          <w:szCs w:val="32"/>
          <w:highlight w:val="none"/>
        </w:rPr>
        <w:t>商务部分</w:t>
      </w:r>
      <w:r>
        <w:rPr>
          <w:color w:val="auto"/>
          <w:highlight w:val="none"/>
        </w:rPr>
        <w:tab/>
      </w:r>
      <w:r>
        <w:rPr>
          <w:color w:val="auto"/>
          <w:highlight w:val="none"/>
        </w:rPr>
        <w:fldChar w:fldCharType="begin"/>
      </w:r>
      <w:r>
        <w:rPr>
          <w:color w:val="auto"/>
          <w:highlight w:val="none"/>
        </w:rPr>
        <w:instrText xml:space="preserve"> PAGEREF _Toc26344 \h </w:instrText>
      </w:r>
      <w:r>
        <w:rPr>
          <w:color w:val="auto"/>
          <w:highlight w:val="none"/>
        </w:rPr>
        <w:fldChar w:fldCharType="separate"/>
      </w:r>
      <w:r>
        <w:rPr>
          <w:color w:val="auto"/>
          <w:highlight w:val="none"/>
        </w:rPr>
        <w:t>68</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_Toc16997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（一）商务要求偏离</w:t>
      </w:r>
      <w:r>
        <w:rPr>
          <w:color w:val="auto"/>
          <w:highlight w:val="none"/>
        </w:rPr>
        <w:tab/>
      </w:r>
      <w:r>
        <w:rPr>
          <w:color w:val="auto"/>
          <w:highlight w:val="none"/>
        </w:rPr>
        <w:fldChar w:fldCharType="begin"/>
      </w:r>
      <w:r>
        <w:rPr>
          <w:color w:val="auto"/>
          <w:highlight w:val="none"/>
        </w:rPr>
        <w:instrText xml:space="preserve"> PAGEREF _Toc16997 \h </w:instrText>
      </w:r>
      <w:r>
        <w:rPr>
          <w:color w:val="auto"/>
          <w:highlight w:val="none"/>
        </w:rPr>
        <w:fldChar w:fldCharType="separate"/>
      </w:r>
      <w:r>
        <w:rPr>
          <w:color w:val="auto"/>
          <w:highlight w:val="none"/>
        </w:rPr>
        <w:t>68</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_Toc30509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（二）类似项目情况表</w:t>
      </w:r>
      <w:r>
        <w:rPr>
          <w:color w:val="auto"/>
          <w:highlight w:val="none"/>
        </w:rPr>
        <w:tab/>
      </w:r>
      <w:r>
        <w:rPr>
          <w:color w:val="auto"/>
          <w:highlight w:val="none"/>
        </w:rPr>
        <w:fldChar w:fldCharType="begin"/>
      </w:r>
      <w:r>
        <w:rPr>
          <w:color w:val="auto"/>
          <w:highlight w:val="none"/>
        </w:rPr>
        <w:instrText xml:space="preserve"> PAGEREF _Toc30509 \h </w:instrText>
      </w:r>
      <w:r>
        <w:rPr>
          <w:color w:val="auto"/>
          <w:highlight w:val="none"/>
        </w:rPr>
        <w:fldChar w:fldCharType="separate"/>
      </w:r>
      <w:r>
        <w:rPr>
          <w:color w:val="auto"/>
          <w:highlight w:val="none"/>
        </w:rPr>
        <w:t>69</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_Toc6793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（三）项目负责人简历表</w:t>
      </w:r>
      <w:r>
        <w:rPr>
          <w:color w:val="auto"/>
          <w:highlight w:val="none"/>
        </w:rPr>
        <w:tab/>
      </w:r>
      <w:r>
        <w:rPr>
          <w:color w:val="auto"/>
          <w:highlight w:val="none"/>
        </w:rPr>
        <w:fldChar w:fldCharType="begin"/>
      </w:r>
      <w:r>
        <w:rPr>
          <w:color w:val="auto"/>
          <w:highlight w:val="none"/>
        </w:rPr>
        <w:instrText xml:space="preserve"> PAGEREF _Toc6793 \h </w:instrText>
      </w:r>
      <w:r>
        <w:rPr>
          <w:color w:val="auto"/>
          <w:highlight w:val="none"/>
        </w:rPr>
        <w:fldChar w:fldCharType="separate"/>
      </w:r>
      <w:r>
        <w:rPr>
          <w:color w:val="auto"/>
          <w:highlight w:val="none"/>
        </w:rPr>
        <w:t>70</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_Toc25869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（四）</w:t>
      </w:r>
      <w:r>
        <w:rPr>
          <w:rFonts w:hint="eastAsia" w:ascii="仿宋" w:hAnsi="仿宋" w:eastAsia="仿宋" w:cs="仿宋"/>
          <w:color w:val="auto"/>
          <w:szCs w:val="24"/>
          <w:highlight w:val="none"/>
          <w:lang w:val="zh-CN"/>
        </w:rPr>
        <w:t>拟派</w:t>
      </w:r>
      <w:r>
        <w:rPr>
          <w:rFonts w:hint="eastAsia" w:ascii="仿宋" w:hAnsi="仿宋" w:eastAsia="仿宋" w:cs="仿宋"/>
          <w:color w:val="auto"/>
          <w:szCs w:val="24"/>
          <w:highlight w:val="none"/>
        </w:rPr>
        <w:t>其他参审人员一览表</w:t>
      </w:r>
      <w:r>
        <w:rPr>
          <w:color w:val="auto"/>
          <w:highlight w:val="none"/>
        </w:rPr>
        <w:tab/>
      </w:r>
      <w:r>
        <w:rPr>
          <w:color w:val="auto"/>
          <w:highlight w:val="none"/>
        </w:rPr>
        <w:fldChar w:fldCharType="begin"/>
      </w:r>
      <w:r>
        <w:rPr>
          <w:color w:val="auto"/>
          <w:highlight w:val="none"/>
        </w:rPr>
        <w:instrText xml:space="preserve"> PAGEREF _Toc25869 \h </w:instrText>
      </w:r>
      <w:r>
        <w:rPr>
          <w:color w:val="auto"/>
          <w:highlight w:val="none"/>
        </w:rPr>
        <w:fldChar w:fldCharType="separate"/>
      </w:r>
      <w:r>
        <w:rPr>
          <w:color w:val="auto"/>
          <w:highlight w:val="none"/>
        </w:rPr>
        <w:t>71</w:t>
      </w:r>
      <w:r>
        <w:rPr>
          <w:color w:val="auto"/>
          <w:highlight w:val="none"/>
        </w:rPr>
        <w:fldChar w:fldCharType="end"/>
      </w:r>
      <w:r>
        <w:rPr>
          <w:rFonts w:hint="eastAsia" w:ascii="仿宋" w:hAnsi="仿宋" w:eastAsia="仿宋" w:cs="仿宋"/>
          <w:color w:val="auto"/>
          <w:highlight w:val="none"/>
        </w:rPr>
        <w:fldChar w:fldCharType="end"/>
      </w:r>
    </w:p>
    <w:p>
      <w:pPr>
        <w:pStyle w:val="24"/>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_Toc15017 </w:instrText>
      </w:r>
      <w:r>
        <w:rPr>
          <w:rFonts w:hint="eastAsia" w:ascii="仿宋" w:hAnsi="仿宋" w:eastAsia="仿宋" w:cs="仿宋"/>
          <w:color w:val="auto"/>
          <w:highlight w:val="none"/>
        </w:rPr>
        <w:fldChar w:fldCharType="separate"/>
      </w:r>
      <w:r>
        <w:rPr>
          <w:rFonts w:hint="eastAsia" w:ascii="宋体" w:hAnsi="宋体" w:eastAsia="宋体" w:cs="宋体"/>
          <w:color w:val="auto"/>
          <w:szCs w:val="28"/>
          <w:highlight w:val="none"/>
        </w:rPr>
        <w:t xml:space="preserve">八、 </w:t>
      </w:r>
      <w:r>
        <w:rPr>
          <w:rFonts w:hint="eastAsia" w:ascii="仿宋" w:hAnsi="仿宋" w:eastAsia="仿宋" w:cs="仿宋"/>
          <w:color w:val="auto"/>
          <w:szCs w:val="32"/>
          <w:highlight w:val="none"/>
        </w:rPr>
        <w:t>供应商认为应附的其他材料</w:t>
      </w:r>
      <w:r>
        <w:rPr>
          <w:color w:val="auto"/>
          <w:highlight w:val="none"/>
        </w:rPr>
        <w:tab/>
      </w:r>
      <w:r>
        <w:rPr>
          <w:color w:val="auto"/>
          <w:highlight w:val="none"/>
        </w:rPr>
        <w:fldChar w:fldCharType="begin"/>
      </w:r>
      <w:r>
        <w:rPr>
          <w:color w:val="auto"/>
          <w:highlight w:val="none"/>
        </w:rPr>
        <w:instrText xml:space="preserve"> PAGEREF _Toc15017 \h </w:instrText>
      </w:r>
      <w:r>
        <w:rPr>
          <w:color w:val="auto"/>
          <w:highlight w:val="none"/>
        </w:rPr>
        <w:fldChar w:fldCharType="separate"/>
      </w:r>
      <w:r>
        <w:rPr>
          <w:color w:val="auto"/>
          <w:highlight w:val="none"/>
        </w:rPr>
        <w:t>72</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_Toc24974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（一）郑州市政府采购供应商信用承诺书</w:t>
      </w:r>
      <w:r>
        <w:rPr>
          <w:color w:val="auto"/>
          <w:highlight w:val="none"/>
        </w:rPr>
        <w:tab/>
      </w:r>
      <w:r>
        <w:rPr>
          <w:color w:val="auto"/>
          <w:highlight w:val="none"/>
        </w:rPr>
        <w:fldChar w:fldCharType="begin"/>
      </w:r>
      <w:r>
        <w:rPr>
          <w:color w:val="auto"/>
          <w:highlight w:val="none"/>
        </w:rPr>
        <w:instrText xml:space="preserve"> PAGEREF _Toc24974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_Toc24614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（二）反商业贿赂承诺书</w:t>
      </w:r>
      <w:r>
        <w:rPr>
          <w:color w:val="auto"/>
          <w:highlight w:val="none"/>
        </w:rPr>
        <w:tab/>
      </w:r>
      <w:r>
        <w:rPr>
          <w:color w:val="auto"/>
          <w:highlight w:val="none"/>
        </w:rPr>
        <w:fldChar w:fldCharType="begin"/>
      </w:r>
      <w:r>
        <w:rPr>
          <w:color w:val="auto"/>
          <w:highlight w:val="none"/>
        </w:rPr>
        <w:instrText xml:space="preserve"> PAGEREF _Toc24614 \h </w:instrText>
      </w:r>
      <w:r>
        <w:rPr>
          <w:color w:val="auto"/>
          <w:highlight w:val="none"/>
        </w:rPr>
        <w:fldChar w:fldCharType="separate"/>
      </w:r>
      <w:r>
        <w:rPr>
          <w:color w:val="auto"/>
          <w:highlight w:val="none"/>
        </w:rPr>
        <w:t>74</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_Toc2869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（三）中小企业声明函（如有）</w:t>
      </w:r>
      <w:r>
        <w:rPr>
          <w:color w:val="auto"/>
          <w:highlight w:val="none"/>
        </w:rPr>
        <w:tab/>
      </w:r>
      <w:r>
        <w:rPr>
          <w:color w:val="auto"/>
          <w:highlight w:val="none"/>
        </w:rPr>
        <w:fldChar w:fldCharType="begin"/>
      </w:r>
      <w:r>
        <w:rPr>
          <w:color w:val="auto"/>
          <w:highlight w:val="none"/>
        </w:rPr>
        <w:instrText xml:space="preserve"> PAGEREF _Toc2869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_Toc21364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（四）残疾人福利性单位声明函（如有）</w:t>
      </w:r>
      <w:r>
        <w:rPr>
          <w:color w:val="auto"/>
          <w:highlight w:val="none"/>
        </w:rPr>
        <w:tab/>
      </w:r>
      <w:r>
        <w:rPr>
          <w:color w:val="auto"/>
          <w:highlight w:val="none"/>
        </w:rPr>
        <w:fldChar w:fldCharType="begin"/>
      </w:r>
      <w:r>
        <w:rPr>
          <w:color w:val="auto"/>
          <w:highlight w:val="none"/>
        </w:rPr>
        <w:instrText xml:space="preserve"> PAGEREF _Toc21364 \h </w:instrText>
      </w:r>
      <w:r>
        <w:rPr>
          <w:color w:val="auto"/>
          <w:highlight w:val="none"/>
        </w:rPr>
        <w:fldChar w:fldCharType="separate"/>
      </w:r>
      <w:r>
        <w:rPr>
          <w:color w:val="auto"/>
          <w:highlight w:val="none"/>
        </w:rPr>
        <w:t>76</w:t>
      </w:r>
      <w:r>
        <w:rPr>
          <w:color w:val="auto"/>
          <w:highlight w:val="none"/>
        </w:rPr>
        <w:fldChar w:fldCharType="end"/>
      </w:r>
      <w:r>
        <w:rPr>
          <w:rFonts w:hint="eastAsia" w:ascii="仿宋" w:hAnsi="仿宋" w:eastAsia="仿宋" w:cs="仿宋"/>
          <w:color w:val="auto"/>
          <w:highlight w:val="none"/>
        </w:rPr>
        <w:fldChar w:fldCharType="end"/>
      </w:r>
    </w:p>
    <w:p>
      <w:pPr>
        <w:pStyle w:val="15"/>
        <w:shd w:val="clear"/>
        <w:tabs>
          <w:tab w:val="right" w:leader="dot" w:pos="9072"/>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_Toc9380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（五）监狱企业证明材料（如有）</w:t>
      </w:r>
      <w:r>
        <w:rPr>
          <w:color w:val="auto"/>
          <w:highlight w:val="none"/>
        </w:rPr>
        <w:tab/>
      </w:r>
      <w:r>
        <w:rPr>
          <w:color w:val="auto"/>
          <w:highlight w:val="none"/>
        </w:rPr>
        <w:fldChar w:fldCharType="begin"/>
      </w:r>
      <w:r>
        <w:rPr>
          <w:color w:val="auto"/>
          <w:highlight w:val="none"/>
        </w:rPr>
        <w:instrText xml:space="preserve"> PAGEREF _Toc9380 \h </w:instrText>
      </w:r>
      <w:r>
        <w:rPr>
          <w:color w:val="auto"/>
          <w:highlight w:val="none"/>
        </w:rPr>
        <w:fldChar w:fldCharType="separate"/>
      </w:r>
      <w:r>
        <w:rPr>
          <w:color w:val="auto"/>
          <w:highlight w:val="none"/>
        </w:rPr>
        <w:t>77</w:t>
      </w:r>
      <w:r>
        <w:rPr>
          <w:color w:val="auto"/>
          <w:highlight w:val="none"/>
        </w:rPr>
        <w:fldChar w:fldCharType="end"/>
      </w:r>
      <w:r>
        <w:rPr>
          <w:rFonts w:hint="eastAsia" w:ascii="仿宋" w:hAnsi="仿宋" w:eastAsia="仿宋" w:cs="仿宋"/>
          <w:color w:val="auto"/>
          <w:highlight w:val="none"/>
        </w:rPr>
        <w:fldChar w:fldCharType="end"/>
      </w:r>
    </w:p>
    <w:p>
      <w:pPr>
        <w:shd w:val="clear"/>
        <w:spacing w:line="360" w:lineRule="auto"/>
        <w:rPr>
          <w:rFonts w:ascii="仿宋" w:hAnsi="仿宋" w:eastAsia="仿宋" w:cs="仿宋"/>
          <w:color w:val="auto"/>
          <w:sz w:val="24"/>
          <w:highlight w:val="none"/>
        </w:rPr>
      </w:pPr>
      <w:r>
        <w:rPr>
          <w:rFonts w:hint="eastAsia" w:ascii="仿宋" w:hAnsi="仿宋" w:eastAsia="仿宋" w:cs="仿宋"/>
          <w:color w:val="auto"/>
          <w:highlight w:val="none"/>
        </w:rPr>
        <w:fldChar w:fldCharType="end"/>
      </w:r>
      <w:r>
        <w:rPr>
          <w:rFonts w:hint="eastAsia" w:ascii="仿宋" w:hAnsi="仿宋" w:eastAsia="仿宋" w:cs="仿宋"/>
          <w:color w:val="auto"/>
          <w:sz w:val="24"/>
          <w:highlight w:val="none"/>
        </w:rPr>
        <w:br w:type="page"/>
      </w:r>
    </w:p>
    <w:p>
      <w:pPr>
        <w:shd w:val="clear"/>
        <w:rPr>
          <w:rStyle w:val="47"/>
          <w:rFonts w:ascii="仿宋" w:hAnsi="仿宋" w:eastAsia="仿宋" w:cs="仿宋"/>
          <w:color w:val="auto"/>
          <w:highlight w:val="none"/>
        </w:rPr>
      </w:pPr>
    </w:p>
    <w:p>
      <w:pPr>
        <w:pStyle w:val="4"/>
        <w:shd w:val="clear"/>
        <w:rPr>
          <w:rStyle w:val="47"/>
          <w:rFonts w:ascii="仿宋" w:hAnsi="仿宋" w:eastAsia="仿宋" w:cs="仿宋"/>
          <w:b/>
          <w:color w:val="auto"/>
          <w:highlight w:val="none"/>
        </w:rPr>
      </w:pPr>
      <w:bookmarkStart w:id="2" w:name="_Toc18241"/>
      <w:r>
        <w:rPr>
          <w:rStyle w:val="47"/>
          <w:rFonts w:hint="eastAsia" w:ascii="仿宋" w:hAnsi="仿宋" w:eastAsia="仿宋" w:cs="仿宋"/>
          <w:b/>
          <w:color w:val="auto"/>
          <w:highlight w:val="none"/>
        </w:rPr>
        <w:t>第一章 征集公告</w:t>
      </w:r>
      <w:bookmarkEnd w:id="2"/>
    </w:p>
    <w:p>
      <w:pPr>
        <w:widowControl/>
        <w:shd w:val="clear"/>
        <w:adjustRightInd w:val="0"/>
        <w:snapToGrid w:val="0"/>
        <w:spacing w:line="360" w:lineRule="auto"/>
        <w:jc w:val="center"/>
        <w:rPr>
          <w:rFonts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郑州市中原区审计局2023年审计服务中介机构框架协议采购项目</w:t>
      </w:r>
      <w:r>
        <w:rPr>
          <w:rFonts w:hint="eastAsia" w:ascii="仿宋" w:hAnsi="仿宋" w:eastAsia="仿宋" w:cs="仿宋"/>
          <w:b/>
          <w:color w:val="auto"/>
          <w:kern w:val="0"/>
          <w:sz w:val="28"/>
          <w:szCs w:val="28"/>
          <w:highlight w:val="none"/>
          <w:lang w:eastAsia="zh-CN"/>
        </w:rPr>
        <w:t>-</w:t>
      </w:r>
      <w:r>
        <w:rPr>
          <w:rFonts w:hint="eastAsia" w:ascii="仿宋" w:hAnsi="仿宋" w:eastAsia="仿宋" w:cs="仿宋"/>
          <w:b/>
          <w:color w:val="auto"/>
          <w:kern w:val="0"/>
          <w:sz w:val="28"/>
          <w:szCs w:val="28"/>
          <w:highlight w:val="none"/>
        </w:rPr>
        <w:t>征集公告</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郑州市中原区审计局2023年审计服务中介机构框架协议采购项目招标项目的潜在投标人应在登录“郑州市公共资源交易中心网（http://zzggzy.zhengzhou.gov.cn/）”，凭企业CA锁下载招标文件。获取招标文件，并于2023年06月13日10时00分（北京时间）前递交投标文件。</w:t>
      </w:r>
    </w:p>
    <w:p>
      <w:pPr>
        <w:shd w:val="clea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一、项目基本情况</w:t>
      </w:r>
      <w:r>
        <w:rPr>
          <w:rFonts w:hint="eastAsia" w:ascii="仿宋" w:hAnsi="仿宋" w:eastAsia="仿宋" w:cs="仿宋"/>
          <w:color w:val="auto"/>
          <w:sz w:val="24"/>
          <w:szCs w:val="24"/>
          <w:highlight w:val="none"/>
        </w:rPr>
        <w:t xml:space="preserve">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1、项目编号：中原公开-2023-19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2、项目名称：郑州市中原区审计局2023年审计服务中介机构框架协议采购项目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3、采购方式：公开招标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4、预算金额：1,900,000.00元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最高限价：1900000元</w:t>
      </w:r>
    </w:p>
    <w:tbl>
      <w:tblPr>
        <w:tblStyle w:val="29"/>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745"/>
        <w:gridCol w:w="2651"/>
        <w:gridCol w:w="1444"/>
        <w:gridCol w:w="1419"/>
        <w:gridCol w:w="1294"/>
        <w:gridCol w:w="1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8" w:hRule="atLeast"/>
          <w:jc w:val="center"/>
        </w:trPr>
        <w:tc>
          <w:tcPr>
            <w:tcW w:w="723" w:type="dxa"/>
            <w:noWrap/>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745" w:type="dxa"/>
            <w:noWrap/>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包号</w:t>
            </w:r>
          </w:p>
        </w:tc>
        <w:tc>
          <w:tcPr>
            <w:tcW w:w="2651" w:type="dxa"/>
            <w:noWrap/>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包名称</w:t>
            </w:r>
          </w:p>
        </w:tc>
        <w:tc>
          <w:tcPr>
            <w:tcW w:w="1444" w:type="dxa"/>
            <w:noWrap/>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包预算（元）</w:t>
            </w:r>
          </w:p>
        </w:tc>
        <w:tc>
          <w:tcPr>
            <w:tcW w:w="1419" w:type="dxa"/>
            <w:noWrap/>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包最高限价（元）</w:t>
            </w:r>
          </w:p>
        </w:tc>
        <w:tc>
          <w:tcPr>
            <w:tcW w:w="1294" w:type="dxa"/>
            <w:noWrap/>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是否专门面向中小企业</w:t>
            </w:r>
          </w:p>
        </w:tc>
        <w:tc>
          <w:tcPr>
            <w:tcW w:w="1274" w:type="dxa"/>
            <w:noWrap/>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23" w:type="dxa"/>
            <w:noWrap/>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745" w:type="dxa"/>
            <w:noWrap/>
            <w:vAlign w:val="center"/>
          </w:tcPr>
          <w:p>
            <w:pPr>
              <w:shd w:val="clear"/>
              <w:jc w:val="center"/>
              <w:rPr>
                <w:rFonts w:ascii="仿宋" w:hAnsi="仿宋" w:eastAsia="仿宋" w:cs="仿宋"/>
                <w:color w:val="auto"/>
                <w:szCs w:val="21"/>
                <w:highlight w:val="none"/>
                <w:u w:val="single"/>
              </w:rPr>
            </w:pPr>
            <w:r>
              <w:rPr>
                <w:rFonts w:hint="eastAsia" w:ascii="仿宋" w:hAnsi="仿宋" w:eastAsia="仿宋" w:cs="仿宋"/>
                <w:color w:val="auto"/>
                <w:szCs w:val="21"/>
                <w:highlight w:val="none"/>
              </w:rPr>
              <w:t>A包</w:t>
            </w:r>
          </w:p>
        </w:tc>
        <w:tc>
          <w:tcPr>
            <w:tcW w:w="2651" w:type="dxa"/>
            <w:noWrap/>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郑州市中原区审计局2023年选定工程造价咨询机构框架协议采购项目</w:t>
            </w:r>
          </w:p>
        </w:tc>
        <w:tc>
          <w:tcPr>
            <w:tcW w:w="1444" w:type="dxa"/>
            <w:noWrap/>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1600000.00</w:t>
            </w:r>
          </w:p>
        </w:tc>
        <w:tc>
          <w:tcPr>
            <w:tcW w:w="1419" w:type="dxa"/>
            <w:noWrap/>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1600000.00</w:t>
            </w:r>
          </w:p>
        </w:tc>
        <w:tc>
          <w:tcPr>
            <w:tcW w:w="1294" w:type="dxa"/>
            <w:noWrap/>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是</w:t>
            </w:r>
          </w:p>
        </w:tc>
        <w:tc>
          <w:tcPr>
            <w:tcW w:w="1274" w:type="dxa"/>
            <w:noWrap/>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1600000.00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23" w:type="dxa"/>
            <w:noWrap/>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745" w:type="dxa"/>
            <w:noWrap/>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B包</w:t>
            </w:r>
          </w:p>
        </w:tc>
        <w:tc>
          <w:tcPr>
            <w:tcW w:w="2651" w:type="dxa"/>
            <w:noWrap/>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郑州市中原区审计局2023年选定会计师事务所框架协议采购项目</w:t>
            </w:r>
          </w:p>
        </w:tc>
        <w:tc>
          <w:tcPr>
            <w:tcW w:w="1444" w:type="dxa"/>
            <w:noWrap/>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300000.00</w:t>
            </w:r>
          </w:p>
        </w:tc>
        <w:tc>
          <w:tcPr>
            <w:tcW w:w="1419" w:type="dxa"/>
            <w:noWrap/>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300000.00</w:t>
            </w:r>
          </w:p>
        </w:tc>
        <w:tc>
          <w:tcPr>
            <w:tcW w:w="1294" w:type="dxa"/>
            <w:noWrap/>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是</w:t>
            </w:r>
          </w:p>
        </w:tc>
        <w:tc>
          <w:tcPr>
            <w:tcW w:w="1274" w:type="dxa"/>
            <w:noWrap/>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300000.00</w:t>
            </w:r>
          </w:p>
        </w:tc>
      </w:tr>
    </w:tbl>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5、采购需求（包括但不限于标的的名称、数量、简要技术需求或服务要求等）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采购范围：根据《中华人民共和国审计法》、《审计署聘请外部人员参与审计工作管理办法》（审法发〔2010〕68号）和《政府采购框架协议采购方式管理暂行办法》（财政部110号令）的规定，郑州市中原区审计局计划通过框架协议采购方式选定20家工程造价咨询机构和8家会计师事务所，开展相关审计工作。</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A包：郑州市中原区审计局2023年通过框架协议采购方式征集20家工程造价咨询机构，承担郑州市中原区审计局1个年度内委托的工程审计任务。</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B包：郑州市中原区审计局2023年通过框架协议采购方式征集8家会计师事务所，承担郑州市中原区审计局1个年度内委托的财务审计任务。</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 资金来源：财政资金。</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 采购方式：封闭式框架协议采购。</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5.4 适用框架协议的服务对象范围：郑州市中原区审计局。</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5.5履行合同的地域范围：郑州市。</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5.6审计费用结算标准：</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A包：按照《郑州市中原区审计局聘请中介机构和外部人员参与审计工作管理暂行办法》（中原审〔2023〕4号）规定进行结算。</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B包：按照《郑州市中原区审计局聘请中介机构和外部人员参与审计工作管理暂行办法》（中原审〔2023〕4号）规定进行结算。</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5.7 服务标准：</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A包：符合国家、省、市、区有关工程审计的相关规定。</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B包：符合国家、省、市、区有关财务审计的相关规定。</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5.8框架协议期限：</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A包：从框架协议签订生效之日起1年。</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B包：从框架协议签订生效之日起1年。</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5.9入围供应商管理及考核：</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包：符合国家、省、市、区有关工程审计的相关规定，严格执行《郑州市中原区审计局聘请中介机构和外部人员参与审计工作管理暂行办法》（中原审〔2023〕4号）的规定及合同履行期内郑州市中原区审计局下发的最新文件，确保审计质量与时限。</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包：符合国家、省、市、区有关财务审计的相关规定，严格执行《郑州市中原区审计局聘请中介机构和外部人员参与审计工作管理暂行办法》（中原审〔2023〕4号）的规定及合同履行期内郑州市中原区审计局下发的最新文件，确保审计质量与时限。</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5.10包段划分：本项目共分2个包段。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6、合同履行期限：详见第七项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7、本项目是否接受联合体投标：否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8、是否接受进口产品：否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9、是否专门面向中小企业：是 </w:t>
      </w:r>
    </w:p>
    <w:p>
      <w:pPr>
        <w:shd w:val="clea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二、申请人资格要求：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1、满足《中华人民共和国政府采购法》第二十二条规定；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2、落实政府采购政策满足的资格要求：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本项目执行促进中小型企业发展政策（监狱企业、残疾人福利性企业视同小微企业）、强制采购节能产品、优先采购节能环保产品等政府采购政策。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3、本项目的特定资格要求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3.1资质要求：</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A包：拟派项目负责人须具有一级注册造价工程师执业资格证书；</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B包：供应商应具备财政部门颁发的会计师事务所执业证书，拟派项目负责人须具有注册会计师执业资格证书。</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信用要求：通过“中国执行信息公开网”网站（zxgk.court.gov.cn）、“信用中国”网站（www.creditchina.gov.cn）、中国政府采购网（www.ccgp.gov.cn）、国家企业信用信息公示系统（http://www.gsxt.gov.cn）渠道查询供应商信用记录，被列入失信被执行人、重大税收违法失信主体、政府采购严重违法失信行为记录名单、严重违法失信企业名单的的供应商，不得参加本项目政府采购活动。</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3.3其他要求：单位负责人为同一人或者存在直接控股、管理关系的不同供应商，不得参加同一合同项下的政府采购活动。 </w:t>
      </w:r>
    </w:p>
    <w:p>
      <w:pPr>
        <w:shd w:val="clea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三、获取招标文件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1.时间：2023年05月22日 至 2023年05月26日，每天上午00:00至12:00，下午12:00至23:59（北京时间，法定节假日除外。）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2.地点：登录“郑州市公共资源交易中心网（http://zzggzy.zhengzhou.gov.cn/）”，凭企业CA锁下载招标文件。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3.方式：供应商凭企业CA密钥登录郑州市公共资源交易中心网站（http://zzggzy.zhengzhou.gov.cn/），点击“交易主体登陆”下载所含格式（*.ZZZF）的采购文件及资料。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4.售价：0元 </w:t>
      </w:r>
    </w:p>
    <w:p>
      <w:pPr>
        <w:shd w:val="clea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四、投标截止时间及地点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1.时间：2023年06月13日10时00分（北京时间）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2.地点：郑州市公共资源交易中心网（http://zzggzy.zhengzhou.gov.cn/）电子交易平台，加密的电子投标文件（.ZZTF格式）须在截止时间前通过“郑州市公共资源交易中心”电子交易平台加密上传。 </w:t>
      </w:r>
    </w:p>
    <w:p>
      <w:pPr>
        <w:shd w:val="clea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五、开标时间及地点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1.时间：2023年06月13日10时00分（北京时间）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2.地点：郑州市公共资源交易中心关于不见面开标大厅（http://zzggzy.zhengzhou.gov.cn/BidOpening）。 </w:t>
      </w:r>
    </w:p>
    <w:p>
      <w:pPr>
        <w:shd w:val="clea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六、发布公告的媒介及招标公告期限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本次招标公告在《河南省政府采购网》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《中国政府采购网》、《郑州市政府采购网》、《中原区政府采购网》、《郑州市公共资源交易中心》、《河南省电子招标投标公共服务平台》上发布， 招标公告期限为五个工作日 。  </w:t>
      </w:r>
    </w:p>
    <w:p>
      <w:pPr>
        <w:shd w:val="clea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七、其他补充事宜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1.合同履行期限：从框架协议签订生效之日起1年</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2.本项目执行节约能源、保护环境、扶持不发达地区和少数民族地区、促进中小企业发展、促进残疾人就业、促进监狱企业发展等政府采购政策。</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3.本项目供应商可通过“河南省政府采购合同融资平台，选择意向银行实现政府采购合同融资，贯彻落实优化营商环境的决策部署，创新扶持企业发展。</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按照郑州市公共资源交易中心要求，供应商须注册成为郑州市公共资源交易中心网站会员并取得CA密钥后，才能通过公共资源交易平台参与交易活动，尚未办理企业CA数字证书的，请登录郑州市公共资源交易中心网站（http://zzggzy.zhengzhou.gov.cn/），查阅网站首页“通知公告”或“CA及签章办理流程”中《关于数字证书(CA)互认功能上线试运行的通知》（http://zzggzy.zhengzhou.gov.cn/tzgg/20200612/9db87633-2aec-4d6f-b692-a167ec8c11d6.html），及时办理CA数字证书及电子签章，并完成市场主体库相关信息。如遇使用问题请拨打客服电话 0371-96596，技术支持咨询电话:0371-67188807，4009980000。</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5.备注：（1）根据“郑州市公共资源交易中心关于推行不见面开标服务的通知（http://zzggzy.zhengzhou.gov.cn/tzgg/20200219/7716d6a8-4a44-4583-9ff3-123667607ef5.html）”第（一）条 供应商无需到交易中心现场参加开标会议，本项目招标文件中所要求证件、证明等，投标文件中应附相应资料清晰的复印件或扫描件，由于模糊不清导致评委无法辨别的，后果由供应商自行承担。</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（2）不见面开标操作说明详见郑州市公共资源交易中心网站通知公告中的《郑州市公共资源交易中心关于不见面开标大厅系统升级的通知》中的《不见面开标大厅操作手册-供应商》 </w:t>
      </w:r>
    </w:p>
    <w:p>
      <w:pPr>
        <w:shd w:val="clea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八、凡对本次招标提出询问，请按照以下方式联系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采购人信息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名称：郑州市中原区审计局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地址：河南省郑州市中原区市场街71号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联系人：郑书贞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联系方式：0371-68706959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2.采购代理机构信息（如有）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名称：河南瑞珂工程管理有限公司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地址：河南省郑州市高新技术产业开发区电厂路80号16幢3层5号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联系人：樊越超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联系方式：0371-55563050 15093105850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项目联系人：樊越超 </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联系方式：0371-55563050 15093105850 </w:t>
      </w:r>
    </w:p>
    <w:p>
      <w:pPr>
        <w:shd w:val="clear"/>
        <w:rPr>
          <w:rFonts w:ascii="仿宋" w:hAnsi="仿宋" w:eastAsia="仿宋" w:cs="仿宋"/>
          <w:color w:val="auto"/>
          <w:highlight w:val="none"/>
        </w:rPr>
      </w:pPr>
      <w:r>
        <w:rPr>
          <w:rFonts w:hint="eastAsia" w:ascii="仿宋" w:hAnsi="仿宋" w:eastAsia="仿宋" w:cs="仿宋"/>
          <w:color w:val="auto"/>
          <w:highlight w:val="none"/>
        </w:rPr>
        <w:br w:type="page"/>
      </w:r>
    </w:p>
    <w:p>
      <w:pPr>
        <w:shd w:val="clear"/>
        <w:rPr>
          <w:rStyle w:val="47"/>
          <w:rFonts w:ascii="仿宋" w:hAnsi="仿宋" w:eastAsia="仿宋" w:cs="仿宋"/>
          <w:color w:val="auto"/>
          <w:highlight w:val="none"/>
        </w:rPr>
      </w:pPr>
    </w:p>
    <w:p>
      <w:pPr>
        <w:pStyle w:val="4"/>
        <w:shd w:val="clear"/>
        <w:rPr>
          <w:rStyle w:val="47"/>
          <w:rFonts w:ascii="仿宋" w:hAnsi="仿宋" w:eastAsia="仿宋" w:cs="仿宋"/>
          <w:b/>
          <w:color w:val="auto"/>
          <w:highlight w:val="none"/>
        </w:rPr>
      </w:pPr>
      <w:bookmarkStart w:id="3" w:name="_Toc2331"/>
      <w:r>
        <w:rPr>
          <w:rStyle w:val="47"/>
          <w:rFonts w:hint="eastAsia" w:ascii="仿宋" w:hAnsi="仿宋" w:eastAsia="仿宋" w:cs="仿宋"/>
          <w:b/>
          <w:color w:val="auto"/>
          <w:highlight w:val="none"/>
        </w:rPr>
        <w:t>第二章 供应商须知</w:t>
      </w:r>
      <w:bookmarkEnd w:id="3"/>
    </w:p>
    <w:p>
      <w:pPr>
        <w:pStyle w:val="2"/>
        <w:shd w:val="clear"/>
        <w:jc w:val="center"/>
        <w:outlineLvl w:val="1"/>
        <w:rPr>
          <w:rFonts w:ascii="仿宋" w:hAnsi="仿宋" w:eastAsia="仿宋" w:cs="仿宋"/>
          <w:b/>
          <w:color w:val="auto"/>
          <w:sz w:val="24"/>
          <w:szCs w:val="24"/>
          <w:highlight w:val="none"/>
        </w:rPr>
      </w:pPr>
      <w:bookmarkStart w:id="4" w:name="_Toc26267"/>
      <w:r>
        <w:rPr>
          <w:rFonts w:hint="eastAsia" w:ascii="仿宋" w:hAnsi="仿宋" w:eastAsia="仿宋" w:cs="仿宋"/>
          <w:b/>
          <w:color w:val="auto"/>
          <w:sz w:val="24"/>
          <w:szCs w:val="24"/>
          <w:highlight w:val="none"/>
        </w:rPr>
        <w:t>供应商须知前附表</w:t>
      </w:r>
      <w:bookmarkEnd w:id="4"/>
    </w:p>
    <w:tbl>
      <w:tblPr>
        <w:tblStyle w:val="29"/>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1721"/>
        <w:gridCol w:w="6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snapToGrid w:val="0"/>
              <w:spacing w:beforeLines="25" w:afterLines="25"/>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条款号</w:t>
            </w:r>
          </w:p>
        </w:tc>
        <w:tc>
          <w:tcPr>
            <w:tcW w:w="1721" w:type="dxa"/>
            <w:noWrap/>
            <w:vAlign w:val="center"/>
          </w:tcPr>
          <w:p>
            <w:pPr>
              <w:shd w:val="clear"/>
              <w:snapToGrid w:val="0"/>
              <w:spacing w:beforeLines="25" w:afterLines="25"/>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条款名称</w:t>
            </w:r>
          </w:p>
        </w:tc>
        <w:tc>
          <w:tcPr>
            <w:tcW w:w="6543" w:type="dxa"/>
            <w:noWrap/>
            <w:vAlign w:val="center"/>
          </w:tcPr>
          <w:p>
            <w:pPr>
              <w:shd w:val="clear"/>
              <w:snapToGrid w:val="0"/>
              <w:spacing w:beforeLines="25" w:afterLines="25"/>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1.1.2</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6543" w:type="dxa"/>
            <w:noWrap/>
            <w:vAlign w:val="center"/>
          </w:tcPr>
          <w:p>
            <w:pPr>
              <w:shd w:val="clear"/>
              <w:snapToGrid w:val="0"/>
              <w:spacing w:beforeLines="25" w:afterLines="25"/>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名称：郑州市中原区审计局</w:t>
            </w:r>
          </w:p>
          <w:p>
            <w:pPr>
              <w:widowControl/>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地址：河南省郑州市中原区市场街71号</w:t>
            </w:r>
          </w:p>
          <w:p>
            <w:pPr>
              <w:widowControl/>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联系人：郑书贞</w:t>
            </w:r>
          </w:p>
          <w:p>
            <w:pPr>
              <w:widowControl/>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联系方式：0371-68706959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6543" w:type="dxa"/>
            <w:noWrap/>
            <w:vAlign w:val="center"/>
          </w:tcPr>
          <w:p>
            <w:pPr>
              <w:shd w:val="clear"/>
              <w:snapToGrid w:val="0"/>
              <w:spacing w:beforeLines="25" w:afterLines="25"/>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招标代理机构：河南瑞珂工程管理有限公司</w:t>
            </w:r>
          </w:p>
          <w:p>
            <w:pPr>
              <w:shd w:val="clear"/>
              <w:snapToGrid w:val="0"/>
              <w:spacing w:beforeLines="25" w:afterLines="25"/>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地址：河南省郑州市高新技术产业开发区电厂路80号16幢3层5号</w:t>
            </w:r>
          </w:p>
          <w:p>
            <w:pPr>
              <w:widowControl/>
              <w:shd w:val="clear"/>
              <w:wordWrap w:val="0"/>
              <w:spacing w:beforeLines="25" w:afterLines="25"/>
              <w:jc w:val="left"/>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项目联系人：樊越超</w:t>
            </w:r>
          </w:p>
          <w:p>
            <w:pPr>
              <w:widowControl/>
              <w:shd w:val="clear"/>
              <w:wordWrap w:val="0"/>
              <w:spacing w:beforeLines="25" w:afterLines="25"/>
              <w:jc w:val="left"/>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联系方式：0371-55563050   15093105850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8"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1.1.4</w:t>
            </w:r>
          </w:p>
        </w:tc>
        <w:tc>
          <w:tcPr>
            <w:tcW w:w="1721"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543" w:type="dxa"/>
            <w:noWrap/>
            <w:vAlign w:val="center"/>
          </w:tcPr>
          <w:p>
            <w:pPr>
              <w:shd w:val="clear"/>
              <w:snapToGrid w:val="0"/>
              <w:spacing w:beforeLines="25" w:afterLines="25"/>
              <w:jc w:val="left"/>
              <w:rPr>
                <w:rFonts w:ascii="仿宋" w:hAnsi="仿宋" w:eastAsia="仿宋" w:cs="仿宋"/>
                <w:color w:val="auto"/>
                <w:kern w:val="0"/>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郑州市中原区审计局2023年审计服务中介机构框架协议采购项目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058"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1.1.5</w:t>
            </w:r>
          </w:p>
        </w:tc>
        <w:tc>
          <w:tcPr>
            <w:tcW w:w="1721"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适用框架协议的服务对象范围</w:t>
            </w:r>
          </w:p>
        </w:tc>
        <w:tc>
          <w:tcPr>
            <w:tcW w:w="6543" w:type="dxa"/>
            <w:noWrap/>
            <w:vAlign w:val="center"/>
          </w:tcPr>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rPr>
              <w:t>郑州市中原区审计局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1721"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资金来源</w:t>
            </w:r>
          </w:p>
        </w:tc>
        <w:tc>
          <w:tcPr>
            <w:tcW w:w="6543" w:type="dxa"/>
            <w:noWrap/>
            <w:vAlign w:val="center"/>
          </w:tcPr>
          <w:p>
            <w:pPr>
              <w:shd w:val="clear"/>
              <w:snapToGrid w:val="0"/>
              <w:spacing w:beforeLines="25" w:afterLines="25"/>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已落实，100%财政资金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1.3.1</w:t>
            </w:r>
          </w:p>
        </w:tc>
        <w:tc>
          <w:tcPr>
            <w:tcW w:w="1721"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采购范围</w:t>
            </w:r>
          </w:p>
        </w:tc>
        <w:tc>
          <w:tcPr>
            <w:tcW w:w="6543" w:type="dxa"/>
            <w:noWrap/>
            <w:vAlign w:val="center"/>
          </w:tcPr>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A包：郑州市中原区审计局2023年通过框架协议采购方式征集20家工程造价咨询机构，承担郑州市中原区审计局1个年度内委托的工程审计任务。</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B包：郑州市中原区审计局2023年通过框架协议采购方式征集8家会计师事务所，承担郑州市中原区审计局1个年度内委托的财务审计任务。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1.3.2</w:t>
            </w:r>
          </w:p>
        </w:tc>
        <w:tc>
          <w:tcPr>
            <w:tcW w:w="1721"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审计费用结算标准</w:t>
            </w:r>
          </w:p>
        </w:tc>
        <w:tc>
          <w:tcPr>
            <w:tcW w:w="6543" w:type="dxa"/>
            <w:noWrap/>
            <w:vAlign w:val="center"/>
          </w:tcPr>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A包：按照《郑州市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（中原审〔2023〕4号）</w:t>
            </w:r>
            <w:r>
              <w:rPr>
                <w:rFonts w:hint="eastAsia" w:ascii="仿宋" w:hAnsi="仿宋" w:eastAsia="仿宋" w:cs="仿宋"/>
                <w:color w:val="auto"/>
                <w:sz w:val="24"/>
                <w:szCs w:val="24"/>
                <w:highlight w:val="none"/>
              </w:rPr>
              <w:t>规定进行结算。</w:t>
            </w:r>
          </w:p>
          <w:p>
            <w:pPr>
              <w:shd w:val="clear"/>
              <w:snapToGrid w:val="0"/>
              <w:spacing w:beforeLines="25" w:afterLines="25"/>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B包：按照《郑州市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（中原审〔2023〕4号）</w:t>
            </w:r>
            <w:r>
              <w:rPr>
                <w:rFonts w:hint="eastAsia" w:ascii="仿宋" w:hAnsi="仿宋" w:eastAsia="仿宋" w:cs="仿宋"/>
                <w:color w:val="auto"/>
                <w:sz w:val="24"/>
                <w:szCs w:val="24"/>
                <w:highlight w:val="none"/>
              </w:rPr>
              <w:t>规定进行结算。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1.3.3</w:t>
            </w:r>
          </w:p>
        </w:tc>
        <w:tc>
          <w:tcPr>
            <w:tcW w:w="1721"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shd w:val="clear" w:color="auto" w:fill="FFFFFF"/>
              </w:rPr>
              <w:t>框架协议</w:t>
            </w:r>
            <w:r>
              <w:rPr>
                <w:rFonts w:hint="eastAsia" w:ascii="仿宋" w:hAnsi="仿宋" w:eastAsia="仿宋" w:cs="仿宋"/>
                <w:color w:val="auto"/>
                <w:sz w:val="24"/>
                <w:szCs w:val="24"/>
                <w:highlight w:val="none"/>
              </w:rPr>
              <w:t>期限</w:t>
            </w:r>
          </w:p>
        </w:tc>
        <w:tc>
          <w:tcPr>
            <w:tcW w:w="6543" w:type="dxa"/>
            <w:noWrap/>
            <w:vAlign w:val="center"/>
          </w:tcPr>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从框架协议签订生效之日起1年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8"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1.3.4</w:t>
            </w:r>
          </w:p>
        </w:tc>
        <w:tc>
          <w:tcPr>
            <w:tcW w:w="1721" w:type="dxa"/>
            <w:noWrap/>
            <w:vAlign w:val="center"/>
          </w:tcPr>
          <w:p>
            <w:pPr>
              <w:shd w:val="clear"/>
              <w:wordWrap w:val="0"/>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服务标准</w:t>
            </w:r>
          </w:p>
        </w:tc>
        <w:tc>
          <w:tcPr>
            <w:tcW w:w="6543" w:type="dxa"/>
            <w:noWrap/>
            <w:vAlign w:val="center"/>
          </w:tcPr>
          <w:p>
            <w:pPr>
              <w:keepNext w:val="0"/>
              <w:keepLines w:val="0"/>
              <w:pageBreakBefore w:val="0"/>
              <w:widowControl w:val="0"/>
              <w:shd w:val="clear"/>
              <w:kinsoku/>
              <w:overflowPunct/>
              <w:topLinePunct w:val="0"/>
              <w:autoSpaceDE/>
              <w:autoSpaceDN/>
              <w:bidi w:val="0"/>
              <w:adjustRightInd/>
              <w:spacing w:line="240" w:lineRule="auto"/>
              <w:ind w:firstLine="0" w:firstLineChars="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A包：符合国家、省、市、区有关工程审计的相关规定，严格执行《郑州市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（中原审〔2023〕4号）</w:t>
            </w:r>
            <w:r>
              <w:rPr>
                <w:rFonts w:hint="eastAsia" w:ascii="仿宋" w:hAnsi="仿宋" w:eastAsia="仿宋" w:cs="仿宋"/>
                <w:color w:val="auto"/>
                <w:sz w:val="24"/>
                <w:szCs w:val="24"/>
                <w:highlight w:val="none"/>
              </w:rPr>
              <w:t>的规定及合同履行期内</w:t>
            </w:r>
            <w:r>
              <w:rPr>
                <w:rFonts w:hint="eastAsia" w:ascii="仿宋" w:hAnsi="仿宋" w:eastAsia="仿宋" w:cs="仿宋"/>
                <w:color w:val="auto"/>
                <w:sz w:val="24"/>
                <w:szCs w:val="24"/>
                <w:highlight w:val="none"/>
                <w:lang w:val="en-US" w:eastAsia="zh-CN"/>
              </w:rPr>
              <w:t>郑州市中原区审计局</w:t>
            </w:r>
            <w:r>
              <w:rPr>
                <w:rFonts w:hint="eastAsia" w:ascii="仿宋" w:hAnsi="仿宋" w:eastAsia="仿宋" w:cs="仿宋"/>
                <w:color w:val="auto"/>
                <w:sz w:val="24"/>
                <w:szCs w:val="24"/>
                <w:highlight w:val="none"/>
              </w:rPr>
              <w:t>下发的最新文件，确保审计质量与时限。</w:t>
            </w:r>
          </w:p>
          <w:p>
            <w:pPr>
              <w:keepNext w:val="0"/>
              <w:keepLines w:val="0"/>
              <w:pageBreakBefore w:val="0"/>
              <w:widowControl w:val="0"/>
              <w:shd w:val="clear"/>
              <w:kinsoku/>
              <w:wordWrap w:val="0"/>
              <w:overflowPunct/>
              <w:topLinePunct w:val="0"/>
              <w:autoSpaceDE/>
              <w:autoSpaceDN/>
              <w:bidi w:val="0"/>
              <w:adjustRightInd/>
              <w:snapToGrid w:val="0"/>
              <w:spacing w:line="240" w:lineRule="auto"/>
              <w:ind w:firstLine="0" w:firstLineChars="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B包：符合国家、省、市、区有关财务审计的相关规定，严格执行《郑州市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（中原审〔2023〕4号）</w:t>
            </w:r>
            <w:r>
              <w:rPr>
                <w:rFonts w:hint="eastAsia" w:ascii="仿宋" w:hAnsi="仿宋" w:eastAsia="仿宋" w:cs="仿宋"/>
                <w:color w:val="auto"/>
                <w:sz w:val="24"/>
                <w:szCs w:val="24"/>
                <w:highlight w:val="none"/>
                <w:lang w:val="en-US" w:eastAsia="zh-CN"/>
              </w:rPr>
              <w:t>的规定</w:t>
            </w:r>
            <w:r>
              <w:rPr>
                <w:rFonts w:hint="eastAsia" w:ascii="仿宋" w:hAnsi="仿宋" w:eastAsia="仿宋" w:cs="仿宋"/>
                <w:color w:val="auto"/>
                <w:sz w:val="24"/>
                <w:szCs w:val="24"/>
                <w:highlight w:val="none"/>
              </w:rPr>
              <w:t>及合同履行期内</w:t>
            </w:r>
            <w:r>
              <w:rPr>
                <w:rFonts w:hint="eastAsia" w:ascii="仿宋" w:hAnsi="仿宋" w:eastAsia="仿宋" w:cs="仿宋"/>
                <w:color w:val="auto"/>
                <w:sz w:val="24"/>
                <w:szCs w:val="24"/>
                <w:highlight w:val="none"/>
                <w:lang w:val="en-US" w:eastAsia="zh-CN"/>
              </w:rPr>
              <w:t>郑州市中原区审计局</w:t>
            </w:r>
            <w:r>
              <w:rPr>
                <w:rFonts w:hint="eastAsia" w:ascii="仿宋" w:hAnsi="仿宋" w:eastAsia="仿宋" w:cs="仿宋"/>
                <w:color w:val="auto"/>
                <w:sz w:val="24"/>
                <w:szCs w:val="24"/>
                <w:highlight w:val="none"/>
              </w:rPr>
              <w:t>下发的最新文件，确保审计质量与时限。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1.4.1</w:t>
            </w:r>
          </w:p>
        </w:tc>
        <w:tc>
          <w:tcPr>
            <w:tcW w:w="1721" w:type="dxa"/>
            <w:noWrap/>
            <w:vAlign w:val="center"/>
          </w:tcPr>
          <w:p>
            <w:pPr>
              <w:shd w:val="clear"/>
              <w:topLinePunct/>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供应商资格条件</w:t>
            </w:r>
          </w:p>
        </w:tc>
        <w:tc>
          <w:tcPr>
            <w:tcW w:w="6543" w:type="dxa"/>
            <w:noWrap/>
            <w:vAlign w:val="center"/>
          </w:tcPr>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满足《中华人民共和国政府采购法》第二十二条规定：</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（一）具有独立承担民事责任的能力(提供营业执照)；</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（二）具有良好的商业信誉和健全的财务会计制度（提供2021或2022年度完整有效的经会计师事务所（或审计机构）出具的财务状况报告（新成立企业从成立之日起计算）或银行出具的资信证明）；</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（三）具有履行合同所必需的设备和专业技术能力（提供相关证明材料或声明函）；</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有依法缴纳税收和社会保障资金的良好记录（提供2023年1月1日以来任意三个月（新成立企业从成立之日起计算）企业依法缴纳税收和社会保障资金的证明材料，依法免税或不交税的投标人及依法不需要缴纳社会保障资金的投标人，应提供相应证明文件）；</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（五）参加政府采购活动前三年内，在经营活动中没有重大违法记录（提供书面声明）；</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2、落实政府采购政策满足的资格要求：</w:t>
            </w:r>
            <w:r>
              <w:rPr>
                <w:rFonts w:hint="eastAsia" w:ascii="仿宋" w:hAnsi="仿宋" w:eastAsia="仿宋" w:cs="仿宋"/>
                <w:b/>
                <w:bCs/>
                <w:color w:val="auto"/>
                <w:sz w:val="24"/>
                <w:szCs w:val="24"/>
                <w:highlight w:val="none"/>
              </w:rPr>
              <w:t>本项目专门面向中小企业采购</w:t>
            </w:r>
            <w:r>
              <w:rPr>
                <w:rFonts w:hint="eastAsia" w:ascii="仿宋" w:hAnsi="仿宋" w:eastAsia="仿宋" w:cs="仿宋"/>
                <w:color w:val="auto"/>
                <w:sz w:val="24"/>
                <w:szCs w:val="24"/>
                <w:highlight w:val="none"/>
              </w:rPr>
              <w:t>，供应商应为中小微型企业、监狱企业或残疾人福利性单位。根据《政府采购促进中小企业发展管理办法》（财库﹝2020﹞46号）的规定，执行促进中小微型（监狱、残疾人福利）企业发展等相关政策（提供中小企业声明函）。</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3、本项目的特定资格要求：</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3.1资质要求：</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A包：拟派项目负责人须具有</w:t>
            </w:r>
            <w:r>
              <w:rPr>
                <w:rFonts w:hint="eastAsia" w:ascii="仿宋" w:hAnsi="仿宋" w:eastAsia="仿宋" w:cs="仿宋"/>
                <w:color w:val="auto"/>
                <w:sz w:val="24"/>
                <w:szCs w:val="24"/>
                <w:highlight w:val="none"/>
                <w:lang w:val="en-US" w:eastAsia="zh-CN"/>
              </w:rPr>
              <w:t>一级</w:t>
            </w:r>
            <w:r>
              <w:rPr>
                <w:rFonts w:hint="eastAsia" w:ascii="仿宋" w:hAnsi="仿宋" w:eastAsia="仿宋" w:cs="仿宋"/>
                <w:color w:val="auto"/>
                <w:sz w:val="24"/>
                <w:szCs w:val="24"/>
                <w:highlight w:val="none"/>
              </w:rPr>
              <w:t>注册造价工程师执业资格证书（提供项目负责人注册造价工程师证书、与企业签订的劳动合同和自2023年1月1日以来企业为其缴纳的社保证明）；</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B包：供应商应具备行政主管部门颁发的会计师事务所执业证书，拟派项目负责人须具有注册会计师执业资格证书（提供会计师事务所执业证书、项目负责人注册会计师证书、与企业签订的劳动合同、自2023年1月1日以来企业为其缴纳的社保证明）。</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信用要求：通过“中国执行信息公开网”网站（zxgk.court.gov.cn）、“信用中国”网站（www.creditchina.gov.cn）、中国政府采购网（www.ccgp.gov.cn）、国家企业信用信息公示系统（http://www.gsxt.gov.cn）渠道查询供应商信用记录，被列入失信被执行人、重大税收违法失信主体、政府采购严重违法失信行为记录名单、严重违法失信企业名单的的供应商，不得参加本项目政府采购活动（查询结果以采购人或采购代理机构开标现场查询为准，查询记录与其他文件一并留存。）。</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其他要求：单位负责人为同一人或者存在直接控股、管理关系的不同供应商，不得参加同一合同项下的政府采购活动（提供“国家企业信用信息公示系统”（http://www.gsxt.gov.cn）的查询结果，其中“企业股东及出资信息”和“主要人员信息”应显示完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1.4.2</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是否接受联合体</w:t>
            </w:r>
          </w:p>
        </w:tc>
        <w:tc>
          <w:tcPr>
            <w:tcW w:w="6543" w:type="dxa"/>
            <w:noWrap/>
            <w:vAlign w:val="center"/>
          </w:tcPr>
          <w:p>
            <w:pPr>
              <w:shd w:val="clear"/>
              <w:tabs>
                <w:tab w:val="left" w:pos="630"/>
              </w:tabs>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入围供应商数量</w:t>
            </w:r>
          </w:p>
        </w:tc>
        <w:tc>
          <w:tcPr>
            <w:tcW w:w="6543" w:type="dxa"/>
            <w:noWrap/>
            <w:vAlign w:val="center"/>
          </w:tcPr>
          <w:p>
            <w:pPr>
              <w:shd w:val="clear"/>
              <w:wordWrap w:val="0"/>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A包：20家</w:t>
            </w:r>
          </w:p>
          <w:p>
            <w:pPr>
              <w:shd w:val="clear"/>
              <w:tabs>
                <w:tab w:val="left" w:pos="630"/>
              </w:tabs>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B包：8家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p>
        </w:tc>
        <w:tc>
          <w:tcPr>
            <w:tcW w:w="1721" w:type="dxa"/>
            <w:noWrap/>
            <w:vAlign w:val="center"/>
          </w:tcPr>
          <w:p>
            <w:pPr>
              <w:shd w:val="clear"/>
              <w:wordWrap w:val="0"/>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确定入围供应商的淘汰率</w:t>
            </w:r>
          </w:p>
        </w:tc>
        <w:tc>
          <w:tcPr>
            <w:tcW w:w="6543" w:type="dxa"/>
            <w:noWrap/>
            <w:vAlign w:val="center"/>
          </w:tcPr>
          <w:p>
            <w:pPr>
              <w:shd w:val="clear"/>
              <w:wordWrap w:val="0"/>
              <w:snapToGrid w:val="0"/>
              <w:spacing w:beforeLines="25" w:afterLines="25"/>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A包：不低于20%，且至少淘汰1家。</w:t>
            </w:r>
            <w:r>
              <w:rPr>
                <w:rFonts w:hint="eastAsia" w:ascii="仿宋" w:hAnsi="仿宋" w:eastAsia="仿宋" w:cs="仿宋"/>
                <w:color w:val="auto"/>
                <w:sz w:val="24"/>
                <w:szCs w:val="24"/>
                <w:highlight w:val="none"/>
              </w:rPr>
              <w:t>根据《政府采购框架协议采购方式管理暂行办法》的规定，提交响应文件和符合资格条件、实质性要求的供应商应当均不少于2家。采购人将根据评标委员会推荐的供应商排序确定综合评分排名前20名的为入围供应商。如合格供应商数量不足25家，则实际选定数量以淘汰20%后剩余的数量为准。</w:t>
            </w:r>
          </w:p>
          <w:p>
            <w:pPr>
              <w:shd w:val="clear"/>
              <w:wordWrap w:val="0"/>
              <w:snapToGrid w:val="0"/>
              <w:spacing w:beforeLines="25" w:afterLines="25"/>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B包：不低于20%，且至少淘汰1家。</w:t>
            </w:r>
            <w:r>
              <w:rPr>
                <w:rFonts w:hint="eastAsia" w:ascii="仿宋" w:hAnsi="仿宋" w:eastAsia="仿宋" w:cs="仿宋"/>
                <w:color w:val="auto"/>
                <w:sz w:val="24"/>
                <w:szCs w:val="24"/>
                <w:highlight w:val="none"/>
              </w:rPr>
              <w:t>根据《政府采购框架协议采购方式管理暂行办法》的规定，提交响应文件和符合资格条件、实质性要求的供应商应当均不少于2家。采购人将根据评标委员会推荐的供应商排序确定综合评分排名前8名的为入围供应商。如合格供应商数量不足10家，则实际选定数量以淘汰20%后剩余的数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w:t>
            </w:r>
          </w:p>
        </w:tc>
        <w:tc>
          <w:tcPr>
            <w:tcW w:w="6543" w:type="dxa"/>
            <w:noWrap/>
            <w:vAlign w:val="center"/>
          </w:tcPr>
          <w:p>
            <w:pPr>
              <w:shd w:val="clear"/>
              <w:tabs>
                <w:tab w:val="left" w:pos="720"/>
                <w:tab w:val="left" w:pos="1904"/>
              </w:tabs>
              <w:snapToGrid w:val="0"/>
              <w:spacing w:beforeLines="25" w:afterLines="25"/>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1.8.1</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实质性偏差</w:t>
            </w:r>
          </w:p>
        </w:tc>
        <w:tc>
          <w:tcPr>
            <w:tcW w:w="6543" w:type="dxa"/>
            <w:noWrap/>
            <w:vAlign w:val="center"/>
          </w:tcPr>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2.2.1</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供应商要求澄清征集文件</w:t>
            </w:r>
          </w:p>
        </w:tc>
        <w:tc>
          <w:tcPr>
            <w:tcW w:w="6543" w:type="dxa"/>
            <w:noWrap/>
            <w:vAlign w:val="center"/>
          </w:tcPr>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递交响应文件的截止之日15日前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2.2.2</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澄清或修改征集文件的时间、</w:t>
            </w:r>
            <w:r>
              <w:rPr>
                <w:rFonts w:hint="eastAsia" w:ascii="仿宋" w:hAnsi="仿宋" w:eastAsia="仿宋" w:cs="仿宋"/>
                <w:color w:val="auto"/>
                <w:kern w:val="0"/>
                <w:sz w:val="24"/>
                <w:szCs w:val="24"/>
                <w:highlight w:val="none"/>
              </w:rPr>
              <w:t>形式</w:t>
            </w:r>
          </w:p>
        </w:tc>
        <w:tc>
          <w:tcPr>
            <w:tcW w:w="6543" w:type="dxa"/>
            <w:noWrap/>
            <w:vAlign w:val="center"/>
          </w:tcPr>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在郑州市公共电子交易平台发布，请登录“郑州市公共资源交易中心网站”，凭企业身份认证锁下载征集文件澄清且同时在原公告媒体发布澄清公告</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注：若澄清或修改内容对投标文件编制构成影响的，采购人应相应顺延投标截止时间，若澄清或修改内容对投标文件编制不构成影响的，采购人不再顺延投标截止时间。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2.3.2</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供应商确认收到征集文件修改</w:t>
            </w:r>
          </w:p>
        </w:tc>
        <w:tc>
          <w:tcPr>
            <w:tcW w:w="6543" w:type="dxa"/>
            <w:noWrap/>
            <w:vAlign w:val="center"/>
          </w:tcPr>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kern w:val="10"/>
                <w:sz w:val="24"/>
                <w:szCs w:val="24"/>
                <w:highlight w:val="none"/>
              </w:rPr>
              <w:t>供应商自行在郑州市公共资源交易中心平台交易平台系统查看，无需确认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3.2.1</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w:t>
            </w:r>
          </w:p>
        </w:tc>
        <w:tc>
          <w:tcPr>
            <w:tcW w:w="6543" w:type="dxa"/>
            <w:noWrap/>
            <w:vAlign w:val="center"/>
          </w:tcPr>
          <w:p>
            <w:pPr>
              <w:shd w:val="clear"/>
              <w:snapToGrid w:val="0"/>
              <w:spacing w:beforeLines="25" w:afterLines="25"/>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A包：工程审计</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本项目审计费用按照《郑州市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（中原审〔2023〕4号）</w:t>
            </w:r>
            <w:r>
              <w:rPr>
                <w:rFonts w:hint="eastAsia" w:ascii="仿宋" w:hAnsi="仿宋" w:eastAsia="仿宋" w:cs="仿宋"/>
                <w:color w:val="auto"/>
                <w:sz w:val="24"/>
                <w:szCs w:val="24"/>
                <w:highlight w:val="none"/>
              </w:rPr>
              <w:t>规定执行（固定标准）。</w:t>
            </w:r>
          </w:p>
          <w:p>
            <w:pPr>
              <w:shd w:val="clear"/>
              <w:snapToGrid w:val="0"/>
              <w:spacing w:beforeLines="25" w:afterLines="25"/>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B包：财务审计</w:t>
            </w:r>
          </w:p>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本项目审计费用按照《郑州市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（中原审〔2023〕4号）</w:t>
            </w:r>
            <w:r>
              <w:rPr>
                <w:rFonts w:hint="eastAsia" w:ascii="仿宋" w:hAnsi="仿宋" w:eastAsia="仿宋" w:cs="仿宋"/>
                <w:color w:val="auto"/>
                <w:sz w:val="24"/>
                <w:szCs w:val="24"/>
                <w:highlight w:val="none"/>
              </w:rPr>
              <w:t>规定执行（固定标准）。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3.3.1</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响应文件有效期</w:t>
            </w:r>
          </w:p>
        </w:tc>
        <w:tc>
          <w:tcPr>
            <w:tcW w:w="6543" w:type="dxa"/>
            <w:noWrap/>
            <w:vAlign w:val="center"/>
          </w:tcPr>
          <w:p>
            <w:pPr>
              <w:shd w:val="clear"/>
              <w:snapToGrid w:val="0"/>
              <w:spacing w:beforeLines="25" w:afterLines="25"/>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提交响应文件的截止之日起60日历天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3.4.1</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入围保证金</w:t>
            </w:r>
          </w:p>
        </w:tc>
        <w:tc>
          <w:tcPr>
            <w:tcW w:w="6543" w:type="dxa"/>
            <w:noWrap/>
            <w:vAlign w:val="center"/>
          </w:tcPr>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4.1.1</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电子响应文件的签署及递交</w:t>
            </w:r>
          </w:p>
        </w:tc>
        <w:tc>
          <w:tcPr>
            <w:tcW w:w="6543" w:type="dxa"/>
            <w:noWrap/>
            <w:vAlign w:val="center"/>
          </w:tcPr>
          <w:p>
            <w:pPr>
              <w:shd w:val="clear"/>
              <w:snapToGrid w:val="0"/>
              <w:spacing w:beforeLines="25" w:afterLines="25"/>
              <w:rPr>
                <w:rFonts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电子响应文件应按征集文件及响应文件要求进行电子签字或盖章。委托代理人签字的，响应文件应附法定代表人（或负责人）签署的授权委托书。电子响应文件应在规定的响应文件递交截止时间前加密上传至</w:t>
            </w:r>
            <w:r>
              <w:rPr>
                <w:rFonts w:hint="eastAsia" w:ascii="仿宋" w:hAnsi="仿宋" w:eastAsia="仿宋" w:cs="仿宋"/>
                <w:color w:val="auto"/>
                <w:sz w:val="24"/>
                <w:szCs w:val="24"/>
                <w:highlight w:val="none"/>
              </w:rPr>
              <w:t>郑州市</w:t>
            </w:r>
            <w:r>
              <w:rPr>
                <w:rFonts w:hint="eastAsia" w:ascii="仿宋" w:hAnsi="仿宋" w:eastAsia="仿宋" w:cs="仿宋"/>
                <w:color w:val="auto"/>
                <w:kern w:val="0"/>
                <w:sz w:val="24"/>
                <w:szCs w:val="24"/>
                <w:highlight w:val="none"/>
              </w:rPr>
              <w:t>公共资源交易平台。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4.2.1</w:t>
            </w:r>
          </w:p>
        </w:tc>
        <w:tc>
          <w:tcPr>
            <w:tcW w:w="1721" w:type="dxa"/>
            <w:noWrap/>
            <w:vAlign w:val="center"/>
          </w:tcPr>
          <w:p>
            <w:pPr>
              <w:shd w:val="clear"/>
              <w:tabs>
                <w:tab w:val="left" w:pos="720"/>
              </w:tabs>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响应文件提交</w:t>
            </w:r>
            <w:r>
              <w:rPr>
                <w:rFonts w:hint="eastAsia" w:ascii="仿宋" w:hAnsi="仿宋" w:eastAsia="仿宋" w:cs="仿宋"/>
                <w:color w:val="auto"/>
                <w:spacing w:val="-2"/>
                <w:kern w:val="0"/>
                <w:sz w:val="24"/>
                <w:szCs w:val="24"/>
                <w:highlight w:val="none"/>
              </w:rPr>
              <w:t>截</w:t>
            </w:r>
            <w:r>
              <w:rPr>
                <w:rFonts w:hint="eastAsia" w:ascii="仿宋" w:hAnsi="仿宋" w:eastAsia="仿宋" w:cs="仿宋"/>
                <w:color w:val="auto"/>
                <w:kern w:val="0"/>
                <w:sz w:val="24"/>
                <w:szCs w:val="24"/>
                <w:highlight w:val="none"/>
              </w:rPr>
              <w:t>止</w:t>
            </w:r>
            <w:r>
              <w:rPr>
                <w:rFonts w:hint="eastAsia" w:ascii="仿宋" w:hAnsi="仿宋" w:eastAsia="仿宋" w:cs="仿宋"/>
                <w:color w:val="auto"/>
                <w:spacing w:val="-2"/>
                <w:kern w:val="0"/>
                <w:sz w:val="24"/>
                <w:szCs w:val="24"/>
                <w:highlight w:val="none"/>
              </w:rPr>
              <w:t>时</w:t>
            </w:r>
            <w:r>
              <w:rPr>
                <w:rFonts w:hint="eastAsia" w:ascii="仿宋" w:hAnsi="仿宋" w:eastAsia="仿宋" w:cs="仿宋"/>
                <w:color w:val="auto"/>
                <w:kern w:val="0"/>
                <w:sz w:val="24"/>
                <w:szCs w:val="24"/>
                <w:highlight w:val="none"/>
              </w:rPr>
              <w:t>间、地点</w:t>
            </w:r>
          </w:p>
        </w:tc>
        <w:tc>
          <w:tcPr>
            <w:tcW w:w="6543" w:type="dxa"/>
            <w:noWrap/>
            <w:vAlign w:val="center"/>
          </w:tcPr>
          <w:p>
            <w:pPr>
              <w:shd w:val="clear"/>
              <w:wordWrap w:val="0"/>
              <w:snapToGrid w:val="0"/>
              <w:spacing w:beforeLines="25" w:afterLines="25"/>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截止时间：2023年06月13日10时00分（北京时间）；</w:t>
            </w:r>
          </w:p>
          <w:p>
            <w:pPr>
              <w:shd w:val="clear"/>
              <w:wordWrap w:val="0"/>
              <w:snapToGrid w:val="0"/>
              <w:spacing w:beforeLines="25" w:afterLines="25"/>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递交地点：郑州市公共资源交易中心网（http://zzggzy.zhengzhou.gov.cn/）电子交易平台。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4.2.2</w:t>
            </w:r>
          </w:p>
        </w:tc>
        <w:tc>
          <w:tcPr>
            <w:tcW w:w="1721" w:type="dxa"/>
            <w:noWrap/>
            <w:vAlign w:val="center"/>
          </w:tcPr>
          <w:p>
            <w:pPr>
              <w:shd w:val="clear"/>
              <w:tabs>
                <w:tab w:val="left" w:pos="720"/>
              </w:tabs>
              <w:snapToGrid w:val="0"/>
              <w:spacing w:beforeLines="25" w:afterLines="25"/>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响应文件提交及方式</w:t>
            </w:r>
          </w:p>
        </w:tc>
        <w:tc>
          <w:tcPr>
            <w:tcW w:w="6543" w:type="dxa"/>
            <w:noWrap/>
            <w:vAlign w:val="center"/>
          </w:tcPr>
          <w:p>
            <w:pPr>
              <w:pStyle w:val="10"/>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在规定的递交截止时间前上传至郑州市公共资源交易平台。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5.1.1</w:t>
            </w:r>
          </w:p>
        </w:tc>
        <w:tc>
          <w:tcPr>
            <w:tcW w:w="1721" w:type="dxa"/>
            <w:noWrap/>
            <w:vAlign w:val="center"/>
          </w:tcPr>
          <w:p>
            <w:pPr>
              <w:shd w:val="clear"/>
              <w:wordWrap w:val="0"/>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开标时间及地点</w:t>
            </w:r>
          </w:p>
        </w:tc>
        <w:tc>
          <w:tcPr>
            <w:tcW w:w="6543" w:type="dxa"/>
            <w:noWrap/>
            <w:vAlign w:val="center"/>
          </w:tcPr>
          <w:p>
            <w:pPr>
              <w:shd w:val="clear"/>
              <w:wordWrap w:val="0"/>
              <w:snapToGrid w:val="0"/>
              <w:spacing w:beforeLines="25" w:afterLines="25"/>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时间：同响应文件递交截止时间；</w:t>
            </w:r>
          </w:p>
          <w:p>
            <w:pPr>
              <w:shd w:val="clear"/>
              <w:wordWrap w:val="0"/>
              <w:snapToGrid w:val="0"/>
              <w:spacing w:beforeLines="25" w:afterLines="25"/>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地点：郑州市公共资源交易中心关于不见面开标大厅（http://zzggzy.zhengzhou.gov.cn/BidOpening）。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5.3.1</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评审小组的组建</w:t>
            </w:r>
          </w:p>
        </w:tc>
        <w:tc>
          <w:tcPr>
            <w:tcW w:w="6543" w:type="dxa"/>
            <w:noWrap/>
            <w:vAlign w:val="center"/>
          </w:tcPr>
          <w:p>
            <w:pPr>
              <w:shd w:val="clear"/>
              <w:wordWrap w:val="0"/>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评标委员会由采购人代表和经济、技术类专家共5人组成，评标专家在开标前从政府采购评标专家库中随机抽取确定，其人数不低于评委总数的2/3。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6.4.1</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w:t>
            </w:r>
          </w:p>
        </w:tc>
        <w:tc>
          <w:tcPr>
            <w:tcW w:w="6543" w:type="dxa"/>
            <w:noWrap/>
            <w:vAlign w:val="center"/>
          </w:tcPr>
          <w:p>
            <w:p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6.6.1</w:t>
            </w:r>
          </w:p>
        </w:tc>
        <w:tc>
          <w:tcPr>
            <w:tcW w:w="1721" w:type="dxa"/>
            <w:noWrap/>
            <w:vAlign w:val="center"/>
          </w:tcPr>
          <w:p>
            <w:pPr>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第二阶段成交供应商的选定</w:t>
            </w:r>
          </w:p>
        </w:tc>
        <w:tc>
          <w:tcPr>
            <w:tcW w:w="6543" w:type="dxa"/>
            <w:noWrap/>
            <w:vAlign w:val="center"/>
          </w:tcPr>
          <w:p>
            <w:pPr>
              <w:shd w:val="clear"/>
              <w:wordWrap w:val="0"/>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1、确定方法：直接选定。</w:t>
            </w:r>
          </w:p>
          <w:p>
            <w:pPr>
              <w:shd w:val="clear"/>
              <w:wordWrap w:val="0"/>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2、确定方式：确定第二阶段成交供应商由采购人依据服务质量以及服务便利性、用户评价等因素，从第一阶段入围供应商中直接选定。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pStyle w:val="10"/>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8.1</w:t>
            </w:r>
          </w:p>
        </w:tc>
        <w:tc>
          <w:tcPr>
            <w:tcW w:w="1721" w:type="dxa"/>
            <w:noWrap/>
            <w:vAlign w:val="center"/>
          </w:tcPr>
          <w:p>
            <w:pPr>
              <w:shd w:val="clear"/>
              <w:wordWrap w:val="0"/>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采购代理服务费</w:t>
            </w:r>
          </w:p>
        </w:tc>
        <w:tc>
          <w:tcPr>
            <w:tcW w:w="6543" w:type="dxa"/>
            <w:noWrap/>
            <w:vAlign w:val="center"/>
          </w:tcPr>
          <w:p>
            <w:pPr>
              <w:shd w:val="clear"/>
              <w:adjustRightInd w:val="0"/>
              <w:snapToGrid w:val="0"/>
              <w:spacing w:beforeLines="25" w:afterLines="25"/>
              <w:ind w:right="63" w:rightChars="30"/>
              <w:jc w:val="left"/>
              <w:textAlignment w:val="baseline"/>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每家入围单位按5000元收取，应在领取中标通知书前缴纳。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1058" w:type="dxa"/>
            <w:noWrap/>
            <w:vAlign w:val="center"/>
          </w:tcPr>
          <w:p>
            <w:pPr>
              <w:pStyle w:val="10"/>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8.2</w:t>
            </w:r>
          </w:p>
        </w:tc>
        <w:tc>
          <w:tcPr>
            <w:tcW w:w="1721" w:type="dxa"/>
            <w:noWrap/>
            <w:vAlign w:val="center"/>
          </w:tcPr>
          <w:p>
            <w:pPr>
              <w:widowControl/>
              <w:shd w:val="clear"/>
              <w:snapToGrid w:val="0"/>
              <w:spacing w:beforeLines="25" w:afterLines="25"/>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质疑</w:t>
            </w:r>
          </w:p>
        </w:tc>
        <w:tc>
          <w:tcPr>
            <w:tcW w:w="6543" w:type="dxa"/>
            <w:noWrap/>
            <w:vAlign w:val="center"/>
          </w:tcPr>
          <w:p>
            <w:pPr>
              <w:widowControl/>
              <w:numPr>
                <w:ilvl w:val="0"/>
                <w:numId w:val="2"/>
              </w:numPr>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认为自己的权益受到损害的，可以在知道或者应知其权益受到损害之日起七个工作日内，按照《政府采购质疑和投诉办法》（中华人民共和国财政部令94号）以书面形式向征集人或采购代理机构提出质疑（邮寄件、传真件不予受理），逾期不再接收。</w:t>
            </w:r>
          </w:p>
          <w:p>
            <w:pPr>
              <w:pStyle w:val="10"/>
              <w:shd w:val="clear"/>
              <w:snapToGrid w:val="0"/>
              <w:spacing w:beforeLines="25" w:afterLines="25"/>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二、在法定质疑期内供应商针对同一采购程序环节的质疑应当一次性提出。（采购程序环节分为：</w:t>
            </w:r>
            <w:r>
              <w:rPr>
                <w:rFonts w:hint="eastAsia" w:ascii="仿宋" w:hAnsi="仿宋" w:eastAsia="仿宋" w:cs="仿宋"/>
                <w:color w:val="auto"/>
                <w:kern w:val="0"/>
                <w:sz w:val="24"/>
                <w:szCs w:val="24"/>
                <w:highlight w:val="none"/>
              </w:rPr>
              <w:t>征集</w:t>
            </w:r>
            <w:r>
              <w:rPr>
                <w:rFonts w:hint="eastAsia" w:ascii="仿宋" w:hAnsi="仿宋" w:eastAsia="仿宋" w:cs="仿宋"/>
                <w:color w:val="auto"/>
                <w:sz w:val="24"/>
                <w:szCs w:val="24"/>
                <w:highlight w:val="none"/>
              </w:rPr>
              <w:t>公告、征集文件、征集过程、入围结果）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ign w:val="center"/>
          </w:tcPr>
          <w:p>
            <w:pPr>
              <w:pStyle w:val="10"/>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8.3</w:t>
            </w:r>
          </w:p>
        </w:tc>
        <w:tc>
          <w:tcPr>
            <w:tcW w:w="1721" w:type="dxa"/>
            <w:noWrap/>
            <w:vAlign w:val="center"/>
          </w:tcPr>
          <w:p>
            <w:pPr>
              <w:pStyle w:val="10"/>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征集文件解释</w:t>
            </w:r>
          </w:p>
        </w:tc>
        <w:tc>
          <w:tcPr>
            <w:tcW w:w="6543" w:type="dxa"/>
            <w:noWrap/>
            <w:vAlign w:val="center"/>
          </w:tcPr>
          <w:p>
            <w:pPr>
              <w:pStyle w:val="10"/>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构成本征集文件的各个组成文件应互为解释，互为说明；如有不明确或不一致，构成合同文件组成内容的，以合同文件约定内容为准，除征集文件中有特别规定外，仅适用于框架协议采购第一阶段的规定，按征集公告、供应商须知、评审方法、响应文件格式的先后顺序解释；同一组成文件中就同一事项的规定或约定不一致的，以编排顺序在后者为准；同一组成文件不同版本之间有不一致的，以形成时间在后者为准。按本款前述规定仍不能形成结论的，由征集人负责解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vAlign w:val="center"/>
          </w:tcPr>
          <w:p>
            <w:pPr>
              <w:pStyle w:val="10"/>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8.4</w:t>
            </w:r>
          </w:p>
        </w:tc>
        <w:tc>
          <w:tcPr>
            <w:tcW w:w="1721" w:type="dxa"/>
            <w:vAlign w:val="center"/>
          </w:tcPr>
          <w:p>
            <w:pPr>
              <w:widowControl/>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付款方式</w:t>
            </w:r>
          </w:p>
        </w:tc>
        <w:tc>
          <w:tcPr>
            <w:tcW w:w="6543" w:type="dxa"/>
            <w:vAlign w:val="center"/>
          </w:tcPr>
          <w:p>
            <w:pPr>
              <w:widowControl/>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A包直接以采购文件约定的计费基数作为单项合同价计算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B包直接以采购文件约定的计费基数作为单项合同价计算。</w:t>
            </w:r>
            <w:r>
              <w:rPr>
                <w:rFonts w:hint="eastAsia" w:ascii="仿宋" w:hAnsi="仿宋" w:eastAsia="仿宋" w:cs="仿宋"/>
                <w:color w:val="auto"/>
                <w:sz w:val="24"/>
                <w:szCs w:val="24"/>
                <w:highlight w:val="none"/>
              </w:rPr>
              <w:t>供应商提交单项成果文件</w:t>
            </w:r>
            <w:r>
              <w:rPr>
                <w:rFonts w:hint="eastAsia" w:ascii="仿宋" w:hAnsi="仿宋" w:eastAsia="仿宋" w:cs="仿宋"/>
                <w:color w:val="auto"/>
                <w:sz w:val="24"/>
                <w:szCs w:val="24"/>
                <w:highlight w:val="none"/>
                <w:lang w:val="en-US" w:eastAsia="zh-CN"/>
              </w:rPr>
              <w:t>材料</w:t>
            </w:r>
            <w:r>
              <w:rPr>
                <w:rFonts w:hint="eastAsia" w:ascii="仿宋" w:hAnsi="仿宋" w:eastAsia="仿宋" w:cs="仿宋"/>
                <w:color w:val="auto"/>
                <w:sz w:val="24"/>
                <w:szCs w:val="24"/>
                <w:highlight w:val="none"/>
              </w:rPr>
              <w:t>，验收合格并接收后，采购人支付单项合同价款。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vAlign w:val="center"/>
          </w:tcPr>
          <w:p>
            <w:pPr>
              <w:pStyle w:val="10"/>
              <w:shd w:val="clear"/>
              <w:snapToGrid w:val="0"/>
              <w:spacing w:beforeLines="25" w:afterLines="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8.5</w:t>
            </w:r>
          </w:p>
        </w:tc>
        <w:tc>
          <w:tcPr>
            <w:tcW w:w="1721" w:type="dxa"/>
            <w:vAlign w:val="center"/>
          </w:tcPr>
          <w:p>
            <w:pPr>
              <w:widowControl/>
              <w:shd w:val="clear"/>
              <w:snapToGrid w:val="0"/>
              <w:spacing w:beforeLines="25" w:afterLines="25"/>
              <w:jc w:val="cente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其他</w:t>
            </w:r>
          </w:p>
        </w:tc>
        <w:tc>
          <w:tcPr>
            <w:tcW w:w="6543" w:type="dxa"/>
            <w:vAlign w:val="center"/>
          </w:tcPr>
          <w:p>
            <w:pPr>
              <w:widowControl/>
              <w:shd w:val="clear"/>
              <w:snapToGrid w:val="0"/>
              <w:spacing w:beforeLines="25" w:afterLines="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本项目采购标的属于</w:t>
            </w:r>
            <w:r>
              <w:rPr>
                <w:rFonts w:hint="eastAsia" w:ascii="仿宋" w:hAnsi="仿宋" w:eastAsia="仿宋" w:cs="仿宋"/>
                <w:b/>
                <w:bCs/>
                <w:color w:val="auto"/>
                <w:sz w:val="24"/>
                <w:szCs w:val="24"/>
                <w:highlight w:val="none"/>
              </w:rPr>
              <w:t>其他未列明行业</w:t>
            </w:r>
            <w:r>
              <w:rPr>
                <w:rFonts w:hint="eastAsia" w:ascii="仿宋" w:hAnsi="仿宋" w:eastAsia="仿宋" w:cs="仿宋"/>
                <w:color w:val="auto"/>
                <w:sz w:val="24"/>
                <w:szCs w:val="24"/>
                <w:highlight w:val="none"/>
              </w:rPr>
              <w:t>。</w:t>
            </w:r>
          </w:p>
        </w:tc>
      </w:tr>
    </w:tbl>
    <w:p>
      <w:pPr>
        <w:shd w:val="clear"/>
        <w:rPr>
          <w:rFonts w:ascii="仿宋" w:hAnsi="仿宋" w:eastAsia="仿宋" w:cs="仿宋"/>
          <w:vanish/>
          <w:color w:val="auto"/>
          <w:highlight w:val="none"/>
        </w:rPr>
      </w:pPr>
    </w:p>
    <w:p>
      <w:pPr>
        <w:shd w:val="clear"/>
        <w:rPr>
          <w:rFonts w:ascii="仿宋" w:hAnsi="仿宋" w:eastAsia="仿宋" w:cs="仿宋"/>
          <w:b/>
          <w:bCs/>
          <w:color w:val="auto"/>
          <w:sz w:val="28"/>
          <w:szCs w:val="28"/>
          <w:highlight w:val="none"/>
        </w:rPr>
      </w:pPr>
      <w:bookmarkStart w:id="5" w:name="_Toc312133543"/>
      <w:r>
        <w:rPr>
          <w:rFonts w:hint="eastAsia" w:ascii="仿宋" w:hAnsi="仿宋" w:eastAsia="仿宋" w:cs="仿宋"/>
          <w:b/>
          <w:bCs/>
          <w:color w:val="auto"/>
          <w:sz w:val="28"/>
          <w:szCs w:val="28"/>
          <w:highlight w:val="none"/>
        </w:rPr>
        <w:br w:type="page"/>
      </w:r>
    </w:p>
    <w:p>
      <w:pPr>
        <w:shd w:val="clear"/>
        <w:rPr>
          <w:rFonts w:ascii="仿宋" w:hAnsi="仿宋" w:eastAsia="仿宋" w:cs="仿宋"/>
          <w:color w:val="auto"/>
          <w:highlight w:val="none"/>
        </w:rPr>
      </w:pPr>
    </w:p>
    <w:p>
      <w:pPr>
        <w:shd w:val="clear"/>
        <w:spacing w:line="360" w:lineRule="auto"/>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中原区政府采购合同融资政策告知函</w:t>
      </w:r>
    </w:p>
    <w:p>
      <w:pPr>
        <w:shd w:val="clear"/>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各供应商：</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欢迎贵公司参与中原区政府采购活动！</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政府采购合同融资是中原区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和《郑州市财政局关于加强和推进政府采购合同融资工作的通知》（郑财购[2018]4号），按照双方自愿的原则提供便捷、优惠的贷款服务。</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贷款渠道和提供贷款的金融机构，可在郑州市政府采购网“河南省政府采购合同融资平台”查询联系。</w:t>
      </w:r>
    </w:p>
    <w:p>
      <w:pPr>
        <w:shd w:val="clear"/>
        <w:rPr>
          <w:rFonts w:ascii="仿宋" w:hAnsi="仿宋" w:eastAsia="仿宋" w:cs="仿宋"/>
          <w:color w:val="auto"/>
          <w:szCs w:val="21"/>
          <w:highlight w:val="none"/>
        </w:rPr>
      </w:pPr>
      <w:r>
        <w:rPr>
          <w:rFonts w:hint="eastAsia" w:ascii="仿宋" w:hAnsi="仿宋" w:eastAsia="仿宋" w:cs="仿宋"/>
          <w:color w:val="auto"/>
          <w:szCs w:val="21"/>
          <w:highlight w:val="none"/>
        </w:rPr>
        <w:br w:type="page"/>
      </w:r>
    </w:p>
    <w:p>
      <w:pPr>
        <w:shd w:val="clear"/>
        <w:rPr>
          <w:rFonts w:ascii="仿宋" w:hAnsi="仿宋" w:eastAsia="仿宋" w:cs="仿宋"/>
          <w:color w:val="auto"/>
          <w:highlight w:val="none"/>
        </w:rPr>
      </w:pPr>
    </w:p>
    <w:p>
      <w:pPr>
        <w:pStyle w:val="5"/>
        <w:numPr>
          <w:ilvl w:val="0"/>
          <w:numId w:val="3"/>
        </w:numPr>
        <w:shd w:val="clear"/>
        <w:tabs>
          <w:tab w:val="left" w:pos="721"/>
          <w:tab w:val="left" w:pos="2880"/>
          <w:tab w:val="left" w:pos="3780"/>
          <w:tab w:val="clear" w:pos="567"/>
        </w:tabs>
        <w:spacing w:before="0" w:after="0" w:line="360" w:lineRule="auto"/>
        <w:ind w:left="0" w:firstLine="482" w:firstLineChars="200"/>
        <w:jc w:val="left"/>
        <w:rPr>
          <w:rFonts w:ascii="仿宋" w:hAnsi="仿宋" w:eastAsia="仿宋" w:cs="仿宋"/>
          <w:color w:val="auto"/>
          <w:sz w:val="24"/>
          <w:szCs w:val="24"/>
          <w:highlight w:val="none"/>
        </w:rPr>
      </w:pPr>
      <w:bookmarkStart w:id="6" w:name="_Toc20772"/>
      <w:r>
        <w:rPr>
          <w:rFonts w:hint="eastAsia" w:ascii="仿宋" w:hAnsi="仿宋" w:eastAsia="仿宋" w:cs="仿宋"/>
          <w:color w:val="auto"/>
          <w:sz w:val="24"/>
          <w:szCs w:val="24"/>
          <w:highlight w:val="none"/>
        </w:rPr>
        <w:t>总则</w:t>
      </w:r>
      <w:bookmarkEnd w:id="5"/>
      <w:bookmarkEnd w:id="6"/>
    </w:p>
    <w:p>
      <w:pPr>
        <w:pStyle w:val="6"/>
        <w:numPr>
          <w:ilvl w:val="1"/>
          <w:numId w:val="4"/>
        </w:numPr>
        <w:shd w:val="clear"/>
        <w:spacing w:before="0" w:after="0" w:line="360" w:lineRule="auto"/>
        <w:ind w:firstLine="482" w:firstLineChars="200"/>
        <w:rPr>
          <w:rFonts w:ascii="仿宋" w:hAnsi="仿宋" w:eastAsia="仿宋" w:cs="仿宋"/>
          <w:color w:val="auto"/>
          <w:sz w:val="24"/>
          <w:szCs w:val="24"/>
          <w:highlight w:val="none"/>
        </w:rPr>
      </w:pPr>
      <w:bookmarkStart w:id="7" w:name="_Toc31179"/>
      <w:bookmarkStart w:id="8" w:name="_Toc4828"/>
      <w:bookmarkStart w:id="9" w:name="_Toc991"/>
      <w:bookmarkStart w:id="10" w:name="_Toc5358"/>
      <w:bookmarkStart w:id="11" w:name="_Toc24769"/>
      <w:bookmarkStart w:id="12" w:name="_Toc17878"/>
      <w:bookmarkStart w:id="13" w:name="_Toc20743"/>
      <w:bookmarkStart w:id="14" w:name="_Toc18176"/>
      <w:bookmarkStart w:id="15" w:name="_Toc14496"/>
      <w:bookmarkStart w:id="16" w:name="_Toc4908"/>
      <w:bookmarkStart w:id="17" w:name="_Toc30513"/>
      <w:bookmarkStart w:id="18" w:name="_Toc28200"/>
      <w:bookmarkStart w:id="19" w:name="_Toc28377"/>
      <w:bookmarkStart w:id="20" w:name="_Toc8395"/>
      <w:r>
        <w:rPr>
          <w:rFonts w:hint="eastAsia" w:ascii="仿宋" w:hAnsi="仿宋" w:eastAsia="仿宋" w:cs="仿宋"/>
          <w:color w:val="auto"/>
          <w:sz w:val="24"/>
          <w:szCs w:val="24"/>
          <w:highlight w:val="none"/>
        </w:rPr>
        <w:t>适用范围</w:t>
      </w:r>
      <w:bookmarkEnd w:id="7"/>
      <w:bookmarkEnd w:id="8"/>
      <w:bookmarkEnd w:id="9"/>
      <w:bookmarkEnd w:id="10"/>
      <w:bookmarkEnd w:id="11"/>
      <w:bookmarkEnd w:id="12"/>
      <w:bookmarkEnd w:id="13"/>
      <w:bookmarkEnd w:id="14"/>
      <w:bookmarkEnd w:id="15"/>
      <w:bookmarkEnd w:id="16"/>
      <w:bookmarkEnd w:id="17"/>
      <w:bookmarkEnd w:id="18"/>
      <w:bookmarkEnd w:id="19"/>
      <w:bookmarkEnd w:id="20"/>
    </w:p>
    <w:p>
      <w:pPr>
        <w:numPr>
          <w:ilvl w:val="2"/>
          <w:numId w:val="4"/>
        </w:numPr>
        <w:shd w:val="clear"/>
        <w:topLinePunct/>
        <w:spacing w:line="360" w:lineRule="auto"/>
        <w:ind w:firstLine="480" w:firstLineChars="200"/>
        <w:jc w:val="left"/>
        <w:rPr>
          <w:rFonts w:ascii="仿宋" w:hAnsi="仿宋" w:eastAsia="仿宋" w:cs="仿宋"/>
          <w:color w:val="auto"/>
          <w:kern w:val="0"/>
          <w:sz w:val="24"/>
          <w:szCs w:val="24"/>
          <w:highlight w:val="none"/>
        </w:rPr>
      </w:pPr>
      <w:bookmarkStart w:id="21" w:name="_Toc31067"/>
      <w:bookmarkStart w:id="22" w:name="_Toc29433"/>
      <w:bookmarkStart w:id="23" w:name="_Toc14116"/>
      <w:bookmarkStart w:id="24" w:name="_Toc13223"/>
      <w:bookmarkStart w:id="25" w:name="_Toc23240"/>
      <w:bookmarkStart w:id="26" w:name="_Toc2056"/>
      <w:bookmarkStart w:id="27" w:name="_Toc17774"/>
      <w:bookmarkStart w:id="28" w:name="_Toc13726"/>
      <w:bookmarkStart w:id="29" w:name="_Toc17529"/>
      <w:bookmarkStart w:id="30" w:name="_Toc13473"/>
      <w:r>
        <w:rPr>
          <w:rFonts w:hint="eastAsia" w:ascii="仿宋" w:hAnsi="仿宋" w:eastAsia="仿宋" w:cs="仿宋"/>
          <w:color w:val="auto"/>
          <w:kern w:val="0"/>
          <w:sz w:val="24"/>
          <w:szCs w:val="24"/>
          <w:highlight w:val="none"/>
        </w:rPr>
        <w:t>根据《中华人民共和国政府采购法》、《中华人民共和国政府采购法实施条例》、《政府采购框架协议采购方式管理暂行办法》等有关法律、法规和规章的规定，就本项目进行框架协议采购。</w:t>
      </w:r>
    </w:p>
    <w:p>
      <w:pPr>
        <w:numPr>
          <w:ilvl w:val="2"/>
          <w:numId w:val="4"/>
        </w:numPr>
        <w:shd w:val="clear"/>
        <w:topLinePunct/>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本采购项目采购人：见供应商须知前附表。</w:t>
      </w:r>
    </w:p>
    <w:p>
      <w:pPr>
        <w:numPr>
          <w:ilvl w:val="2"/>
          <w:numId w:val="4"/>
        </w:numPr>
        <w:shd w:val="clear"/>
        <w:topLinePunct/>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本采购项目采购代理机构：见供应商须知前附表。</w:t>
      </w:r>
    </w:p>
    <w:p>
      <w:pPr>
        <w:numPr>
          <w:ilvl w:val="2"/>
          <w:numId w:val="4"/>
        </w:numPr>
        <w:shd w:val="clear"/>
        <w:topLinePunct/>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本采购项目名称：见供应商须知前附表。</w:t>
      </w:r>
    </w:p>
    <w:p>
      <w:pPr>
        <w:numPr>
          <w:ilvl w:val="2"/>
          <w:numId w:val="4"/>
        </w:numPr>
        <w:shd w:val="clear"/>
        <w:topLinePunct/>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本采购项目适用框架协议的服务对象范围：见供应商须知前附表。</w:t>
      </w:r>
    </w:p>
    <w:bookmarkEnd w:id="21"/>
    <w:bookmarkEnd w:id="22"/>
    <w:bookmarkEnd w:id="23"/>
    <w:bookmarkEnd w:id="24"/>
    <w:bookmarkEnd w:id="25"/>
    <w:bookmarkEnd w:id="26"/>
    <w:bookmarkEnd w:id="27"/>
    <w:bookmarkEnd w:id="28"/>
    <w:bookmarkEnd w:id="29"/>
    <w:bookmarkEnd w:id="30"/>
    <w:p>
      <w:pPr>
        <w:pStyle w:val="6"/>
        <w:numPr>
          <w:ilvl w:val="1"/>
          <w:numId w:val="4"/>
        </w:numPr>
        <w:shd w:val="clear"/>
        <w:spacing w:before="0" w:after="0" w:line="360" w:lineRule="auto"/>
        <w:ind w:firstLine="482" w:firstLineChars="200"/>
        <w:rPr>
          <w:rFonts w:ascii="仿宋" w:hAnsi="仿宋" w:eastAsia="仿宋" w:cs="仿宋"/>
          <w:color w:val="auto"/>
          <w:sz w:val="24"/>
          <w:szCs w:val="24"/>
          <w:highlight w:val="none"/>
        </w:rPr>
      </w:pPr>
      <w:bookmarkStart w:id="31" w:name="_Toc25175"/>
      <w:bookmarkStart w:id="32" w:name="_Toc19054"/>
      <w:bookmarkStart w:id="33" w:name="_Toc16391"/>
      <w:bookmarkStart w:id="34" w:name="_Toc1133"/>
      <w:r>
        <w:rPr>
          <w:rFonts w:hint="eastAsia" w:ascii="仿宋" w:hAnsi="仿宋" w:eastAsia="仿宋" w:cs="仿宋"/>
          <w:color w:val="auto"/>
          <w:sz w:val="24"/>
          <w:szCs w:val="24"/>
          <w:highlight w:val="none"/>
        </w:rPr>
        <w:t>资金来源</w:t>
      </w:r>
      <w:bookmarkEnd w:id="31"/>
      <w:bookmarkEnd w:id="32"/>
      <w:bookmarkEnd w:id="33"/>
      <w:bookmarkEnd w:id="34"/>
    </w:p>
    <w:p>
      <w:pPr>
        <w:numPr>
          <w:ilvl w:val="2"/>
          <w:numId w:val="4"/>
        </w:numPr>
        <w:shd w:val="clear"/>
        <w:topLinePunct/>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资金来源：见供应商须知前附表。</w:t>
      </w:r>
    </w:p>
    <w:p>
      <w:pPr>
        <w:pStyle w:val="6"/>
        <w:numPr>
          <w:ilvl w:val="1"/>
          <w:numId w:val="4"/>
        </w:numPr>
        <w:shd w:val="clear"/>
        <w:spacing w:before="0" w:after="0" w:line="360" w:lineRule="auto"/>
        <w:ind w:firstLine="482" w:firstLineChars="200"/>
        <w:rPr>
          <w:rFonts w:ascii="仿宋" w:hAnsi="仿宋" w:eastAsia="仿宋" w:cs="仿宋"/>
          <w:color w:val="auto"/>
          <w:sz w:val="24"/>
          <w:szCs w:val="24"/>
          <w:highlight w:val="none"/>
        </w:rPr>
      </w:pPr>
      <w:bookmarkStart w:id="35" w:name="_Toc10455"/>
      <w:bookmarkStart w:id="36" w:name="_Toc29356"/>
      <w:bookmarkStart w:id="37" w:name="_Toc8288"/>
      <w:bookmarkStart w:id="38" w:name="_Toc9369"/>
      <w:bookmarkStart w:id="39" w:name="_Toc12478"/>
      <w:bookmarkStart w:id="40" w:name="_Toc14822"/>
      <w:r>
        <w:rPr>
          <w:rFonts w:hint="eastAsia" w:ascii="仿宋" w:hAnsi="仿宋" w:eastAsia="仿宋" w:cs="仿宋"/>
          <w:color w:val="auto"/>
          <w:sz w:val="24"/>
          <w:szCs w:val="24"/>
          <w:highlight w:val="none"/>
        </w:rPr>
        <w:t>采购范围、费用结算标准、框架协议服务期限及</w:t>
      </w:r>
      <w:bookmarkEnd w:id="35"/>
      <w:bookmarkEnd w:id="36"/>
      <w:r>
        <w:rPr>
          <w:rFonts w:hint="eastAsia" w:ascii="仿宋" w:hAnsi="仿宋" w:eastAsia="仿宋" w:cs="仿宋"/>
          <w:color w:val="auto"/>
          <w:sz w:val="24"/>
          <w:szCs w:val="24"/>
          <w:highlight w:val="none"/>
        </w:rPr>
        <w:t>服务</w:t>
      </w:r>
      <w:bookmarkEnd w:id="37"/>
      <w:bookmarkEnd w:id="38"/>
      <w:bookmarkEnd w:id="39"/>
      <w:r>
        <w:rPr>
          <w:rFonts w:hint="eastAsia" w:ascii="仿宋" w:hAnsi="仿宋" w:eastAsia="仿宋" w:cs="仿宋"/>
          <w:color w:val="auto"/>
          <w:sz w:val="24"/>
          <w:szCs w:val="24"/>
          <w:highlight w:val="none"/>
        </w:rPr>
        <w:t>标准</w:t>
      </w:r>
      <w:bookmarkEnd w:id="40"/>
    </w:p>
    <w:p>
      <w:pPr>
        <w:numPr>
          <w:ilvl w:val="2"/>
          <w:numId w:val="4"/>
        </w:numPr>
        <w:shd w:val="clear"/>
        <w:topLinePunct/>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采购范围：见供应商须知前附表。</w:t>
      </w:r>
    </w:p>
    <w:p>
      <w:pPr>
        <w:numPr>
          <w:ilvl w:val="2"/>
          <w:numId w:val="4"/>
        </w:numPr>
        <w:shd w:val="clear"/>
        <w:topLinePunct/>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审计费用结算标准：见供应商须知前附表。</w:t>
      </w:r>
    </w:p>
    <w:p>
      <w:pPr>
        <w:numPr>
          <w:ilvl w:val="2"/>
          <w:numId w:val="4"/>
        </w:numPr>
        <w:shd w:val="clear"/>
        <w:topLinePunct/>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框架协议期限：见供应商须知前附表。</w:t>
      </w:r>
    </w:p>
    <w:p>
      <w:pPr>
        <w:numPr>
          <w:ilvl w:val="2"/>
          <w:numId w:val="4"/>
        </w:numPr>
        <w:shd w:val="clear"/>
        <w:topLinePunct/>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服务标准</w:t>
      </w:r>
      <w:r>
        <w:rPr>
          <w:rFonts w:hint="eastAsia" w:ascii="仿宋" w:hAnsi="仿宋" w:eastAsia="仿宋" w:cs="仿宋"/>
          <w:color w:val="auto"/>
          <w:kern w:val="0"/>
          <w:sz w:val="24"/>
          <w:szCs w:val="24"/>
          <w:highlight w:val="none"/>
        </w:rPr>
        <w:t>：见供应商须知前附表。</w:t>
      </w:r>
    </w:p>
    <w:p>
      <w:pPr>
        <w:pStyle w:val="6"/>
        <w:numPr>
          <w:ilvl w:val="1"/>
          <w:numId w:val="4"/>
        </w:numPr>
        <w:shd w:val="clear"/>
        <w:spacing w:before="0" w:after="0" w:line="360" w:lineRule="auto"/>
        <w:ind w:firstLine="482" w:firstLineChars="200"/>
        <w:rPr>
          <w:rFonts w:ascii="仿宋" w:hAnsi="仿宋" w:eastAsia="仿宋" w:cs="仿宋"/>
          <w:color w:val="auto"/>
          <w:sz w:val="24"/>
          <w:szCs w:val="24"/>
          <w:highlight w:val="none"/>
        </w:rPr>
      </w:pPr>
      <w:bookmarkStart w:id="41" w:name="_Toc25730"/>
      <w:bookmarkStart w:id="42" w:name="_Toc12303"/>
      <w:bookmarkStart w:id="43" w:name="_Toc15768"/>
      <w:bookmarkStart w:id="44" w:name="_Toc10971"/>
      <w:bookmarkStart w:id="45" w:name="_Toc5513"/>
      <w:bookmarkStart w:id="46" w:name="_Toc13920"/>
      <w:r>
        <w:rPr>
          <w:rFonts w:hint="eastAsia" w:ascii="仿宋" w:hAnsi="仿宋" w:eastAsia="仿宋" w:cs="仿宋"/>
          <w:color w:val="auto"/>
          <w:sz w:val="24"/>
          <w:szCs w:val="24"/>
          <w:highlight w:val="none"/>
        </w:rPr>
        <w:t>供应商资格要求</w:t>
      </w:r>
      <w:bookmarkEnd w:id="41"/>
      <w:bookmarkEnd w:id="42"/>
      <w:bookmarkEnd w:id="43"/>
      <w:bookmarkEnd w:id="44"/>
      <w:bookmarkEnd w:id="45"/>
      <w:bookmarkEnd w:id="46"/>
    </w:p>
    <w:p>
      <w:pPr>
        <w:numPr>
          <w:ilvl w:val="2"/>
          <w:numId w:val="4"/>
        </w:numPr>
        <w:shd w:val="clear"/>
        <w:topLinePunct/>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供应商资格要求：见供应商须知前附表1.4.1。</w:t>
      </w:r>
    </w:p>
    <w:p>
      <w:pPr>
        <w:numPr>
          <w:ilvl w:val="2"/>
          <w:numId w:val="4"/>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本项目不接受联合体入围。</w:t>
      </w:r>
    </w:p>
    <w:p>
      <w:pPr>
        <w:numPr>
          <w:ilvl w:val="2"/>
          <w:numId w:val="4"/>
        </w:numPr>
        <w:shd w:val="clear"/>
        <w:topLinePunct/>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供应商不得存在下列情形之一：</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为采购人不具有独立法人资格的附属机构；</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与采购人存在利害关系且可能影响采购公正性；</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与本采购项目的其他供应商为同一个单位负责人；</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与本采购项目的其他供应商存在控股、管理关系；</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为本采购项目提供过整体设计、规范编制或者项目管理、监理、检测等服务；</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为本采购项目的采购代理机构；</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与本采购项目的代建人或采购代理机构同为一个法定代表人；</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与本采购项目的代建人或采购代理机构存在控股或参股关系；</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被依法暂停或者取消投标资格；</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10</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被责令停产停业、暂扣或者吊销许可证、暂扣或者吊销执照；</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11</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进入清算程序，或被宣告破产，或其他丧失履约能力的情形；</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12</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供应商以他人名义投标、串通投标、以行贿手段牟取中标，或在投标中弄虚作假的；</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13</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服务期内，与单项审计项目中的被审计单位或与单项审计项目直接有关的建设、施工、监理等单位存在控股、管理等关联关系，或在被审计单位或在单项审计项目直接有关的建设、施工、监理等单位有任职高管，未主动提出回避</w:t>
      </w:r>
      <w:r>
        <w:rPr>
          <w:rFonts w:hint="eastAsia" w:ascii="仿宋" w:hAnsi="仿宋" w:eastAsia="仿宋" w:cs="仿宋"/>
          <w:color w:val="auto"/>
          <w:kern w:val="0"/>
          <w:sz w:val="24"/>
          <w:szCs w:val="24"/>
          <w:highlight w:val="none"/>
          <w:lang w:val="en-US" w:eastAsia="zh-CN"/>
        </w:rPr>
        <w:t>而</w:t>
      </w:r>
      <w:r>
        <w:rPr>
          <w:rFonts w:hint="eastAsia" w:ascii="仿宋" w:hAnsi="仿宋" w:eastAsia="仿宋" w:cs="仿宋"/>
          <w:color w:val="auto"/>
          <w:kern w:val="0"/>
          <w:sz w:val="24"/>
          <w:szCs w:val="24"/>
          <w:highlight w:val="none"/>
        </w:rPr>
        <w:t>承接该项目审计服务的；</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14</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在近三年内投标人有行贿犯罪行为的；</w:t>
      </w:r>
    </w:p>
    <w:p>
      <w:pPr>
        <w:numPr>
          <w:numId w:val="0"/>
        </w:numPr>
        <w:shd w:val="clear"/>
        <w:topLinePunct/>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15</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法律法规规定的其他情形。</w:t>
      </w:r>
    </w:p>
    <w:p>
      <w:pPr>
        <w:keepNext w:val="0"/>
        <w:keepLines w:val="0"/>
        <w:pageBreakBefore w:val="0"/>
        <w:widowControl w:val="0"/>
        <w:numPr>
          <w:numId w:val="0"/>
        </w:numPr>
        <w:shd w:val="clear"/>
        <w:kinsoku/>
        <w:wordWrap/>
        <w:overflowPunct/>
        <w:topLinePunct/>
        <w:autoSpaceDE/>
        <w:autoSpaceDN/>
        <w:bidi w:val="0"/>
        <w:adjustRightInd w:val="0"/>
        <w:snapToGrid/>
        <w:spacing w:line="360" w:lineRule="auto"/>
        <w:ind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根据《河南省财政厅关于防范供应商串通投标促进政府采购公平竞争的通知》豫财购〔2021〕6号文件要求，供应商存在下列情形之一的，其投标（响应）文件无效：</w:t>
      </w:r>
    </w:p>
    <w:p>
      <w:pPr>
        <w:keepNext w:val="0"/>
        <w:keepLines w:val="0"/>
        <w:pageBreakBefore w:val="0"/>
        <w:widowControl w:val="0"/>
        <w:numPr>
          <w:numId w:val="0"/>
        </w:numPr>
        <w:shd w:val="clear"/>
        <w:kinsoku/>
        <w:wordWrap/>
        <w:overflowPunct/>
        <w:topLinePunct/>
        <w:autoSpaceDE/>
        <w:autoSpaceDN/>
        <w:bidi w:val="0"/>
        <w:adjustRightInd w:val="0"/>
        <w:snapToGrid/>
        <w:spacing w:line="360" w:lineRule="auto"/>
        <w:ind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（1）不同供应商的电子投标（响应）文件上传计算机的网卡MAC地址、CPU序列号和硬盘序列号等硬件信息相同的；</w:t>
      </w:r>
    </w:p>
    <w:p>
      <w:pPr>
        <w:keepNext w:val="0"/>
        <w:keepLines w:val="0"/>
        <w:pageBreakBefore w:val="0"/>
        <w:widowControl w:val="0"/>
        <w:numPr>
          <w:numId w:val="0"/>
        </w:numPr>
        <w:shd w:val="clear"/>
        <w:kinsoku/>
        <w:wordWrap/>
        <w:overflowPunct/>
        <w:topLinePunct/>
        <w:autoSpaceDE/>
        <w:autoSpaceDN/>
        <w:bidi w:val="0"/>
        <w:adjustRightInd w:val="0"/>
        <w:snapToGrid/>
        <w:spacing w:line="360" w:lineRule="auto"/>
        <w:ind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（2）不同供应商的投标（响应）文件由同一电子设备编制、打印加密或者上传；</w:t>
      </w:r>
    </w:p>
    <w:p>
      <w:pPr>
        <w:keepNext w:val="0"/>
        <w:keepLines w:val="0"/>
        <w:pageBreakBefore w:val="0"/>
        <w:widowControl w:val="0"/>
        <w:numPr>
          <w:numId w:val="0"/>
        </w:numPr>
        <w:shd w:val="clear"/>
        <w:kinsoku/>
        <w:wordWrap/>
        <w:overflowPunct/>
        <w:topLinePunct/>
        <w:autoSpaceDE/>
        <w:autoSpaceDN/>
        <w:bidi w:val="0"/>
        <w:adjustRightInd w:val="0"/>
        <w:snapToGrid/>
        <w:spacing w:line="360" w:lineRule="auto"/>
        <w:ind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（3）不同供应商的投标（响应）文件由同一电子设备打印、复印；</w:t>
      </w:r>
    </w:p>
    <w:p>
      <w:pPr>
        <w:keepNext w:val="0"/>
        <w:keepLines w:val="0"/>
        <w:pageBreakBefore w:val="0"/>
        <w:widowControl w:val="0"/>
        <w:numPr>
          <w:numId w:val="0"/>
        </w:numPr>
        <w:shd w:val="clear"/>
        <w:kinsoku/>
        <w:wordWrap/>
        <w:overflowPunct/>
        <w:topLinePunct/>
        <w:autoSpaceDE/>
        <w:autoSpaceDN/>
        <w:bidi w:val="0"/>
        <w:adjustRightInd w:val="0"/>
        <w:snapToGrid/>
        <w:spacing w:line="360" w:lineRule="auto"/>
        <w:ind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（4）不同供应商的投标（响应）文件由同一人送达或者分发，或者不同供应商联系人为同一人或不同联系人的联系电话一致的；</w:t>
      </w:r>
    </w:p>
    <w:p>
      <w:pPr>
        <w:keepNext w:val="0"/>
        <w:keepLines w:val="0"/>
        <w:pageBreakBefore w:val="0"/>
        <w:widowControl w:val="0"/>
        <w:numPr>
          <w:numId w:val="0"/>
        </w:numPr>
        <w:shd w:val="clear"/>
        <w:kinsoku/>
        <w:wordWrap/>
        <w:overflowPunct/>
        <w:topLinePunct/>
        <w:autoSpaceDE/>
        <w:autoSpaceDN/>
        <w:bidi w:val="0"/>
        <w:adjustRightInd w:val="0"/>
        <w:snapToGrid/>
        <w:spacing w:line="360" w:lineRule="auto"/>
        <w:ind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（5）不同供应商的投标（响应）文件的内容存在两处以上细节错误一致；</w:t>
      </w:r>
    </w:p>
    <w:p>
      <w:pPr>
        <w:keepNext w:val="0"/>
        <w:keepLines w:val="0"/>
        <w:pageBreakBefore w:val="0"/>
        <w:widowControl w:val="0"/>
        <w:numPr>
          <w:numId w:val="0"/>
        </w:numPr>
        <w:shd w:val="clear"/>
        <w:kinsoku/>
        <w:wordWrap/>
        <w:overflowPunct/>
        <w:topLinePunct/>
        <w:autoSpaceDE/>
        <w:autoSpaceDN/>
        <w:bidi w:val="0"/>
        <w:adjustRightInd w:val="0"/>
        <w:snapToGrid/>
        <w:spacing w:line="360" w:lineRule="auto"/>
        <w:ind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（6）不同供应商的法定代表人、委托代理人、项目经理、项目负责人等由同一个单位缴纳社会保险或者领取报酬的；</w:t>
      </w:r>
    </w:p>
    <w:p>
      <w:pPr>
        <w:keepNext w:val="0"/>
        <w:keepLines w:val="0"/>
        <w:pageBreakBefore w:val="0"/>
        <w:widowControl w:val="0"/>
        <w:numPr>
          <w:numId w:val="0"/>
        </w:numPr>
        <w:shd w:val="clear"/>
        <w:kinsoku/>
        <w:wordWrap/>
        <w:overflowPunct/>
        <w:topLinePunct/>
        <w:autoSpaceDE/>
        <w:autoSpaceDN/>
        <w:bidi w:val="0"/>
        <w:adjustRightInd w:val="0"/>
        <w:snapToGrid/>
        <w:spacing w:line="360" w:lineRule="auto"/>
        <w:ind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（7）不同供应商投标（响应）文件中法定代表人或者负责人签字出自同一人之手；</w:t>
      </w:r>
    </w:p>
    <w:p>
      <w:pPr>
        <w:keepNext w:val="0"/>
        <w:keepLines w:val="0"/>
        <w:pageBreakBefore w:val="0"/>
        <w:widowControl w:val="0"/>
        <w:numPr>
          <w:numId w:val="0"/>
        </w:numPr>
        <w:shd w:val="clear"/>
        <w:kinsoku/>
        <w:wordWrap/>
        <w:overflowPunct/>
        <w:topLinePunct/>
        <w:autoSpaceDE/>
        <w:autoSpaceDN/>
        <w:bidi w:val="0"/>
        <w:adjustRightInd w:val="0"/>
        <w:snapToGrid/>
        <w:spacing w:line="360" w:lineRule="auto"/>
        <w:ind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（8）其它涉嫌串通的情形。</w:t>
      </w:r>
    </w:p>
    <w:p>
      <w:pPr>
        <w:pStyle w:val="6"/>
        <w:numPr>
          <w:ilvl w:val="1"/>
          <w:numId w:val="4"/>
        </w:numPr>
        <w:shd w:val="clear"/>
        <w:spacing w:before="0" w:after="0" w:line="360" w:lineRule="auto"/>
        <w:ind w:firstLine="482" w:firstLineChars="200"/>
        <w:rPr>
          <w:rFonts w:ascii="仿宋" w:hAnsi="仿宋" w:eastAsia="仿宋" w:cs="仿宋"/>
          <w:color w:val="auto"/>
          <w:sz w:val="24"/>
          <w:szCs w:val="24"/>
          <w:highlight w:val="none"/>
        </w:rPr>
      </w:pPr>
      <w:bookmarkStart w:id="47" w:name="_Toc27165"/>
      <w:bookmarkStart w:id="48" w:name="_Toc15962"/>
      <w:bookmarkStart w:id="49" w:name="_Toc12998"/>
      <w:bookmarkStart w:id="50" w:name="_Toc8749"/>
      <w:r>
        <w:rPr>
          <w:rFonts w:hint="eastAsia" w:ascii="仿宋" w:hAnsi="仿宋" w:eastAsia="仿宋" w:cs="仿宋"/>
          <w:color w:val="auto"/>
          <w:sz w:val="24"/>
          <w:szCs w:val="24"/>
          <w:highlight w:val="none"/>
        </w:rPr>
        <w:t>入围供应商数量</w:t>
      </w:r>
      <w:bookmarkEnd w:id="47"/>
      <w:bookmarkEnd w:id="48"/>
      <w:bookmarkEnd w:id="49"/>
      <w:bookmarkEnd w:id="50"/>
    </w:p>
    <w:p>
      <w:pPr>
        <w:pStyle w:val="25"/>
        <w:widowControl/>
        <w:shd w:val="clear"/>
        <w:spacing w:before="0" w:beforeAutospacing="0" w:after="0" w:afterAutospacing="0"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提交响应文件和符合资格条件、实质性要求的供应商应当均不少于2家，淘汰比例一般不得低于20%，且至少淘汰一家供应商。具体入围数量详见供应商须知前附表。</w:t>
      </w:r>
    </w:p>
    <w:p>
      <w:pPr>
        <w:pStyle w:val="6"/>
        <w:numPr>
          <w:ilvl w:val="1"/>
          <w:numId w:val="4"/>
        </w:numPr>
        <w:shd w:val="clear"/>
        <w:spacing w:before="0" w:after="0" w:line="360" w:lineRule="auto"/>
        <w:ind w:firstLine="482" w:firstLineChars="200"/>
        <w:rPr>
          <w:rFonts w:ascii="仿宋" w:hAnsi="仿宋" w:eastAsia="仿宋" w:cs="仿宋"/>
          <w:color w:val="auto"/>
          <w:sz w:val="24"/>
          <w:szCs w:val="24"/>
          <w:highlight w:val="none"/>
        </w:rPr>
      </w:pPr>
      <w:bookmarkStart w:id="51" w:name="_Toc19265"/>
      <w:bookmarkStart w:id="52" w:name="_Toc22894"/>
      <w:bookmarkStart w:id="53" w:name="_Toc29415"/>
      <w:bookmarkStart w:id="54" w:name="_Toc9366"/>
      <w:bookmarkStart w:id="55" w:name="_Toc15721"/>
      <w:bookmarkStart w:id="56" w:name="_Toc25383"/>
      <w:bookmarkStart w:id="57" w:name="_Toc21006"/>
      <w:bookmarkStart w:id="58" w:name="_Toc11556"/>
      <w:bookmarkStart w:id="59" w:name="_Toc10741"/>
      <w:bookmarkStart w:id="60" w:name="_Toc17673"/>
      <w:bookmarkStart w:id="61" w:name="_Toc7848"/>
      <w:bookmarkStart w:id="62" w:name="_Toc19096"/>
      <w:bookmarkStart w:id="63" w:name="_Toc15243"/>
      <w:bookmarkStart w:id="64" w:name="_Toc6127"/>
      <w:r>
        <w:rPr>
          <w:rFonts w:hint="eastAsia" w:ascii="仿宋" w:hAnsi="仿宋" w:eastAsia="仿宋" w:cs="仿宋"/>
          <w:color w:val="auto"/>
          <w:sz w:val="24"/>
          <w:szCs w:val="24"/>
          <w:highlight w:val="none"/>
        </w:rPr>
        <w:t>入围费用</w:t>
      </w:r>
      <w:bookmarkEnd w:id="51"/>
      <w:bookmarkEnd w:id="52"/>
      <w:bookmarkEnd w:id="53"/>
      <w:bookmarkEnd w:id="54"/>
      <w:bookmarkEnd w:id="55"/>
      <w:bookmarkEnd w:id="56"/>
      <w:bookmarkEnd w:id="57"/>
      <w:bookmarkEnd w:id="58"/>
      <w:bookmarkEnd w:id="59"/>
      <w:bookmarkEnd w:id="60"/>
      <w:bookmarkEnd w:id="61"/>
      <w:bookmarkEnd w:id="62"/>
      <w:bookmarkEnd w:id="63"/>
      <w:bookmarkEnd w:id="64"/>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供应商准备和参加入围活动发生的费用自理。</w:t>
      </w:r>
    </w:p>
    <w:p>
      <w:pPr>
        <w:pStyle w:val="6"/>
        <w:numPr>
          <w:ilvl w:val="1"/>
          <w:numId w:val="4"/>
        </w:numPr>
        <w:shd w:val="clear"/>
        <w:spacing w:before="0" w:after="0" w:line="360" w:lineRule="auto"/>
        <w:ind w:firstLine="482" w:firstLineChars="200"/>
        <w:rPr>
          <w:rFonts w:ascii="仿宋" w:hAnsi="仿宋" w:eastAsia="仿宋" w:cs="仿宋"/>
          <w:color w:val="auto"/>
          <w:sz w:val="24"/>
          <w:szCs w:val="24"/>
          <w:highlight w:val="none"/>
        </w:rPr>
      </w:pPr>
      <w:bookmarkStart w:id="65" w:name="_Toc3265"/>
      <w:bookmarkStart w:id="66" w:name="_Toc4208"/>
      <w:bookmarkStart w:id="67" w:name="_Toc27635"/>
      <w:bookmarkStart w:id="68" w:name="_Toc28982"/>
      <w:bookmarkStart w:id="69" w:name="_Toc26711"/>
      <w:bookmarkStart w:id="70" w:name="_Toc19659"/>
      <w:bookmarkStart w:id="71" w:name="_Toc10737"/>
      <w:bookmarkStart w:id="72" w:name="_Toc21313"/>
      <w:bookmarkStart w:id="73" w:name="_Toc21638"/>
      <w:bookmarkStart w:id="74" w:name="_Toc19504"/>
      <w:bookmarkStart w:id="75" w:name="_Toc20467"/>
      <w:bookmarkStart w:id="76" w:name="_Toc8265"/>
      <w:bookmarkStart w:id="77" w:name="_Toc9561"/>
      <w:bookmarkStart w:id="78" w:name="_Toc7448"/>
      <w:r>
        <w:rPr>
          <w:rFonts w:hint="eastAsia" w:ascii="仿宋" w:hAnsi="仿宋" w:eastAsia="仿宋" w:cs="仿宋"/>
          <w:color w:val="auto"/>
          <w:sz w:val="24"/>
          <w:szCs w:val="24"/>
          <w:highlight w:val="none"/>
        </w:rPr>
        <w:t>分包</w:t>
      </w:r>
      <w:bookmarkEnd w:id="65"/>
      <w:bookmarkEnd w:id="66"/>
      <w:bookmarkEnd w:id="67"/>
      <w:bookmarkEnd w:id="68"/>
      <w:bookmarkEnd w:id="69"/>
      <w:bookmarkEnd w:id="70"/>
      <w:bookmarkEnd w:id="71"/>
      <w:bookmarkEnd w:id="72"/>
      <w:bookmarkEnd w:id="73"/>
      <w:bookmarkEnd w:id="74"/>
      <w:bookmarkEnd w:id="75"/>
      <w:bookmarkEnd w:id="76"/>
      <w:bookmarkEnd w:id="77"/>
      <w:bookmarkEnd w:id="78"/>
    </w:p>
    <w:p>
      <w:pPr>
        <w:shd w:val="clear"/>
        <w:spacing w:line="360" w:lineRule="auto"/>
        <w:ind w:firstLine="480" w:firstLineChars="200"/>
        <w:jc w:val="left"/>
        <w:rPr>
          <w:rFonts w:ascii="仿宋" w:hAnsi="仿宋" w:eastAsia="仿宋" w:cs="仿宋"/>
          <w:color w:val="auto"/>
          <w:sz w:val="24"/>
          <w:szCs w:val="24"/>
          <w:highlight w:val="none"/>
        </w:rPr>
      </w:pPr>
      <w:bookmarkStart w:id="79" w:name="_Toc26863"/>
      <w:bookmarkStart w:id="80" w:name="_Toc8743"/>
      <w:bookmarkStart w:id="81" w:name="_Toc2167"/>
      <w:bookmarkStart w:id="82" w:name="_Toc20874"/>
      <w:bookmarkStart w:id="83" w:name="_Toc31207"/>
      <w:bookmarkStart w:id="84" w:name="_Toc11954"/>
      <w:bookmarkStart w:id="85" w:name="_Toc28651"/>
      <w:bookmarkStart w:id="86" w:name="_Toc14567"/>
      <w:bookmarkStart w:id="87" w:name="_Toc12631"/>
      <w:bookmarkStart w:id="88" w:name="_Toc6725"/>
      <w:bookmarkStart w:id="89" w:name="_Toc9963"/>
      <w:bookmarkStart w:id="90" w:name="_Toc26753"/>
      <w:r>
        <w:rPr>
          <w:rFonts w:hint="eastAsia" w:ascii="仿宋" w:hAnsi="仿宋" w:eastAsia="仿宋" w:cs="仿宋"/>
          <w:color w:val="auto"/>
          <w:sz w:val="24"/>
          <w:szCs w:val="24"/>
          <w:highlight w:val="none"/>
        </w:rPr>
        <w:t>不允许。</w:t>
      </w:r>
    </w:p>
    <w:p>
      <w:pPr>
        <w:pStyle w:val="6"/>
        <w:numPr>
          <w:ilvl w:val="1"/>
          <w:numId w:val="4"/>
        </w:numPr>
        <w:shd w:val="clear"/>
        <w:spacing w:before="0" w:after="0" w:line="360" w:lineRule="auto"/>
        <w:ind w:firstLine="482" w:firstLineChars="200"/>
        <w:rPr>
          <w:rFonts w:ascii="仿宋" w:hAnsi="仿宋" w:eastAsia="仿宋" w:cs="仿宋"/>
          <w:color w:val="auto"/>
          <w:sz w:val="24"/>
          <w:szCs w:val="24"/>
          <w:highlight w:val="none"/>
        </w:rPr>
      </w:pPr>
      <w:bookmarkStart w:id="91" w:name="_Toc28771"/>
      <w:bookmarkStart w:id="92" w:name="_Toc10657"/>
      <w:bookmarkStart w:id="93" w:name="_Toc17213"/>
      <w:bookmarkStart w:id="94" w:name="_Toc4320"/>
      <w:r>
        <w:rPr>
          <w:rFonts w:hint="eastAsia" w:ascii="仿宋" w:hAnsi="仿宋" w:eastAsia="仿宋" w:cs="仿宋"/>
          <w:color w:val="auto"/>
          <w:sz w:val="24"/>
          <w:szCs w:val="24"/>
          <w:highlight w:val="none"/>
        </w:rPr>
        <w:t>响应和偏差</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pPr>
        <w:numPr>
          <w:ilvl w:val="2"/>
          <w:numId w:val="4"/>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供应商的服务技术、商务等条件不得低于采购需求。响应文件应当对征集文件的实质性要求和条件作出满足或更有利于采购人的响应，否则，供应商的响应文件将被否决。实质性要求和条件见供应商须知前附表。</w:t>
      </w:r>
    </w:p>
    <w:p>
      <w:pPr>
        <w:numPr>
          <w:ilvl w:val="2"/>
          <w:numId w:val="4"/>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供应商应根据征集文件的要求提供服务方案等内容以对征集文件作出响应。</w:t>
      </w:r>
    </w:p>
    <w:p>
      <w:pPr>
        <w:pStyle w:val="6"/>
        <w:numPr>
          <w:ilvl w:val="1"/>
          <w:numId w:val="4"/>
        </w:numPr>
        <w:shd w:val="clear"/>
        <w:spacing w:before="0" w:after="0" w:line="360" w:lineRule="auto"/>
        <w:ind w:firstLine="482" w:firstLineChars="200"/>
        <w:rPr>
          <w:rFonts w:ascii="仿宋" w:hAnsi="仿宋" w:eastAsia="仿宋" w:cs="仿宋"/>
          <w:color w:val="auto"/>
          <w:sz w:val="24"/>
          <w:szCs w:val="24"/>
          <w:highlight w:val="none"/>
        </w:rPr>
      </w:pPr>
      <w:bookmarkStart w:id="95" w:name="_Toc18321"/>
      <w:bookmarkStart w:id="96" w:name="_Toc5679"/>
      <w:bookmarkStart w:id="97" w:name="_Toc15630"/>
      <w:bookmarkStart w:id="98" w:name="_Toc29202"/>
      <w:bookmarkStart w:id="99" w:name="_Toc12963"/>
      <w:bookmarkStart w:id="100" w:name="_Toc28188"/>
      <w:bookmarkStart w:id="101" w:name="_Toc9588"/>
      <w:bookmarkStart w:id="102" w:name="_Toc14740"/>
      <w:bookmarkStart w:id="103" w:name="_Toc16595"/>
      <w:bookmarkStart w:id="104" w:name="_Toc9147"/>
      <w:bookmarkStart w:id="105" w:name="_Toc12103"/>
      <w:bookmarkStart w:id="106" w:name="_Toc23201"/>
      <w:bookmarkStart w:id="107" w:name="_Toc26506"/>
      <w:bookmarkStart w:id="108" w:name="_Toc30516"/>
      <w:r>
        <w:rPr>
          <w:rFonts w:hint="eastAsia" w:ascii="仿宋" w:hAnsi="仿宋" w:eastAsia="仿宋" w:cs="仿宋"/>
          <w:color w:val="auto"/>
          <w:sz w:val="24"/>
          <w:szCs w:val="24"/>
          <w:highlight w:val="none"/>
        </w:rPr>
        <w:t>语言</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响应文件使用的语言文字为中文。专用术语使用外文的，应附有中文注释。</w:t>
      </w:r>
    </w:p>
    <w:p>
      <w:pPr>
        <w:pStyle w:val="6"/>
        <w:numPr>
          <w:ilvl w:val="1"/>
          <w:numId w:val="4"/>
        </w:numPr>
        <w:shd w:val="clear"/>
        <w:spacing w:before="0" w:after="0" w:line="360" w:lineRule="auto"/>
        <w:ind w:firstLine="482" w:firstLineChars="200"/>
        <w:rPr>
          <w:rFonts w:ascii="仿宋" w:hAnsi="仿宋" w:eastAsia="仿宋" w:cs="仿宋"/>
          <w:color w:val="auto"/>
          <w:sz w:val="24"/>
          <w:szCs w:val="24"/>
          <w:highlight w:val="none"/>
        </w:rPr>
      </w:pPr>
      <w:bookmarkStart w:id="109" w:name="_Toc27017"/>
      <w:bookmarkStart w:id="110" w:name="_Toc4326"/>
      <w:bookmarkStart w:id="111" w:name="_Toc20160"/>
      <w:bookmarkStart w:id="112" w:name="_Toc15754"/>
      <w:bookmarkStart w:id="113" w:name="_Toc19923"/>
      <w:bookmarkStart w:id="114" w:name="_Toc16602"/>
      <w:bookmarkStart w:id="115" w:name="_Toc24032"/>
      <w:bookmarkStart w:id="116" w:name="_Toc8172"/>
      <w:bookmarkStart w:id="117" w:name="_Toc23957"/>
      <w:bookmarkStart w:id="118" w:name="_Toc28940"/>
      <w:bookmarkStart w:id="119" w:name="_Toc12071"/>
      <w:bookmarkStart w:id="120" w:name="_Toc27063"/>
      <w:bookmarkStart w:id="121" w:name="_Toc23880"/>
      <w:bookmarkStart w:id="122" w:name="_Toc29987"/>
      <w:r>
        <w:rPr>
          <w:rFonts w:hint="eastAsia" w:ascii="仿宋" w:hAnsi="仿宋" w:eastAsia="仿宋" w:cs="仿宋"/>
          <w:color w:val="auto"/>
          <w:sz w:val="24"/>
          <w:szCs w:val="24"/>
          <w:highlight w:val="none"/>
        </w:rPr>
        <w:t>货币</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pPr>
        <w:shd w:val="clear"/>
        <w:tabs>
          <w:tab w:val="left" w:pos="720"/>
          <w:tab w:val="left" w:pos="1904"/>
        </w:tabs>
        <w:wordWrap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结算货币为人民币。 </w:t>
      </w:r>
    </w:p>
    <w:p>
      <w:pPr>
        <w:pStyle w:val="6"/>
        <w:numPr>
          <w:ilvl w:val="1"/>
          <w:numId w:val="4"/>
        </w:numPr>
        <w:shd w:val="clear"/>
        <w:spacing w:before="0" w:after="0" w:line="360" w:lineRule="auto"/>
        <w:ind w:firstLine="482" w:firstLineChars="200"/>
        <w:rPr>
          <w:rFonts w:ascii="仿宋" w:hAnsi="仿宋" w:eastAsia="仿宋" w:cs="仿宋"/>
          <w:color w:val="auto"/>
          <w:sz w:val="24"/>
          <w:szCs w:val="24"/>
          <w:highlight w:val="none"/>
        </w:rPr>
      </w:pPr>
      <w:bookmarkStart w:id="123" w:name="_Toc28184"/>
      <w:bookmarkStart w:id="124" w:name="_Toc4030"/>
      <w:bookmarkStart w:id="125" w:name="_Toc26021"/>
      <w:bookmarkStart w:id="126" w:name="_Toc31790"/>
      <w:bookmarkStart w:id="127" w:name="_Toc12030"/>
      <w:bookmarkStart w:id="128" w:name="_Toc20536"/>
      <w:bookmarkStart w:id="129" w:name="_Toc19335"/>
      <w:bookmarkStart w:id="130" w:name="_Toc25048"/>
      <w:bookmarkStart w:id="131" w:name="_Toc141"/>
      <w:bookmarkStart w:id="132" w:name="_Toc23692"/>
      <w:bookmarkStart w:id="133" w:name="_Toc24561"/>
      <w:bookmarkStart w:id="134" w:name="_Toc16853"/>
      <w:bookmarkStart w:id="135" w:name="_Toc15496"/>
      <w:bookmarkStart w:id="136" w:name="_Toc17573"/>
      <w:bookmarkStart w:id="137" w:name="_Toc31058"/>
      <w:bookmarkStart w:id="138" w:name="_Toc29504"/>
      <w:r>
        <w:rPr>
          <w:rFonts w:hint="eastAsia" w:ascii="仿宋" w:hAnsi="仿宋" w:eastAsia="仿宋" w:cs="仿宋"/>
          <w:color w:val="auto"/>
          <w:sz w:val="24"/>
          <w:szCs w:val="24"/>
          <w:highlight w:val="none"/>
        </w:rPr>
        <w:t>保密</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参与本项目采购活动的各方应对征集文件和响应文件中的商业和技术等秘密保密，否则应承担相应的法律责任。</w:t>
      </w:r>
    </w:p>
    <w:p>
      <w:pPr>
        <w:pStyle w:val="5"/>
        <w:numPr>
          <w:ilvl w:val="0"/>
          <w:numId w:val="3"/>
        </w:numPr>
        <w:shd w:val="clear"/>
        <w:tabs>
          <w:tab w:val="left" w:pos="721"/>
          <w:tab w:val="left" w:pos="2880"/>
          <w:tab w:val="left" w:pos="3780"/>
          <w:tab w:val="clear" w:pos="567"/>
        </w:tabs>
        <w:spacing w:before="0" w:after="0" w:line="360" w:lineRule="auto"/>
        <w:ind w:left="0" w:firstLine="482" w:firstLineChars="200"/>
        <w:jc w:val="left"/>
        <w:rPr>
          <w:rFonts w:ascii="仿宋" w:hAnsi="仿宋" w:eastAsia="仿宋" w:cs="仿宋"/>
          <w:color w:val="auto"/>
          <w:sz w:val="24"/>
          <w:szCs w:val="24"/>
          <w:highlight w:val="none"/>
        </w:rPr>
      </w:pPr>
      <w:bookmarkStart w:id="139" w:name="_Toc22953398"/>
      <w:bookmarkEnd w:id="139"/>
      <w:bookmarkStart w:id="140" w:name="_Toc1882"/>
      <w:r>
        <w:rPr>
          <w:rFonts w:hint="eastAsia" w:ascii="仿宋" w:hAnsi="仿宋" w:eastAsia="仿宋" w:cs="仿宋"/>
          <w:color w:val="auto"/>
          <w:sz w:val="24"/>
          <w:szCs w:val="24"/>
          <w:highlight w:val="none"/>
        </w:rPr>
        <w:t>征集文件</w:t>
      </w:r>
      <w:bookmarkEnd w:id="140"/>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141" w:name="_Toc22436"/>
      <w:bookmarkStart w:id="142" w:name="_Toc23916"/>
      <w:bookmarkStart w:id="143" w:name="_Toc15548"/>
      <w:bookmarkStart w:id="144" w:name="_Toc20374"/>
      <w:bookmarkStart w:id="145" w:name="_Toc17016"/>
      <w:bookmarkStart w:id="146" w:name="_Toc341"/>
      <w:bookmarkStart w:id="147" w:name="_Toc8809"/>
      <w:bookmarkStart w:id="148" w:name="_Toc27662"/>
      <w:bookmarkStart w:id="149" w:name="_Toc2039"/>
      <w:bookmarkStart w:id="150" w:name="_Toc32734"/>
      <w:bookmarkStart w:id="151" w:name="_Toc22611"/>
      <w:bookmarkStart w:id="152" w:name="_Toc8007"/>
      <w:bookmarkStart w:id="153" w:name="_Toc22684"/>
      <w:bookmarkStart w:id="154" w:name="_Toc12900"/>
      <w:r>
        <w:rPr>
          <w:rFonts w:hint="eastAsia" w:ascii="仿宋" w:hAnsi="仿宋" w:eastAsia="仿宋" w:cs="仿宋"/>
          <w:color w:val="auto"/>
          <w:sz w:val="24"/>
          <w:szCs w:val="24"/>
          <w:highlight w:val="none"/>
        </w:rPr>
        <w:t>征集文件的构成</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pPr>
        <w:pStyle w:val="22"/>
        <w:shd w:val="clear"/>
        <w:tabs>
          <w:tab w:val="left" w:pos="720"/>
          <w:tab w:val="left" w:pos="1080"/>
        </w:tabs>
        <w:spacing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征集文件由下述部分组成： </w:t>
      </w:r>
    </w:p>
    <w:p>
      <w:pPr>
        <w:pStyle w:val="17"/>
        <w:numPr>
          <w:ilvl w:val="0"/>
          <w:numId w:val="5"/>
        </w:numPr>
        <w:shd w:val="clear"/>
        <w:tabs>
          <w:tab w:val="left" w:pos="1080"/>
        </w:tabs>
        <w:spacing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征集公告</w:t>
      </w:r>
    </w:p>
    <w:p>
      <w:pPr>
        <w:pStyle w:val="17"/>
        <w:numPr>
          <w:ilvl w:val="0"/>
          <w:numId w:val="5"/>
        </w:numPr>
        <w:shd w:val="clear"/>
        <w:tabs>
          <w:tab w:val="left" w:pos="1080"/>
        </w:tabs>
        <w:spacing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供应商须知</w:t>
      </w:r>
    </w:p>
    <w:p>
      <w:pPr>
        <w:pStyle w:val="17"/>
        <w:numPr>
          <w:ilvl w:val="0"/>
          <w:numId w:val="5"/>
        </w:numPr>
        <w:shd w:val="clear"/>
        <w:tabs>
          <w:tab w:val="left" w:pos="1080"/>
        </w:tabs>
        <w:spacing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评审方法</w:t>
      </w:r>
    </w:p>
    <w:p>
      <w:pPr>
        <w:pStyle w:val="17"/>
        <w:numPr>
          <w:ilvl w:val="0"/>
          <w:numId w:val="5"/>
        </w:numPr>
        <w:shd w:val="clear"/>
        <w:tabs>
          <w:tab w:val="left" w:pos="1080"/>
        </w:tabs>
        <w:spacing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政府采购框架协议文本</w:t>
      </w:r>
    </w:p>
    <w:p>
      <w:pPr>
        <w:pStyle w:val="17"/>
        <w:numPr>
          <w:ilvl w:val="0"/>
          <w:numId w:val="5"/>
        </w:numPr>
        <w:shd w:val="clear"/>
        <w:tabs>
          <w:tab w:val="left" w:pos="1080"/>
        </w:tabs>
        <w:spacing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采购需求</w:t>
      </w:r>
    </w:p>
    <w:p>
      <w:pPr>
        <w:pStyle w:val="17"/>
        <w:numPr>
          <w:ilvl w:val="0"/>
          <w:numId w:val="5"/>
        </w:numPr>
        <w:shd w:val="clear"/>
        <w:tabs>
          <w:tab w:val="left" w:pos="1080"/>
        </w:tabs>
        <w:spacing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响应文件格式</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仔细阅读征集文件中供应商须知、拟签订的框架协议条款的所有事项、格式要求和采购需求，按征集文件的要求提供响应文件，并保证所提供的全部资料的真实性，以使其响应文件对征集文件做出实质性响应，否则，将承担其响应文件被拒绝或认定为响应文件无效的风险。</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供应商制作响应文件时应充分完整理解征集文件的整体要求。</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根据本章第第2.2款和第2.3款对征集文件所做的澄清和修改，构成征集文件的组成部分。</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155" w:name="_Toc24123"/>
      <w:bookmarkStart w:id="156" w:name="_Toc19467"/>
      <w:bookmarkStart w:id="157" w:name="_Toc27083"/>
      <w:bookmarkStart w:id="158" w:name="_Toc10510"/>
      <w:bookmarkStart w:id="159" w:name="_Toc14335"/>
      <w:bookmarkStart w:id="160" w:name="_Toc6447"/>
      <w:bookmarkStart w:id="161" w:name="_Toc18000"/>
      <w:bookmarkStart w:id="162" w:name="_Toc9788"/>
      <w:bookmarkStart w:id="163" w:name="_Toc30758"/>
      <w:bookmarkStart w:id="164" w:name="_Toc22595"/>
      <w:bookmarkStart w:id="165" w:name="_Toc32697"/>
      <w:bookmarkStart w:id="166" w:name="_Toc7860"/>
      <w:bookmarkStart w:id="167" w:name="_Toc13997"/>
      <w:bookmarkStart w:id="168" w:name="_Toc74"/>
      <w:r>
        <w:rPr>
          <w:rFonts w:hint="eastAsia" w:ascii="仿宋" w:hAnsi="仿宋" w:eastAsia="仿宋" w:cs="仿宋"/>
          <w:color w:val="auto"/>
          <w:sz w:val="24"/>
          <w:szCs w:val="24"/>
          <w:highlight w:val="none"/>
        </w:rPr>
        <w:t>征集文件的澄清</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仔细阅读和检查征集文件的全部内容。如发现缺页或附件不全，应及时向采购人提出，以便补齐。如有疑问，应按供应商须知前附表规定的时间和形式将提出的问题送达采购人，要求采购人对征集文件予以澄清。</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征集文件的澄清以供应商须知前附表规定的形式发给所有获取征集文件的供应商，同时在原公告媒体发布澄清公告，但不指明澄清问题的来源。澄清发出的时间距本章第4.2.1项规定的响应文件提交截止时间不足15日的，并且澄清内容可能影响响应文件编制的，将相应延长响应文件提交截止时间。</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供应商在收到澄清后，应按供应商须知前附表规定通知采购人，确认已收到该澄清。</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除非采购人认为确有必要答复，否则，采购人有权拒绝回复供应商在本章第2.2.1项规定的时间后的任何澄清要求。在规定的时间内未提出疑问的，将被视为对征集文件完全认可。</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169" w:name="_Toc32016"/>
      <w:bookmarkStart w:id="170" w:name="_Toc15286"/>
      <w:bookmarkStart w:id="171" w:name="_Toc4952"/>
      <w:bookmarkStart w:id="172" w:name="_Toc17409"/>
      <w:bookmarkStart w:id="173" w:name="_Toc32645"/>
      <w:bookmarkStart w:id="174" w:name="_Toc21606"/>
      <w:bookmarkStart w:id="175" w:name="_Toc24"/>
      <w:bookmarkStart w:id="176" w:name="_Toc7881"/>
      <w:bookmarkStart w:id="177" w:name="_Toc11254"/>
      <w:bookmarkStart w:id="178" w:name="_Toc23306"/>
      <w:bookmarkStart w:id="179" w:name="_Toc21811"/>
      <w:bookmarkStart w:id="180" w:name="_Toc28275"/>
      <w:bookmarkStart w:id="181" w:name="_Toc16407"/>
      <w:bookmarkStart w:id="182" w:name="_Toc24423"/>
      <w:r>
        <w:rPr>
          <w:rFonts w:hint="eastAsia" w:ascii="仿宋" w:hAnsi="仿宋" w:eastAsia="仿宋" w:cs="仿宋"/>
          <w:color w:val="auto"/>
          <w:sz w:val="24"/>
          <w:szCs w:val="24"/>
          <w:highlight w:val="none"/>
        </w:rPr>
        <w:t>征集文件的修改</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采购人或者采购代理机构可以对已发出的征集文件进行必要的修改，但不得改变采购标的和资格条件，修改的内容为征集文件的组成部分。</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或采购代理机构以供应商须知前附表规定的形式修改征集文件，在原公告媒介发布变更公告。修改征集文件的时间距本章第4.2.1项规定的响应文件提交截止时间不足15日的，并且修改内容可能影响响应文件编制的，将相应延长响应文件提交截止时间。</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供应商收到修改内容后，自行在电子化交易系统查看。</w:t>
      </w:r>
    </w:p>
    <w:p>
      <w:pPr>
        <w:pStyle w:val="5"/>
        <w:numPr>
          <w:ilvl w:val="0"/>
          <w:numId w:val="3"/>
        </w:numPr>
        <w:shd w:val="clear"/>
        <w:tabs>
          <w:tab w:val="left" w:pos="721"/>
          <w:tab w:val="left" w:pos="2880"/>
          <w:tab w:val="left" w:pos="3780"/>
          <w:tab w:val="clear" w:pos="567"/>
        </w:tabs>
        <w:spacing w:before="0" w:after="0" w:line="360" w:lineRule="auto"/>
        <w:ind w:left="0" w:firstLine="482" w:firstLineChars="200"/>
        <w:jc w:val="left"/>
        <w:rPr>
          <w:rFonts w:ascii="仿宋" w:hAnsi="仿宋" w:eastAsia="仿宋" w:cs="仿宋"/>
          <w:color w:val="auto"/>
          <w:sz w:val="24"/>
          <w:szCs w:val="24"/>
          <w:highlight w:val="none"/>
        </w:rPr>
      </w:pPr>
      <w:bookmarkStart w:id="183" w:name="_Toc19348"/>
      <w:r>
        <w:rPr>
          <w:rFonts w:hint="eastAsia" w:ascii="仿宋" w:hAnsi="仿宋" w:eastAsia="仿宋" w:cs="仿宋"/>
          <w:color w:val="auto"/>
          <w:sz w:val="24"/>
          <w:szCs w:val="24"/>
          <w:highlight w:val="none"/>
        </w:rPr>
        <w:t>响应文件</w:t>
      </w:r>
      <w:bookmarkEnd w:id="183"/>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184" w:name="_Toc31836"/>
      <w:bookmarkStart w:id="185" w:name="_Toc29146"/>
      <w:bookmarkStart w:id="186" w:name="_Toc6052"/>
      <w:bookmarkStart w:id="187" w:name="_Toc13530"/>
      <w:bookmarkStart w:id="188" w:name="_Toc11643"/>
      <w:bookmarkStart w:id="189" w:name="_Toc26694"/>
      <w:bookmarkStart w:id="190" w:name="_Toc920"/>
      <w:bookmarkStart w:id="191" w:name="_Toc10184"/>
      <w:bookmarkStart w:id="192" w:name="_Toc16815"/>
      <w:bookmarkStart w:id="193" w:name="_Toc27918"/>
      <w:bookmarkStart w:id="194" w:name="_Toc29160"/>
      <w:bookmarkStart w:id="195" w:name="_Toc23403"/>
      <w:bookmarkStart w:id="196" w:name="_Toc2931"/>
      <w:bookmarkStart w:id="197" w:name="_Toc21684"/>
      <w:r>
        <w:rPr>
          <w:rFonts w:hint="eastAsia" w:ascii="仿宋" w:hAnsi="仿宋" w:eastAsia="仿宋" w:cs="仿宋"/>
          <w:color w:val="auto"/>
          <w:sz w:val="24"/>
          <w:szCs w:val="24"/>
          <w:highlight w:val="none"/>
        </w:rPr>
        <w:t>响应文件的组成</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响应文件包括下列部分：</w:t>
      </w:r>
    </w:p>
    <w:p>
      <w:pPr>
        <w:shd w:val="clea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详见“第六章 响应文件格式”</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198" w:name="_Toc16658"/>
      <w:bookmarkStart w:id="199" w:name="_Toc6819"/>
      <w:bookmarkStart w:id="200" w:name="_Toc4954"/>
      <w:bookmarkStart w:id="201" w:name="_Toc3579"/>
      <w:bookmarkStart w:id="202" w:name="_Toc470"/>
      <w:bookmarkStart w:id="203" w:name="_Toc28359"/>
      <w:bookmarkStart w:id="204" w:name="_Toc11558"/>
      <w:bookmarkStart w:id="205" w:name="_Toc3735"/>
      <w:bookmarkStart w:id="206" w:name="_Toc780"/>
      <w:bookmarkStart w:id="207" w:name="_Toc32649"/>
      <w:bookmarkStart w:id="208" w:name="_Toc6676"/>
      <w:bookmarkStart w:id="209" w:name="_Toc17175"/>
      <w:bookmarkStart w:id="210" w:name="_Toc22626"/>
      <w:bookmarkStart w:id="211" w:name="_Toc13045"/>
      <w:r>
        <w:rPr>
          <w:rFonts w:hint="eastAsia" w:ascii="仿宋" w:hAnsi="仿宋" w:eastAsia="仿宋" w:cs="仿宋"/>
          <w:color w:val="auto"/>
          <w:sz w:val="24"/>
          <w:szCs w:val="24"/>
          <w:highlight w:val="none"/>
        </w:rPr>
        <w:t>响应报价</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pPr>
        <w:shd w:val="clear"/>
        <w:tabs>
          <w:tab w:val="left" w:pos="720"/>
          <w:tab w:val="left" w:pos="1904"/>
        </w:tabs>
        <w:wordWrap w:val="0"/>
        <w:snapToGrid w:val="0"/>
        <w:spacing w:line="360" w:lineRule="auto"/>
        <w:ind w:firstLine="480" w:firstLineChars="200"/>
        <w:jc w:val="left"/>
        <w:rPr>
          <w:rFonts w:ascii="仿宋" w:hAnsi="仿宋" w:eastAsia="仿宋" w:cs="仿宋"/>
          <w:color w:val="auto"/>
          <w:sz w:val="24"/>
          <w:szCs w:val="24"/>
          <w:highlight w:val="none"/>
        </w:rPr>
      </w:pPr>
      <w:bookmarkStart w:id="212" w:name="_Toc27886"/>
      <w:bookmarkStart w:id="213" w:name="_Toc26284"/>
      <w:r>
        <w:rPr>
          <w:rFonts w:hint="eastAsia" w:ascii="仿宋" w:hAnsi="仿宋" w:eastAsia="仿宋" w:cs="仿宋"/>
          <w:color w:val="auto"/>
          <w:sz w:val="24"/>
          <w:szCs w:val="24"/>
          <w:highlight w:val="none"/>
        </w:rPr>
        <w:t>3.2.1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最高限价详见供应商须知前附表；</w:t>
      </w:r>
    </w:p>
    <w:p>
      <w:pPr>
        <w:shd w:val="clear"/>
        <w:wordWrap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供应商应充分了解该项目的总体情况以及影响响应报价的其他要素。</w:t>
      </w:r>
    </w:p>
    <w:p>
      <w:pPr>
        <w:shd w:val="clear"/>
        <w:wordWrap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3.2.3</w:t>
      </w:r>
      <w:r>
        <w:rPr>
          <w:rFonts w:hint="eastAsia" w:ascii="仿宋" w:hAnsi="仿宋" w:eastAsia="仿宋" w:cs="仿宋"/>
          <w:color w:val="auto"/>
          <w:sz w:val="24"/>
          <w:szCs w:val="24"/>
          <w:highlight w:val="none"/>
          <w:lang w:val="en-US" w:eastAsia="zh-CN"/>
        </w:rPr>
        <w:t xml:space="preserve"> 本项目</w:t>
      </w: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val="en-US" w:eastAsia="zh-CN"/>
        </w:rPr>
        <w:t>将按照</w:t>
      </w:r>
      <w:r>
        <w:rPr>
          <w:rFonts w:hint="eastAsia" w:ascii="仿宋" w:hAnsi="仿宋" w:eastAsia="仿宋" w:cs="仿宋"/>
          <w:color w:val="auto"/>
          <w:sz w:val="24"/>
          <w:szCs w:val="24"/>
          <w:highlight w:val="none"/>
        </w:rPr>
        <w:t>《郑州市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（中原审〔2023〕4号）</w:t>
      </w:r>
      <w:r>
        <w:rPr>
          <w:rFonts w:hint="eastAsia" w:ascii="仿宋" w:hAnsi="仿宋" w:eastAsia="仿宋" w:cs="仿宋"/>
          <w:color w:val="auto"/>
          <w:sz w:val="24"/>
          <w:szCs w:val="24"/>
          <w:highlight w:val="none"/>
        </w:rPr>
        <w:t>规定进行结算。</w:t>
      </w:r>
    </w:p>
    <w:p>
      <w:pPr>
        <w:shd w:val="clear"/>
        <w:wordWrap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合同价包括完成采购人指定项目审计</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的所有费用，采购人不再支付其他任何费用。</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214" w:name="_Toc28900"/>
      <w:bookmarkStart w:id="215" w:name="_Toc29976"/>
      <w:r>
        <w:rPr>
          <w:rFonts w:hint="eastAsia" w:ascii="仿宋" w:hAnsi="仿宋" w:eastAsia="仿宋" w:cs="仿宋"/>
          <w:color w:val="auto"/>
          <w:sz w:val="24"/>
          <w:szCs w:val="24"/>
          <w:highlight w:val="none"/>
        </w:rPr>
        <w:t>响应文件有效期</w:t>
      </w:r>
      <w:bookmarkEnd w:id="212"/>
      <w:bookmarkEnd w:id="213"/>
      <w:bookmarkEnd w:id="214"/>
      <w:bookmarkEnd w:id="215"/>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bookmarkStart w:id="216" w:name="_Toc3318"/>
      <w:bookmarkStart w:id="217" w:name="_Toc26367"/>
      <w:bookmarkStart w:id="218" w:name="_Toc22106"/>
      <w:bookmarkStart w:id="219" w:name="_Toc9648"/>
      <w:bookmarkStart w:id="220" w:name="_Toc724"/>
      <w:bookmarkStart w:id="221" w:name="_Toc24295"/>
      <w:bookmarkStart w:id="222" w:name="_Toc10542"/>
      <w:bookmarkStart w:id="223" w:name="_Toc13400"/>
      <w:bookmarkStart w:id="224" w:name="_Toc7916"/>
      <w:bookmarkStart w:id="225" w:name="_Toc24684"/>
      <w:bookmarkStart w:id="226" w:name="_Toc4082"/>
      <w:bookmarkStart w:id="227" w:name="_Toc30836"/>
      <w:r>
        <w:rPr>
          <w:rFonts w:hint="eastAsia" w:ascii="仿宋" w:hAnsi="仿宋" w:eastAsia="仿宋" w:cs="仿宋"/>
          <w:color w:val="auto"/>
          <w:sz w:val="24"/>
          <w:szCs w:val="24"/>
          <w:highlight w:val="none"/>
        </w:rPr>
        <w:t>响应文件有效期见供应商须知前附表，从提交响应文件的截止之日起算。响应文件有效期内供应商不得撤销响应文件。</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响应文件应自提交响应文件的截止之日起，在供应商须知前附表规定的时间内保持有效。响应文件有效期不足的将被视为未响应而予以拒绝。</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特殊情况下，在原响应文件有效期截止之前，采购人和采购代理机构可征求供应商同意延长响应文件有效期。这种要求与答复均应以书面形式提交。供应商可以拒绝这种要求。同意延期的供应商将不会被要求也不允许修改其响应文件。</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228" w:name="_Toc6614"/>
      <w:bookmarkStart w:id="229" w:name="_Toc31177"/>
      <w:r>
        <w:rPr>
          <w:rFonts w:hint="eastAsia" w:ascii="仿宋" w:hAnsi="仿宋" w:eastAsia="仿宋" w:cs="仿宋"/>
          <w:color w:val="auto"/>
          <w:sz w:val="24"/>
          <w:szCs w:val="24"/>
          <w:highlight w:val="none"/>
        </w:rPr>
        <w:t>入围保证金</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pPr>
        <w:shd w:val="clear"/>
        <w:spacing w:line="360" w:lineRule="auto"/>
        <w:ind w:firstLine="480" w:firstLineChars="200"/>
        <w:jc w:val="left"/>
        <w:rPr>
          <w:rFonts w:ascii="仿宋" w:hAnsi="仿宋" w:eastAsia="仿宋" w:cs="仿宋"/>
          <w:color w:val="auto"/>
          <w:sz w:val="24"/>
          <w:szCs w:val="24"/>
          <w:highlight w:val="none"/>
        </w:rPr>
      </w:pPr>
      <w:bookmarkStart w:id="230" w:name="_Toc27644"/>
      <w:bookmarkStart w:id="231" w:name="_Toc18654"/>
      <w:bookmarkStart w:id="232" w:name="_Toc24091"/>
      <w:bookmarkStart w:id="233" w:name="_Toc10853"/>
      <w:bookmarkStart w:id="234" w:name="_Toc1022"/>
      <w:bookmarkStart w:id="235" w:name="_Toc28591"/>
      <w:bookmarkStart w:id="236" w:name="_Toc10698"/>
      <w:bookmarkStart w:id="237" w:name="_Toc30729"/>
      <w:bookmarkStart w:id="238" w:name="_Toc27911"/>
      <w:bookmarkStart w:id="239" w:name="_Toc7411"/>
      <w:r>
        <w:rPr>
          <w:rFonts w:hint="eastAsia" w:ascii="仿宋" w:hAnsi="仿宋" w:eastAsia="仿宋" w:cs="仿宋"/>
          <w:color w:val="auto"/>
          <w:sz w:val="24"/>
          <w:szCs w:val="24"/>
          <w:highlight w:val="none"/>
        </w:rPr>
        <w:t>本次征集不收取入围保证金。</w:t>
      </w:r>
      <w:bookmarkEnd w:id="230"/>
      <w:bookmarkEnd w:id="231"/>
      <w:bookmarkEnd w:id="232"/>
      <w:bookmarkEnd w:id="233"/>
      <w:bookmarkEnd w:id="234"/>
      <w:bookmarkEnd w:id="235"/>
      <w:bookmarkEnd w:id="236"/>
      <w:bookmarkEnd w:id="237"/>
      <w:bookmarkEnd w:id="238"/>
      <w:bookmarkEnd w:id="239"/>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240" w:name="_Toc11716"/>
      <w:bookmarkStart w:id="241" w:name="_Toc2428"/>
      <w:bookmarkStart w:id="242" w:name="_Toc30724"/>
      <w:bookmarkStart w:id="243" w:name="_Toc19227"/>
      <w:bookmarkStart w:id="244" w:name="_Toc27342"/>
      <w:bookmarkStart w:id="245" w:name="_Toc21671"/>
      <w:bookmarkStart w:id="246" w:name="_Toc21072"/>
      <w:bookmarkStart w:id="247" w:name="_Toc691"/>
      <w:bookmarkStart w:id="248" w:name="_Toc12326"/>
      <w:bookmarkStart w:id="249" w:name="_Toc12331"/>
      <w:bookmarkStart w:id="250" w:name="_Toc8364"/>
      <w:bookmarkStart w:id="251" w:name="_Toc25255"/>
      <w:bookmarkStart w:id="252" w:name="_Toc32562"/>
      <w:bookmarkStart w:id="253" w:name="_Toc23864"/>
      <w:r>
        <w:rPr>
          <w:rFonts w:hint="eastAsia" w:ascii="仿宋" w:hAnsi="仿宋" w:eastAsia="仿宋" w:cs="仿宋"/>
          <w:color w:val="auto"/>
          <w:sz w:val="24"/>
          <w:szCs w:val="24"/>
          <w:highlight w:val="none"/>
        </w:rPr>
        <w:t>供应商资格的证明文件</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依据供应商须知前附表中的要求提交相应的资格证明文件，作为响应文件的一部分，以证明其有资格进行响应和有能力履行合同。</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254" w:name="_Toc738"/>
      <w:bookmarkStart w:id="255" w:name="_Toc5379"/>
      <w:bookmarkStart w:id="256" w:name="_Toc9806"/>
      <w:bookmarkStart w:id="257" w:name="_Toc30598"/>
      <w:bookmarkStart w:id="258" w:name="_Toc4607"/>
      <w:bookmarkStart w:id="259" w:name="_Toc6618"/>
      <w:bookmarkStart w:id="260" w:name="_Toc20231"/>
      <w:bookmarkStart w:id="261" w:name="_Toc26788"/>
      <w:bookmarkStart w:id="262" w:name="_Toc31597"/>
      <w:bookmarkStart w:id="263" w:name="_Toc11800"/>
      <w:bookmarkStart w:id="264" w:name="_Toc26554"/>
      <w:bookmarkStart w:id="265" w:name="_Toc23248"/>
      <w:bookmarkStart w:id="266" w:name="_Toc18317"/>
      <w:bookmarkStart w:id="267" w:name="_Toc14789"/>
      <w:r>
        <w:rPr>
          <w:rFonts w:hint="eastAsia" w:ascii="仿宋" w:hAnsi="仿宋" w:eastAsia="仿宋" w:cs="仿宋"/>
          <w:color w:val="auto"/>
          <w:sz w:val="24"/>
          <w:szCs w:val="24"/>
          <w:highlight w:val="none"/>
        </w:rPr>
        <w:t>供应商技术证明文件</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bookmarkStart w:id="268" w:name="_Toc21050"/>
      <w:bookmarkStart w:id="269" w:name="_Toc3838"/>
      <w:bookmarkStart w:id="270" w:name="_Toc11578"/>
      <w:bookmarkStart w:id="271" w:name="_Toc24210"/>
      <w:bookmarkStart w:id="272" w:name="_Toc27143"/>
      <w:bookmarkStart w:id="273" w:name="_Toc630"/>
      <w:bookmarkStart w:id="274" w:name="_Toc20415"/>
      <w:bookmarkStart w:id="275" w:name="_Toc10019"/>
      <w:bookmarkStart w:id="276" w:name="_Toc32415"/>
      <w:bookmarkStart w:id="277" w:name="_Toc25186"/>
      <w:bookmarkStart w:id="278" w:name="_Toc7496"/>
      <w:bookmarkStart w:id="279" w:name="_Toc10867"/>
      <w:r>
        <w:rPr>
          <w:rFonts w:hint="eastAsia" w:ascii="仿宋" w:hAnsi="仿宋" w:eastAsia="仿宋" w:cs="仿宋"/>
          <w:color w:val="auto"/>
          <w:sz w:val="24"/>
          <w:szCs w:val="24"/>
          <w:highlight w:val="none"/>
          <w:shd w:val="clear" w:color="auto" w:fill="FFFFFF"/>
        </w:rPr>
        <w:t>供应商响应的服务的技术、商务等条件不得低于采购需求。</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供应商应提交证明其符合征集文件规定的技术证明文件，作为响应文件的一部分。</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证明文件可以是文字资料、图纸和数据。</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280" w:name="_Toc18327"/>
      <w:bookmarkStart w:id="281" w:name="_Toc1809"/>
      <w:r>
        <w:rPr>
          <w:rFonts w:hint="eastAsia" w:ascii="仿宋" w:hAnsi="仿宋" w:eastAsia="仿宋" w:cs="仿宋"/>
          <w:color w:val="auto"/>
          <w:sz w:val="24"/>
          <w:szCs w:val="24"/>
          <w:highlight w:val="none"/>
        </w:rPr>
        <w:t>响应文件编制</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响应文件应按第六章“响应文件格式”进行编写，如有必要，可以增加附页，作为响应文件的组成部分。其中，响应一览表在满足征集文件实质性要求的基础上，可以提出比征集文件要求更有利于采购人的承诺。</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响应文件应当对征集文件有关采购范围、服务标准、服务对象范围、合同履约期限等实质性内容作出响应。</w:t>
      </w:r>
    </w:p>
    <w:p>
      <w:pPr>
        <w:numPr>
          <w:ilvl w:val="2"/>
          <w:numId w:val="3"/>
        </w:num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全部采用电子文档，除征集文件另有规定外，响应文件所附证书证件均为原件扫描件，并采用单位和个人数字证书，按征集文件要求在相应位置加盖电子印章。由供应商的法定代表人（单位负责人）签字或加盖电子印章的，应附法定代表人（单位负责人）身份证明，由代理人签字或加盖电子印章的，应附由法定代表人（单位负责人）签署的授权委托书。</w:t>
      </w:r>
    </w:p>
    <w:p>
      <w:pPr>
        <w:pStyle w:val="5"/>
        <w:numPr>
          <w:ilvl w:val="0"/>
          <w:numId w:val="3"/>
        </w:numPr>
        <w:shd w:val="clear"/>
        <w:tabs>
          <w:tab w:val="left" w:pos="721"/>
          <w:tab w:val="left" w:pos="2880"/>
          <w:tab w:val="left" w:pos="3780"/>
          <w:tab w:val="clear" w:pos="567"/>
        </w:tabs>
        <w:spacing w:before="0" w:after="0" w:line="360" w:lineRule="auto"/>
        <w:ind w:left="0" w:firstLine="482" w:firstLineChars="200"/>
        <w:jc w:val="left"/>
        <w:rPr>
          <w:rFonts w:ascii="仿宋" w:hAnsi="仿宋" w:eastAsia="仿宋" w:cs="仿宋"/>
          <w:color w:val="auto"/>
          <w:sz w:val="24"/>
          <w:szCs w:val="24"/>
          <w:highlight w:val="none"/>
        </w:rPr>
      </w:pPr>
      <w:bookmarkStart w:id="282" w:name="_Toc7642"/>
      <w:r>
        <w:rPr>
          <w:rFonts w:hint="eastAsia" w:ascii="仿宋" w:hAnsi="仿宋" w:eastAsia="仿宋" w:cs="仿宋"/>
          <w:color w:val="auto"/>
          <w:sz w:val="24"/>
          <w:szCs w:val="24"/>
          <w:highlight w:val="none"/>
        </w:rPr>
        <w:t>响应</w:t>
      </w:r>
      <w:bookmarkEnd w:id="282"/>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283" w:name="_Toc5976"/>
      <w:bookmarkStart w:id="284" w:name="_Toc2541"/>
      <w:bookmarkStart w:id="285" w:name="_Toc15515"/>
      <w:bookmarkStart w:id="286" w:name="_Toc7201"/>
      <w:bookmarkStart w:id="287" w:name="_Toc24089"/>
      <w:bookmarkStart w:id="288" w:name="_Toc17190"/>
      <w:bookmarkStart w:id="289" w:name="_Toc7004"/>
      <w:bookmarkStart w:id="290" w:name="_Toc504"/>
      <w:bookmarkStart w:id="291" w:name="_Toc22690"/>
      <w:bookmarkStart w:id="292" w:name="_Toc11217"/>
      <w:bookmarkStart w:id="293" w:name="_Toc12350"/>
      <w:bookmarkStart w:id="294" w:name="_Toc29011"/>
      <w:bookmarkStart w:id="295" w:name="_Toc12719"/>
      <w:bookmarkStart w:id="296" w:name="_Toc7061"/>
      <w:r>
        <w:rPr>
          <w:rFonts w:hint="eastAsia" w:ascii="仿宋" w:hAnsi="仿宋" w:eastAsia="仿宋" w:cs="仿宋"/>
          <w:color w:val="auto"/>
          <w:sz w:val="24"/>
          <w:szCs w:val="24"/>
          <w:highlight w:val="none"/>
        </w:rPr>
        <w:t>响应文件的密封</w:t>
      </w:r>
      <w:bookmarkEnd w:id="283"/>
      <w:bookmarkEnd w:id="284"/>
      <w:bookmarkEnd w:id="285"/>
      <w:bookmarkEnd w:id="286"/>
      <w:bookmarkEnd w:id="287"/>
      <w:bookmarkEnd w:id="288"/>
      <w:bookmarkEnd w:id="289"/>
      <w:bookmarkEnd w:id="290"/>
      <w:bookmarkEnd w:id="291"/>
      <w:bookmarkEnd w:id="292"/>
      <w:r>
        <w:rPr>
          <w:rFonts w:hint="eastAsia" w:ascii="仿宋" w:hAnsi="仿宋" w:eastAsia="仿宋" w:cs="仿宋"/>
          <w:color w:val="auto"/>
          <w:sz w:val="24"/>
          <w:szCs w:val="24"/>
          <w:highlight w:val="none"/>
        </w:rPr>
        <w:t>和标记</w:t>
      </w:r>
      <w:bookmarkEnd w:id="293"/>
      <w:bookmarkEnd w:id="294"/>
      <w:bookmarkEnd w:id="295"/>
      <w:bookmarkEnd w:id="296"/>
    </w:p>
    <w:p>
      <w:pPr>
        <w:numPr>
          <w:ilvl w:val="2"/>
          <w:numId w:val="3"/>
        </w:numPr>
        <w:shd w:val="clear"/>
        <w:spacing w:line="360" w:lineRule="auto"/>
        <w:ind w:firstLine="480" w:firstLineChars="200"/>
        <w:jc w:val="both"/>
        <w:rPr>
          <w:rFonts w:hint="eastAsia" w:ascii="仿宋" w:hAnsi="仿宋" w:eastAsia="仿宋" w:cs="仿宋"/>
          <w:color w:val="auto"/>
          <w:sz w:val="24"/>
          <w:szCs w:val="24"/>
          <w:highlight w:val="none"/>
        </w:rPr>
      </w:pPr>
      <w:bookmarkStart w:id="297" w:name="_Toc17164"/>
      <w:bookmarkStart w:id="298" w:name="_Toc8642"/>
      <w:bookmarkStart w:id="299" w:name="_Toc25206"/>
      <w:bookmarkStart w:id="300" w:name="_Toc28937"/>
      <w:bookmarkStart w:id="301" w:name="_Toc17234"/>
      <w:bookmarkStart w:id="302" w:name="_Toc32067"/>
      <w:bookmarkStart w:id="303" w:name="_Toc10448"/>
      <w:bookmarkStart w:id="304" w:name="_Toc14647"/>
      <w:bookmarkStart w:id="305" w:name="_Toc12787"/>
      <w:bookmarkStart w:id="306" w:name="_Toc2882"/>
      <w:bookmarkStart w:id="307" w:name="_Toc10018"/>
      <w:bookmarkStart w:id="308" w:name="_Toc17088"/>
      <w:r>
        <w:rPr>
          <w:rFonts w:hint="eastAsia" w:ascii="仿宋" w:hAnsi="仿宋" w:eastAsia="仿宋" w:cs="仿宋"/>
          <w:color w:val="auto"/>
          <w:sz w:val="24"/>
          <w:szCs w:val="24"/>
          <w:highlight w:val="none"/>
        </w:rPr>
        <w:t>签字或盖章的具体要求见供应商须知前附表。供应商应当按照征集文件和电子化交易系统的要求加密响应文件，具体要求见供应商须知前附表。</w:t>
      </w:r>
    </w:p>
    <w:p>
      <w:pPr>
        <w:numPr>
          <w:ilvl w:val="2"/>
          <w:numId w:val="3"/>
        </w:num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未按本章第4.1.1项要求加密和盖章的响应文件，电子化交易系统将予以拒收。</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309" w:name="_Toc32003"/>
      <w:bookmarkStart w:id="310" w:name="_Toc311"/>
      <w:r>
        <w:rPr>
          <w:rFonts w:hint="eastAsia" w:ascii="仿宋" w:hAnsi="仿宋" w:eastAsia="仿宋" w:cs="仿宋"/>
          <w:color w:val="auto"/>
          <w:sz w:val="24"/>
          <w:szCs w:val="24"/>
          <w:highlight w:val="none"/>
        </w:rPr>
        <w:t>响应文件的</w:t>
      </w:r>
      <w:bookmarkEnd w:id="297"/>
      <w:bookmarkEnd w:id="298"/>
      <w:bookmarkEnd w:id="299"/>
      <w:bookmarkEnd w:id="300"/>
      <w:bookmarkEnd w:id="301"/>
      <w:bookmarkEnd w:id="302"/>
      <w:bookmarkEnd w:id="303"/>
      <w:bookmarkEnd w:id="304"/>
      <w:bookmarkEnd w:id="305"/>
      <w:bookmarkEnd w:id="306"/>
      <w:r>
        <w:rPr>
          <w:rFonts w:hint="eastAsia" w:ascii="仿宋" w:hAnsi="仿宋" w:eastAsia="仿宋" w:cs="仿宋"/>
          <w:color w:val="auto"/>
          <w:sz w:val="24"/>
          <w:szCs w:val="24"/>
          <w:highlight w:val="none"/>
        </w:rPr>
        <w:t>提交</w:t>
      </w:r>
      <w:bookmarkEnd w:id="307"/>
      <w:bookmarkEnd w:id="308"/>
      <w:bookmarkEnd w:id="309"/>
      <w:bookmarkEnd w:id="310"/>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bookmarkStart w:id="311" w:name="_Toc7070"/>
      <w:bookmarkStart w:id="312" w:name="_Toc31018"/>
      <w:bookmarkStart w:id="313" w:name="_Toc1614"/>
      <w:bookmarkStart w:id="314" w:name="_Toc23125"/>
      <w:bookmarkStart w:id="315" w:name="_Toc21569"/>
      <w:bookmarkStart w:id="316" w:name="_Toc7423"/>
      <w:bookmarkStart w:id="317" w:name="_Toc1408"/>
      <w:bookmarkStart w:id="318" w:name="_Toc3471"/>
      <w:bookmarkStart w:id="319" w:name="_Toc19554"/>
      <w:bookmarkStart w:id="320" w:name="_Toc22212"/>
      <w:bookmarkStart w:id="321" w:name="_Toc23154"/>
      <w:bookmarkStart w:id="322" w:name="_Toc32365"/>
      <w:r>
        <w:rPr>
          <w:rFonts w:hint="eastAsia" w:ascii="仿宋" w:hAnsi="仿宋" w:eastAsia="仿宋" w:cs="仿宋"/>
          <w:color w:val="auto"/>
          <w:kern w:val="0"/>
          <w:sz w:val="24"/>
          <w:szCs w:val="24"/>
          <w:highlight w:val="none"/>
        </w:rPr>
        <w:t>供应商</w:t>
      </w:r>
      <w:r>
        <w:rPr>
          <w:rFonts w:hint="eastAsia" w:ascii="仿宋" w:hAnsi="仿宋" w:eastAsia="仿宋" w:cs="仿宋"/>
          <w:color w:val="auto"/>
          <w:spacing w:val="-2"/>
          <w:kern w:val="0"/>
          <w:sz w:val="24"/>
          <w:szCs w:val="24"/>
          <w:highlight w:val="none"/>
        </w:rPr>
        <w:t>应</w:t>
      </w:r>
      <w:r>
        <w:rPr>
          <w:rFonts w:hint="eastAsia" w:ascii="仿宋" w:hAnsi="仿宋" w:eastAsia="仿宋" w:cs="仿宋"/>
          <w:color w:val="auto"/>
          <w:kern w:val="0"/>
          <w:sz w:val="24"/>
          <w:szCs w:val="24"/>
          <w:highlight w:val="none"/>
        </w:rPr>
        <w:t>在</w:t>
      </w:r>
      <w:r>
        <w:rPr>
          <w:rFonts w:hint="eastAsia" w:ascii="仿宋" w:hAnsi="仿宋" w:eastAsia="仿宋" w:cs="仿宋"/>
          <w:color w:val="auto"/>
          <w:spacing w:val="-2"/>
          <w:kern w:val="0"/>
          <w:sz w:val="24"/>
          <w:szCs w:val="24"/>
          <w:highlight w:val="none"/>
        </w:rPr>
        <w:t>供应商须</w:t>
      </w:r>
      <w:r>
        <w:rPr>
          <w:rFonts w:hint="eastAsia" w:ascii="仿宋" w:hAnsi="仿宋" w:eastAsia="仿宋" w:cs="仿宋"/>
          <w:color w:val="auto"/>
          <w:kern w:val="0"/>
          <w:sz w:val="24"/>
          <w:szCs w:val="24"/>
          <w:highlight w:val="none"/>
        </w:rPr>
        <w:t>知前</w:t>
      </w:r>
      <w:r>
        <w:rPr>
          <w:rFonts w:hint="eastAsia" w:ascii="仿宋" w:hAnsi="仿宋" w:eastAsia="仿宋" w:cs="仿宋"/>
          <w:color w:val="auto"/>
          <w:spacing w:val="-2"/>
          <w:kern w:val="0"/>
          <w:sz w:val="24"/>
          <w:szCs w:val="24"/>
          <w:highlight w:val="none"/>
        </w:rPr>
        <w:t>附</w:t>
      </w:r>
      <w:r>
        <w:rPr>
          <w:rFonts w:hint="eastAsia" w:ascii="仿宋" w:hAnsi="仿宋" w:eastAsia="仿宋" w:cs="仿宋"/>
          <w:color w:val="auto"/>
          <w:kern w:val="0"/>
          <w:sz w:val="24"/>
          <w:szCs w:val="24"/>
          <w:highlight w:val="none"/>
        </w:rPr>
        <w:t>表</w:t>
      </w:r>
      <w:r>
        <w:rPr>
          <w:rFonts w:hint="eastAsia" w:ascii="仿宋" w:hAnsi="仿宋" w:eastAsia="仿宋" w:cs="仿宋"/>
          <w:color w:val="auto"/>
          <w:spacing w:val="-2"/>
          <w:kern w:val="0"/>
          <w:sz w:val="24"/>
          <w:szCs w:val="24"/>
          <w:highlight w:val="none"/>
        </w:rPr>
        <w:t>规</w:t>
      </w:r>
      <w:r>
        <w:rPr>
          <w:rFonts w:hint="eastAsia" w:ascii="仿宋" w:hAnsi="仿宋" w:eastAsia="仿宋" w:cs="仿宋"/>
          <w:color w:val="auto"/>
          <w:kern w:val="0"/>
          <w:sz w:val="24"/>
          <w:szCs w:val="24"/>
          <w:highlight w:val="none"/>
        </w:rPr>
        <w:t>定</w:t>
      </w:r>
      <w:r>
        <w:rPr>
          <w:rFonts w:hint="eastAsia" w:ascii="仿宋" w:hAnsi="仿宋" w:eastAsia="仿宋" w:cs="仿宋"/>
          <w:color w:val="auto"/>
          <w:spacing w:val="-2"/>
          <w:kern w:val="0"/>
          <w:sz w:val="24"/>
          <w:szCs w:val="24"/>
          <w:highlight w:val="none"/>
        </w:rPr>
        <w:t>的</w:t>
      </w:r>
      <w:r>
        <w:rPr>
          <w:rFonts w:hint="eastAsia" w:ascii="仿宋" w:hAnsi="仿宋" w:eastAsia="仿宋" w:cs="仿宋"/>
          <w:color w:val="auto"/>
          <w:kern w:val="0"/>
          <w:sz w:val="24"/>
          <w:szCs w:val="24"/>
          <w:highlight w:val="none"/>
        </w:rPr>
        <w:t>响应文件提交方式、提交截止时间和地点</w:t>
      </w:r>
      <w:r>
        <w:rPr>
          <w:rFonts w:hint="eastAsia" w:ascii="仿宋" w:hAnsi="仿宋" w:eastAsia="仿宋" w:cs="仿宋"/>
          <w:color w:val="auto"/>
          <w:sz w:val="24"/>
          <w:szCs w:val="24"/>
          <w:highlight w:val="none"/>
        </w:rPr>
        <w:t>通过下载征集文件的电子化交易系统提交电子响应文件，具体要求见供应商须知前附表。</w:t>
      </w:r>
    </w:p>
    <w:p>
      <w:pPr>
        <w:numPr>
          <w:ilvl w:val="2"/>
          <w:numId w:val="3"/>
        </w:numPr>
        <w:shd w:val="clear"/>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供应商完成电子响应文件上传后，电子化交易系统即时向供应商发出提交回执通知。提交时间以提交回执通知载明的传输完成时间为准。</w:t>
      </w:r>
    </w:p>
    <w:p>
      <w:pPr>
        <w:numPr>
          <w:ilvl w:val="2"/>
          <w:numId w:val="3"/>
        </w:numPr>
        <w:shd w:val="clear"/>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逾期提交的响应文件或未按规定加密的响应文件，电子化交易系统将予以拒收。</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323" w:name="_Toc9785"/>
      <w:bookmarkStart w:id="324" w:name="_Toc24270"/>
      <w:r>
        <w:rPr>
          <w:rFonts w:hint="eastAsia" w:ascii="仿宋" w:hAnsi="仿宋" w:eastAsia="仿宋" w:cs="仿宋"/>
          <w:color w:val="auto"/>
          <w:sz w:val="24"/>
          <w:szCs w:val="24"/>
          <w:highlight w:val="none"/>
        </w:rPr>
        <w:t>响应文件的修改和撤回</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pPr>
        <w:numPr>
          <w:ilvl w:val="2"/>
          <w:numId w:val="3"/>
        </w:numPr>
        <w:shd w:val="clear"/>
        <w:spacing w:line="360" w:lineRule="auto"/>
        <w:ind w:firstLine="480" w:firstLineChars="200"/>
        <w:jc w:val="left"/>
        <w:rPr>
          <w:rFonts w:ascii="仿宋" w:hAnsi="仿宋" w:eastAsia="仿宋" w:cs="仿宋"/>
          <w:color w:val="auto"/>
          <w:kern w:val="0"/>
          <w:sz w:val="24"/>
          <w:szCs w:val="24"/>
          <w:highlight w:val="none"/>
        </w:rPr>
      </w:pPr>
      <w:bookmarkStart w:id="325" w:name="_Toc312133547"/>
      <w:r>
        <w:rPr>
          <w:rFonts w:hint="eastAsia" w:ascii="仿宋" w:hAnsi="仿宋" w:eastAsia="仿宋" w:cs="仿宋"/>
          <w:color w:val="auto"/>
          <w:kern w:val="0"/>
          <w:sz w:val="24"/>
          <w:szCs w:val="24"/>
          <w:highlight w:val="none"/>
        </w:rPr>
        <w:t>提交响应文件以后，如果供应商进行修改或撤回的，须在响应文件提交截止时间前通过电子化交易系统提出书面申请，并按照本章第</w:t>
      </w:r>
      <w:r>
        <w:rPr>
          <w:rFonts w:hint="eastAsia" w:ascii="仿宋" w:hAnsi="仿宋" w:eastAsia="仿宋" w:cs="仿宋"/>
          <w:color w:val="auto"/>
          <w:sz w:val="24"/>
          <w:szCs w:val="24"/>
          <w:highlight w:val="none"/>
        </w:rPr>
        <w:t>3.7.3</w:t>
      </w:r>
      <w:r>
        <w:rPr>
          <w:rFonts w:hint="eastAsia" w:ascii="仿宋" w:hAnsi="仿宋" w:eastAsia="仿宋" w:cs="仿宋"/>
          <w:color w:val="auto"/>
          <w:kern w:val="0"/>
          <w:sz w:val="24"/>
          <w:szCs w:val="24"/>
          <w:highlight w:val="none"/>
        </w:rPr>
        <w:t>项的要求签字或盖章。修改内容为响应文件的组成部分，供应商对响应文件的修改应按本须知规定编制、密封、标记，并标明“修改”字样。</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在响应文件提交截止时间之后，供应商不得对其响应文件做任何修改。</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从响应文件提交截止时间至供应商在响应文件中载明的响应文件有效期满期间，供应商不得撤回其响应文件。</w:t>
      </w:r>
    </w:p>
    <w:p>
      <w:pPr>
        <w:pStyle w:val="5"/>
        <w:numPr>
          <w:ilvl w:val="0"/>
          <w:numId w:val="3"/>
        </w:numPr>
        <w:shd w:val="clear"/>
        <w:tabs>
          <w:tab w:val="left" w:pos="721"/>
          <w:tab w:val="left" w:pos="2880"/>
          <w:tab w:val="left" w:pos="3780"/>
          <w:tab w:val="clear" w:pos="567"/>
        </w:tabs>
        <w:spacing w:before="0" w:after="0" w:line="360" w:lineRule="auto"/>
        <w:ind w:left="0" w:firstLine="482" w:firstLineChars="200"/>
        <w:jc w:val="left"/>
        <w:rPr>
          <w:rFonts w:ascii="仿宋" w:hAnsi="仿宋" w:eastAsia="仿宋" w:cs="仿宋"/>
          <w:color w:val="auto"/>
          <w:sz w:val="24"/>
          <w:szCs w:val="24"/>
          <w:highlight w:val="none"/>
        </w:rPr>
      </w:pPr>
      <w:bookmarkStart w:id="326" w:name="_Toc22970"/>
      <w:r>
        <w:rPr>
          <w:rFonts w:hint="eastAsia" w:ascii="仿宋" w:hAnsi="仿宋" w:eastAsia="仿宋" w:cs="仿宋"/>
          <w:color w:val="auto"/>
          <w:sz w:val="24"/>
          <w:szCs w:val="24"/>
          <w:highlight w:val="none"/>
        </w:rPr>
        <w:t>开标、资格审查与</w:t>
      </w:r>
      <w:bookmarkEnd w:id="325"/>
      <w:r>
        <w:rPr>
          <w:rFonts w:hint="eastAsia" w:ascii="仿宋" w:hAnsi="仿宋" w:eastAsia="仿宋" w:cs="仿宋"/>
          <w:color w:val="auto"/>
          <w:sz w:val="24"/>
          <w:szCs w:val="24"/>
          <w:highlight w:val="none"/>
        </w:rPr>
        <w:t>评审</w:t>
      </w:r>
      <w:bookmarkEnd w:id="326"/>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327" w:name="_Toc1051"/>
      <w:bookmarkStart w:id="328" w:name="_Toc24837"/>
      <w:bookmarkStart w:id="329" w:name="_Toc24146"/>
      <w:bookmarkStart w:id="330" w:name="_Toc18032"/>
      <w:bookmarkStart w:id="331" w:name="_Toc28821"/>
      <w:bookmarkStart w:id="332" w:name="_Toc28628"/>
      <w:bookmarkStart w:id="333" w:name="_Toc21689"/>
      <w:bookmarkStart w:id="334" w:name="_Toc10066"/>
      <w:bookmarkStart w:id="335" w:name="_Toc30834"/>
      <w:bookmarkStart w:id="336" w:name="_Toc15697"/>
      <w:bookmarkStart w:id="337" w:name="_Toc7329"/>
      <w:bookmarkStart w:id="338" w:name="_Toc3484"/>
      <w:bookmarkStart w:id="339" w:name="_Toc3802"/>
      <w:bookmarkStart w:id="340" w:name="_Toc27050"/>
      <w:r>
        <w:rPr>
          <w:rFonts w:hint="eastAsia" w:ascii="仿宋" w:hAnsi="仿宋" w:eastAsia="仿宋" w:cs="仿宋"/>
          <w:color w:val="auto"/>
          <w:sz w:val="24"/>
          <w:szCs w:val="24"/>
          <w:highlight w:val="none"/>
        </w:rPr>
        <w:t>开标</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pPr>
        <w:numPr>
          <w:ilvl w:val="2"/>
          <w:numId w:val="3"/>
        </w:num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采购代理机构在供应商须知前附表中规定的时间和地点组织公开开标。供应商不足2家的，不得开标。</w:t>
      </w:r>
    </w:p>
    <w:p>
      <w:pPr>
        <w:numPr>
          <w:ilvl w:val="2"/>
          <w:numId w:val="3"/>
        </w:num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开启时，供应商通过政府采购电子采购系统对已递交的电子响应文件进行解密，所有供应商当准时在线解密。因供应商原因造成响应文件未解密的，视为其撤销响应文件。解密完成后，通过电子采购系统宣读供应商名称、响应价格及征集文件规定的内容。对于供应商在响应文件递交截止时间前递交的响应声明，在开标时通过电子采购系统宣读，评审时有效。未宣读响应价格、价格折扣等实质内容，评审时不予承认。</w:t>
      </w:r>
    </w:p>
    <w:p>
      <w:pPr>
        <w:numPr>
          <w:ilvl w:val="2"/>
          <w:numId w:val="3"/>
        </w:num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供应商未参加开标的，视同认可开标结果。</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341" w:name="_Toc29955"/>
      <w:bookmarkStart w:id="342" w:name="_Toc27296"/>
      <w:bookmarkStart w:id="343" w:name="_Toc5716"/>
      <w:bookmarkStart w:id="344" w:name="_Toc8400"/>
      <w:bookmarkStart w:id="345" w:name="_Toc20142"/>
      <w:bookmarkStart w:id="346" w:name="_Toc18956"/>
      <w:bookmarkStart w:id="347" w:name="_Toc24277"/>
      <w:bookmarkStart w:id="348" w:name="_Toc22131"/>
      <w:bookmarkStart w:id="349" w:name="_Toc29637"/>
      <w:bookmarkStart w:id="350" w:name="_Toc31363"/>
      <w:bookmarkStart w:id="351" w:name="_Toc11192"/>
      <w:bookmarkStart w:id="352" w:name="_Toc29315"/>
      <w:bookmarkStart w:id="353" w:name="_Toc7974"/>
      <w:bookmarkStart w:id="354" w:name="_Toc18862"/>
      <w:r>
        <w:rPr>
          <w:rFonts w:hint="eastAsia" w:ascii="仿宋" w:hAnsi="仿宋" w:eastAsia="仿宋" w:cs="仿宋"/>
          <w:color w:val="auto"/>
          <w:sz w:val="24"/>
          <w:szCs w:val="24"/>
          <w:highlight w:val="none"/>
        </w:rPr>
        <w:t>资格审查工作</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开标结束后，采购代理机构或采购人代表应当依法对供应商的资格进行审查，未通过资格审查的供应商不能进入评审，其响应将被认定为无效响应；合格供应商不足2家的，不得评审。</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355" w:name="_Toc11870"/>
      <w:bookmarkStart w:id="356" w:name="_Toc29342"/>
      <w:bookmarkStart w:id="357" w:name="_Toc9413"/>
      <w:bookmarkStart w:id="358" w:name="_Toc32536"/>
      <w:r>
        <w:rPr>
          <w:rFonts w:hint="eastAsia" w:ascii="仿宋" w:hAnsi="仿宋" w:eastAsia="仿宋" w:cs="仿宋"/>
          <w:color w:val="auto"/>
          <w:sz w:val="24"/>
          <w:szCs w:val="24"/>
          <w:highlight w:val="none"/>
        </w:rPr>
        <w:t>评审工作</w:t>
      </w:r>
      <w:bookmarkEnd w:id="355"/>
      <w:bookmarkEnd w:id="356"/>
      <w:bookmarkEnd w:id="357"/>
      <w:bookmarkEnd w:id="358"/>
    </w:p>
    <w:p>
      <w:pPr>
        <w:numPr>
          <w:ilvl w:val="2"/>
          <w:numId w:val="3"/>
        </w:num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评审小组</w:t>
      </w:r>
    </w:p>
    <w:p>
      <w:pPr>
        <w:shd w:val="clear"/>
        <w:tabs>
          <w:tab w:val="left" w:pos="720"/>
        </w:tabs>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）评审工作由采购人依法组建的评审小组负责，对所有供应商的响应文件进行审评，并按评审方法规定的方式确定入围供应商。</w:t>
      </w:r>
    </w:p>
    <w:p>
      <w:pPr>
        <w:shd w:val="clear"/>
        <w:tabs>
          <w:tab w:val="left" w:pos="720"/>
        </w:tabs>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）评审小组由采购人代表和评审专家组成，成员人数为5人以上单数，其中评审专家不得少于成员总数的三分之二。</w:t>
      </w:r>
    </w:p>
    <w:p>
      <w:pPr>
        <w:shd w:val="clear"/>
        <w:tabs>
          <w:tab w:val="left" w:pos="720"/>
        </w:tabs>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）评审专家对本单位的采购项目只能作为采购人代表参与评审，对技术复杂、专业性强的采购项目，通过随机方式难以确定合适评审专家的情形除外。</w:t>
      </w:r>
    </w:p>
    <w:p>
      <w:pPr>
        <w:shd w:val="clear"/>
        <w:tabs>
          <w:tab w:val="left" w:pos="720"/>
        </w:tabs>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）采购代理机构工作人员不得参加由本机构代理的政府采购项目的评审。</w:t>
      </w:r>
    </w:p>
    <w:p>
      <w:pPr>
        <w:shd w:val="clear"/>
        <w:tabs>
          <w:tab w:val="left" w:pos="720"/>
        </w:tabs>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）评审小组成员名单在评审结果公告前应当保密。</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评审小组及其成员不得有下列行为：</w:t>
      </w:r>
    </w:p>
    <w:p>
      <w:pPr>
        <w:shd w:val="clear"/>
        <w:tabs>
          <w:tab w:val="left" w:pos="720"/>
        </w:tabs>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确定参与评审至评审结束前私自接触供应商；</w:t>
      </w:r>
    </w:p>
    <w:p>
      <w:pPr>
        <w:shd w:val="clear"/>
        <w:tabs>
          <w:tab w:val="left" w:pos="720"/>
        </w:tabs>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接受供应商提出的与响应文件不一致的澄清或者说明（对于响应文件中含义不明确、同类问题表述不一致或者有明显文字和计算错误的内容，评审小组以书面形式要求供应商作出必要的澄清、说明或者补正的除外）；</w:t>
      </w:r>
    </w:p>
    <w:p>
      <w:pPr>
        <w:shd w:val="clear"/>
        <w:tabs>
          <w:tab w:val="left" w:pos="720"/>
        </w:tabs>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违反评审纪律发表倾向性意见或者征询采购人的倾向性意见；</w:t>
      </w:r>
    </w:p>
    <w:p>
      <w:pPr>
        <w:shd w:val="clear"/>
        <w:tabs>
          <w:tab w:val="left" w:pos="720"/>
        </w:tabs>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对需要专业判断的主观评审因素协商评分；</w:t>
      </w:r>
    </w:p>
    <w:p>
      <w:pPr>
        <w:shd w:val="clear"/>
        <w:tabs>
          <w:tab w:val="left" w:pos="720"/>
        </w:tabs>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在评审过程中擅离职守，影响评审程序正常进行的；</w:t>
      </w:r>
    </w:p>
    <w:p>
      <w:pPr>
        <w:shd w:val="clear"/>
        <w:tabs>
          <w:tab w:val="left" w:pos="720"/>
        </w:tabs>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记录、复制或者带走任何评审资料；</w:t>
      </w:r>
    </w:p>
    <w:p>
      <w:pPr>
        <w:shd w:val="clear"/>
        <w:tabs>
          <w:tab w:val="left" w:pos="720"/>
        </w:tabs>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其他不遵守评审纪律的行为。</w:t>
      </w:r>
    </w:p>
    <w:p>
      <w:pPr>
        <w:shd w:val="clear"/>
        <w:tabs>
          <w:tab w:val="left" w:pos="720"/>
        </w:tabs>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评审小组成员有本章第5.3.2项第（1）至（5）行为之一的，其评审意见无效，并不得获取评审劳务报酬和报销异地评审差旅费。</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评审小组成员对需要共同认定的事项存在争议的，应当按照少数服从多数的原则作出结论。持不同意见的评审小组成员应当在评审报告上签署不同意见及理由，否则视为同意评审报告。</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评审</w:t>
      </w:r>
    </w:p>
    <w:p>
      <w:pPr>
        <w:numPr>
          <w:numId w:val="0"/>
        </w:numPr>
        <w:shd w:val="clear"/>
        <w:autoSpaceDE w:val="0"/>
        <w:autoSpaceDN w:val="0"/>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评审小组按照第三章评审方法规定的方法、评审因素、标准和程序对响应文件进行评审。第三章评审方法没有规定的方法、评审因素和标准，不作为评审依据。</w:t>
      </w:r>
    </w:p>
    <w:p>
      <w:pPr>
        <w:numPr>
          <w:numId w:val="0"/>
        </w:numPr>
        <w:shd w:val="clear"/>
        <w:autoSpaceDE w:val="0"/>
        <w:autoSpaceDN w:val="0"/>
        <w:adjustRightInd w:val="0"/>
        <w:spacing w:line="360" w:lineRule="auto"/>
        <w:ind w:leftChars="200"/>
        <w:jc w:val="left"/>
        <w:rPr>
          <w:rFonts w:ascii="仿宋" w:hAnsi="仿宋" w:eastAsia="仿宋" w:cs="仿宋"/>
          <w:color w:val="auto"/>
          <w:kern w:val="0"/>
          <w:sz w:val="24"/>
          <w:szCs w:val="24"/>
          <w:highlight w:val="none"/>
        </w:rPr>
      </w:pPr>
      <w:bookmarkStart w:id="359" w:name="_Toc12609"/>
      <w:bookmarkStart w:id="360" w:name="_Toc27622"/>
      <w:bookmarkStart w:id="361" w:name="_Toc25530"/>
      <w:bookmarkStart w:id="362" w:name="_Toc10927"/>
      <w:bookmarkStart w:id="363" w:name="_Toc25755"/>
      <w:bookmarkStart w:id="364" w:name="_Toc28834"/>
      <w:bookmarkStart w:id="365" w:name="_Toc608"/>
      <w:bookmarkStart w:id="366" w:name="_Toc7396"/>
      <w:bookmarkStart w:id="367" w:name="_Toc11769"/>
      <w:bookmarkStart w:id="368" w:name="_Toc12131"/>
      <w:bookmarkStart w:id="369" w:name="_Toc27176"/>
      <w:bookmarkStart w:id="370" w:name="_Toc27170"/>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评审完成后，评审小组应当向采购人提交书面评审报告和入围供应商名单。</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371" w:name="_Toc16842"/>
      <w:bookmarkStart w:id="372" w:name="_Toc24516"/>
      <w:r>
        <w:rPr>
          <w:rFonts w:hint="eastAsia" w:ascii="仿宋" w:hAnsi="仿宋" w:eastAsia="仿宋" w:cs="仿宋"/>
          <w:color w:val="auto"/>
          <w:sz w:val="24"/>
          <w:szCs w:val="24"/>
          <w:highlight w:val="none"/>
        </w:rPr>
        <w:t>保密及其它注意事项</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bookmarkStart w:id="373" w:name="_Toc312133548"/>
      <w:r>
        <w:rPr>
          <w:rFonts w:hint="eastAsia" w:ascii="仿宋" w:hAnsi="仿宋" w:eastAsia="仿宋" w:cs="仿宋"/>
          <w:color w:val="auto"/>
          <w:sz w:val="24"/>
          <w:szCs w:val="24"/>
          <w:highlight w:val="none"/>
        </w:rPr>
        <w:t>评审是采购工作的重要环节，评审工作在评审小组内独立进行。</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评审小组将遵照规定的评审方法，公正、平等地对待所有供应商。</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在开标、评审期间，供应商不得向评委询问评审情况，不得进行旨在影响评审结果的活动。否则其响应文件可能被拒绝。</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为保证评审的公正性，开标后直至授予框架协议，评委不得与供应商私下交换意见。</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在评审工作结束后，凡与评审情况有接触的任何人不得擅自将评审情况扩散出评审人员之外。</w:t>
      </w:r>
    </w:p>
    <w:p>
      <w:pPr>
        <w:pStyle w:val="5"/>
        <w:numPr>
          <w:ilvl w:val="0"/>
          <w:numId w:val="3"/>
        </w:numPr>
        <w:shd w:val="clear"/>
        <w:tabs>
          <w:tab w:val="left" w:pos="721"/>
          <w:tab w:val="left" w:pos="2880"/>
          <w:tab w:val="left" w:pos="3780"/>
          <w:tab w:val="clear" w:pos="567"/>
        </w:tabs>
        <w:spacing w:before="0" w:after="0" w:line="360" w:lineRule="auto"/>
        <w:ind w:left="0" w:firstLine="482" w:firstLineChars="200"/>
        <w:jc w:val="left"/>
        <w:rPr>
          <w:rFonts w:ascii="仿宋" w:hAnsi="仿宋" w:eastAsia="仿宋" w:cs="仿宋"/>
          <w:color w:val="auto"/>
          <w:sz w:val="24"/>
          <w:szCs w:val="24"/>
          <w:highlight w:val="none"/>
        </w:rPr>
      </w:pPr>
      <w:bookmarkStart w:id="374" w:name="_Toc7838"/>
      <w:r>
        <w:rPr>
          <w:rFonts w:hint="eastAsia" w:ascii="仿宋" w:hAnsi="仿宋" w:eastAsia="仿宋" w:cs="仿宋"/>
          <w:color w:val="auto"/>
          <w:sz w:val="24"/>
          <w:szCs w:val="24"/>
          <w:highlight w:val="none"/>
        </w:rPr>
        <w:t>授予</w:t>
      </w:r>
      <w:bookmarkEnd w:id="373"/>
      <w:r>
        <w:rPr>
          <w:rFonts w:hint="eastAsia" w:ascii="仿宋" w:hAnsi="仿宋" w:eastAsia="仿宋" w:cs="仿宋"/>
          <w:color w:val="auto"/>
          <w:sz w:val="24"/>
          <w:szCs w:val="24"/>
          <w:highlight w:val="none"/>
        </w:rPr>
        <w:t>框架协议</w:t>
      </w:r>
      <w:bookmarkEnd w:id="374"/>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375" w:name="_Toc13599"/>
      <w:bookmarkStart w:id="376" w:name="_Toc24587"/>
      <w:bookmarkStart w:id="377" w:name="_Toc15386"/>
      <w:bookmarkStart w:id="378" w:name="_Toc22971"/>
      <w:bookmarkStart w:id="379" w:name="_Toc27632"/>
      <w:bookmarkStart w:id="380" w:name="_Toc20199"/>
      <w:bookmarkStart w:id="381" w:name="_Toc5223"/>
      <w:bookmarkStart w:id="382" w:name="_Toc22592"/>
      <w:bookmarkStart w:id="383" w:name="_Toc13743"/>
      <w:bookmarkStart w:id="384" w:name="_Toc21756"/>
      <w:bookmarkStart w:id="385" w:name="_Toc32241"/>
      <w:bookmarkStart w:id="386" w:name="_Toc3574"/>
      <w:bookmarkStart w:id="387" w:name="_Toc6320"/>
      <w:bookmarkStart w:id="388" w:name="_Toc22245"/>
      <w:bookmarkStart w:id="389" w:name="_Toc17818"/>
      <w:bookmarkStart w:id="390" w:name="_Toc30644"/>
      <w:bookmarkStart w:id="391" w:name="_Toc23900"/>
      <w:bookmarkStart w:id="392" w:name="_Toc26604"/>
      <w:bookmarkStart w:id="393" w:name="_Toc22088"/>
      <w:bookmarkStart w:id="394" w:name="_Toc22457"/>
      <w:r>
        <w:rPr>
          <w:rFonts w:hint="eastAsia" w:ascii="仿宋" w:hAnsi="仿宋" w:eastAsia="仿宋" w:cs="仿宋"/>
          <w:color w:val="auto"/>
          <w:sz w:val="24"/>
          <w:szCs w:val="24"/>
          <w:highlight w:val="none"/>
        </w:rPr>
        <w:t>入围结果公告</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bookmarkEnd w:id="389"/>
    <w:bookmarkEnd w:id="390"/>
    <w:bookmarkEnd w:id="391"/>
    <w:bookmarkEnd w:id="392"/>
    <w:bookmarkEnd w:id="393"/>
    <w:bookmarkEnd w:id="394"/>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bookmarkStart w:id="395" w:name="_Toc18763"/>
      <w:bookmarkStart w:id="396" w:name="_Toc22820"/>
      <w:bookmarkStart w:id="397" w:name="_Toc6603"/>
      <w:bookmarkStart w:id="398" w:name="_Toc16455"/>
      <w:bookmarkStart w:id="399" w:name="_Toc16406"/>
      <w:bookmarkStart w:id="400" w:name="_Toc25621"/>
      <w:bookmarkStart w:id="401" w:name="_Toc23610"/>
      <w:bookmarkStart w:id="402" w:name="_Toc21786"/>
      <w:bookmarkStart w:id="403" w:name="_Toc29117"/>
      <w:bookmarkStart w:id="404" w:name="_Toc12224"/>
      <w:bookmarkStart w:id="405" w:name="_Toc22911"/>
      <w:bookmarkStart w:id="406" w:name="_Toc22373"/>
      <w:r>
        <w:rPr>
          <w:rFonts w:hint="eastAsia" w:ascii="仿宋" w:hAnsi="仿宋" w:eastAsia="仿宋" w:cs="仿宋"/>
          <w:color w:val="auto"/>
          <w:sz w:val="24"/>
          <w:szCs w:val="24"/>
          <w:highlight w:val="none"/>
        </w:rPr>
        <w:t>采购代理机构应当在入围供应商确定之日起1个工作日内，在省级以上财政部门指定的媒体上发布入围结果公告，征集文件应当随入围结果同时公告。公告期限为1个工作日。</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入围结果公告内容包括采购项目名称、编号、采购人的名称、地址、联系人和联系方式、入围供应商名称、地址及排序、主要服务内容及服务标准，投标费率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若有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、评审小组成员名单、采购代理服务收费标准及金额、公告期限及省级以上财政部门规定的其他事项。</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入围通知书发出后，采购人不得违法改变入围结果，入围供应商无正当理由不得放弃入围。</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入围供应商为残疾人福利性单位的，采购人、采购代理机构将随入围结果同时公告其《残疾人福利性单位声明函》，接受社会监督。入围供应商享受《政府采购促进中小企业发展管理办法》规定的中小企业扶持政策的，采购人、采购代理机构应当随入围结果公开入围供应商的《中小企业声明函》。</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407" w:name="_Toc14267"/>
      <w:bookmarkStart w:id="408" w:name="_Toc19038"/>
      <w:r>
        <w:rPr>
          <w:rFonts w:hint="eastAsia" w:ascii="仿宋" w:hAnsi="仿宋" w:eastAsia="仿宋" w:cs="仿宋"/>
          <w:color w:val="auto"/>
          <w:sz w:val="24"/>
          <w:szCs w:val="24"/>
          <w:highlight w:val="none"/>
        </w:rPr>
        <w:t>取消入围资格或者</w:t>
      </w:r>
      <w:r>
        <w:rPr>
          <w:rFonts w:hint="eastAsia" w:ascii="仿宋" w:hAnsi="仿宋" w:eastAsia="仿宋" w:cs="仿宋"/>
          <w:color w:val="auto"/>
          <w:kern w:val="0"/>
          <w:sz w:val="24"/>
          <w:szCs w:val="24"/>
          <w:highlight w:val="none"/>
        </w:rPr>
        <w:t>解除框架协议</w:t>
      </w:r>
      <w:bookmarkEnd w:id="395"/>
      <w:bookmarkEnd w:id="396"/>
      <w:bookmarkEnd w:id="397"/>
      <w:r>
        <w:rPr>
          <w:rFonts w:hint="eastAsia" w:ascii="仿宋" w:hAnsi="仿宋" w:eastAsia="仿宋" w:cs="仿宋"/>
          <w:color w:val="auto"/>
          <w:kern w:val="0"/>
          <w:sz w:val="24"/>
          <w:szCs w:val="24"/>
          <w:highlight w:val="none"/>
        </w:rPr>
        <w:t>的情形</w:t>
      </w:r>
      <w:bookmarkEnd w:id="398"/>
      <w:bookmarkEnd w:id="399"/>
      <w:bookmarkEnd w:id="407"/>
      <w:bookmarkEnd w:id="408"/>
    </w:p>
    <w:p>
      <w:pPr>
        <w:numPr>
          <w:ilvl w:val="2"/>
          <w:numId w:val="3"/>
        </w:numPr>
        <w:shd w:val="clear"/>
        <w:spacing w:line="360" w:lineRule="auto"/>
        <w:ind w:firstLine="480" w:firstLineChars="200"/>
        <w:rPr>
          <w:rFonts w:ascii="仿宋" w:hAnsi="仿宋" w:eastAsia="仿宋" w:cs="仿宋"/>
          <w:color w:val="auto"/>
          <w:sz w:val="24"/>
          <w:szCs w:val="24"/>
          <w:highlight w:val="none"/>
        </w:rPr>
      </w:pPr>
      <w:bookmarkStart w:id="409" w:name="_Toc10523"/>
      <w:bookmarkStart w:id="410" w:name="_Toc3263"/>
      <w:r>
        <w:rPr>
          <w:rFonts w:hint="eastAsia" w:ascii="仿宋" w:hAnsi="仿宋" w:eastAsia="仿宋" w:cs="仿宋"/>
          <w:color w:val="auto"/>
          <w:sz w:val="24"/>
          <w:szCs w:val="24"/>
          <w:highlight w:val="none"/>
        </w:rPr>
        <w:t>入围供应商有下列情形之一，尚未签订框架协议的，取消其入围资格；已经签订框架协议的，解除与其签订的框架协议：</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（一）恶意串通谋取入围或者合同成交的；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（二）提供虚假材料谋取入围或者合同成交的；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（三）无正当理由拒不接受合同授予的；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（四）不履行合同义务或者履行合同义务不符合约定，经采购人请求履行后仍不履行或者仍未按约定履行的；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（五）框架协议有效期内，因违法行为被禁止或限制参加政府采购活动的；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六）服务期内，与单项审计项目中的被审计单位或与单项审计项目直接有关的建设、施工、监理等单位存在控股、管理等关联关系，或在被审计单位或在单项审计项目直接有关的建设、施工、监理等单位有任职高管，未主动提出回避而承接该项目审计服务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lang w:eastAsia="zh-CN"/>
        </w:rPr>
        <w:t>）不遵守保密规定，向被审计单位、个人和无关人员透露审计情况的；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lang w:eastAsia="zh-CN"/>
        </w:rPr>
        <w:t>）与被审计单位之间以不正当形式交流、私下串通的；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九</w:t>
      </w:r>
      <w:r>
        <w:rPr>
          <w:rFonts w:hint="eastAsia" w:ascii="仿宋" w:hAnsi="仿宋" w:eastAsia="仿宋" w:cs="仿宋"/>
          <w:color w:val="auto"/>
          <w:sz w:val="24"/>
          <w:szCs w:val="24"/>
          <w:highlight w:val="none"/>
          <w:lang w:eastAsia="zh-CN"/>
        </w:rPr>
        <w:t>）有社会投诉并经查证属实等违法违规行为的；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十</w:t>
      </w:r>
      <w:r>
        <w:rPr>
          <w:rFonts w:hint="eastAsia" w:ascii="仿宋" w:hAnsi="仿宋" w:eastAsia="仿宋" w:cs="仿宋"/>
          <w:color w:val="auto"/>
          <w:sz w:val="24"/>
          <w:szCs w:val="24"/>
          <w:highlight w:val="none"/>
          <w:lang w:eastAsia="zh-CN"/>
        </w:rPr>
        <w:t>）存在泄密等问题，导致重大项目受到影响的；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十一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其他情形。</w:t>
      </w:r>
    </w:p>
    <w:p>
      <w:pPr>
        <w:numPr>
          <w:ilvl w:val="2"/>
          <w:numId w:val="3"/>
        </w:num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被取消入围资格或者被解除框架协议的供应商不得参加同一封闭式框架协议补充征集。</w:t>
      </w:r>
    </w:p>
    <w:p>
      <w:pPr>
        <w:numPr>
          <w:ilvl w:val="2"/>
          <w:numId w:val="3"/>
        </w:num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因重大变故采购任务取消时，采购人有权拒绝任何供应商入围，且对受影响的供应商不承担任何责任。</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411" w:name="_Toc26450"/>
      <w:bookmarkStart w:id="412" w:name="_Toc7333"/>
      <w:r>
        <w:rPr>
          <w:rFonts w:hint="eastAsia" w:ascii="仿宋" w:hAnsi="仿宋" w:eastAsia="仿宋" w:cs="仿宋"/>
          <w:color w:val="auto"/>
          <w:sz w:val="24"/>
          <w:szCs w:val="24"/>
          <w:highlight w:val="none"/>
        </w:rPr>
        <w:t>入围通知书</w:t>
      </w:r>
      <w:bookmarkEnd w:id="409"/>
      <w:bookmarkEnd w:id="410"/>
      <w:bookmarkEnd w:id="411"/>
      <w:bookmarkEnd w:id="412"/>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在公告入围结果的同时，采购人或者采购代理机构应当向入围供应商发出入围通知书，入围通知书将作为签订框架协议的依据。</w:t>
      </w:r>
    </w:p>
    <w:bookmarkEnd w:id="400"/>
    <w:bookmarkEnd w:id="401"/>
    <w:bookmarkEnd w:id="402"/>
    <w:bookmarkEnd w:id="403"/>
    <w:bookmarkEnd w:id="404"/>
    <w:bookmarkEnd w:id="405"/>
    <w:bookmarkEnd w:id="406"/>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413" w:name="_Toc14397"/>
      <w:bookmarkStart w:id="414" w:name="_Toc21737"/>
      <w:bookmarkStart w:id="415" w:name="_Toc14180"/>
      <w:bookmarkStart w:id="416" w:name="_Toc1040"/>
      <w:bookmarkStart w:id="417" w:name="_Toc26111"/>
      <w:bookmarkStart w:id="418" w:name="_Toc15209"/>
      <w:bookmarkStart w:id="419" w:name="_Toc13906"/>
      <w:bookmarkStart w:id="420" w:name="_Toc3815"/>
      <w:bookmarkStart w:id="421" w:name="_Toc889"/>
      <w:bookmarkStart w:id="422" w:name="_Toc11136"/>
      <w:bookmarkStart w:id="423" w:name="_Toc25686"/>
      <w:bookmarkStart w:id="424" w:name="_Toc3979"/>
      <w:bookmarkStart w:id="425" w:name="_Toc9865"/>
      <w:bookmarkStart w:id="426" w:name="_Toc21924"/>
      <w:bookmarkStart w:id="427" w:name="_Toc3376"/>
      <w:bookmarkStart w:id="428" w:name="_Toc12530"/>
      <w:bookmarkStart w:id="429" w:name="_Toc26471"/>
      <w:bookmarkStart w:id="430" w:name="_Toc11221"/>
      <w:bookmarkStart w:id="431" w:name="_Toc15061"/>
      <w:bookmarkStart w:id="432" w:name="_Toc1226"/>
      <w:r>
        <w:rPr>
          <w:rFonts w:hint="eastAsia" w:ascii="仿宋" w:hAnsi="仿宋" w:eastAsia="仿宋" w:cs="仿宋"/>
          <w:color w:val="auto"/>
          <w:sz w:val="24"/>
          <w:szCs w:val="24"/>
          <w:highlight w:val="none"/>
        </w:rPr>
        <w:t>履约保证金</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pPr>
        <w:shd w:val="clear"/>
        <w:spacing w:line="360" w:lineRule="auto"/>
        <w:ind w:firstLine="480" w:firstLineChars="200"/>
        <w:jc w:val="left"/>
        <w:rPr>
          <w:rFonts w:ascii="仿宋" w:hAnsi="仿宋" w:eastAsia="仿宋" w:cs="仿宋"/>
          <w:color w:val="auto"/>
          <w:sz w:val="24"/>
          <w:szCs w:val="24"/>
          <w:highlight w:val="none"/>
        </w:rPr>
      </w:pPr>
      <w:bookmarkStart w:id="433" w:name="_Toc22384"/>
      <w:r>
        <w:rPr>
          <w:rFonts w:hint="eastAsia" w:ascii="仿宋" w:hAnsi="仿宋" w:eastAsia="仿宋" w:cs="仿宋"/>
          <w:color w:val="auto"/>
          <w:sz w:val="24"/>
          <w:szCs w:val="24"/>
          <w:highlight w:val="none"/>
        </w:rPr>
        <w:t>不要求</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434" w:name="_Toc8166"/>
      <w:bookmarkStart w:id="435" w:name="_Toc22876"/>
      <w:bookmarkStart w:id="436" w:name="_Toc10148"/>
      <w:bookmarkStart w:id="437" w:name="_Toc27066"/>
      <w:bookmarkStart w:id="438" w:name="_Toc396"/>
      <w:bookmarkStart w:id="439" w:name="_Toc9153"/>
      <w:bookmarkStart w:id="440" w:name="_Toc17849"/>
      <w:r>
        <w:rPr>
          <w:rFonts w:hint="eastAsia" w:ascii="仿宋" w:hAnsi="仿宋" w:eastAsia="仿宋" w:cs="仿宋"/>
          <w:color w:val="auto"/>
          <w:sz w:val="24"/>
          <w:szCs w:val="24"/>
          <w:highlight w:val="none"/>
        </w:rPr>
        <w:t>签订</w:t>
      </w:r>
      <w:bookmarkEnd w:id="427"/>
      <w:bookmarkEnd w:id="428"/>
      <w:bookmarkEnd w:id="429"/>
      <w:bookmarkEnd w:id="430"/>
      <w:bookmarkEnd w:id="431"/>
      <w:bookmarkEnd w:id="432"/>
      <w:bookmarkEnd w:id="433"/>
      <w:bookmarkEnd w:id="434"/>
      <w:bookmarkEnd w:id="435"/>
      <w:bookmarkEnd w:id="436"/>
      <w:r>
        <w:rPr>
          <w:rFonts w:hint="eastAsia" w:ascii="仿宋" w:hAnsi="仿宋" w:eastAsia="仿宋" w:cs="仿宋"/>
          <w:color w:val="auto"/>
          <w:sz w:val="24"/>
          <w:szCs w:val="24"/>
          <w:highlight w:val="none"/>
        </w:rPr>
        <w:t>框架协议</w:t>
      </w:r>
      <w:bookmarkEnd w:id="437"/>
      <w:bookmarkEnd w:id="438"/>
      <w:bookmarkEnd w:id="439"/>
      <w:bookmarkEnd w:id="440"/>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应当自入围通知书发出之日起2个工作日内和入围供应商签订框架协议，并在框架协议签订后2个工作日内，将框架协议副本报本级财政部门备案。所签订的框架协议不得对征集文件确定的事项和入围供应商响应文件作实质性修改。</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入围供应商拒绝与采购人签订框架协议或者不按本章第6.5.1项约定签订框架协议的，采购人将取消其入围资格，剩余入围供应商不足入围供应商总数70%且影响框架协议执行的，框架协议有效期内，征集人可以补充征集供应商。</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征集文件、入围供应商的响应文件和澄清文件等，均应作为签约的合同文本的基础。</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入围供应商无正当理由，不得主动放弃入围资格或者退出框架协议。</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采购人在框架协议签订后</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个工作日内通过电子化交易系统将入围信息告知适用框架协议的所有采购人或者服务对象。</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入围信息应当包括所有入围供应商的名称、地址、联系方式、入围产品信息和协议价格等内容。入围信息应当详细列明技术规格或者服务内容、服务标准等能反映产品质量特点的内容。</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征集文件和入围信息在整个框架协议有效期内随时可供公众查阅。</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441" w:name="_Toc18515"/>
      <w:bookmarkStart w:id="442" w:name="_Toc2641"/>
      <w:bookmarkStart w:id="443" w:name="_Toc31510"/>
      <w:bookmarkStart w:id="444" w:name="_Toc31873"/>
      <w:r>
        <w:rPr>
          <w:rFonts w:hint="eastAsia" w:ascii="仿宋" w:hAnsi="仿宋" w:eastAsia="仿宋" w:cs="仿宋"/>
          <w:color w:val="auto"/>
          <w:sz w:val="24"/>
          <w:szCs w:val="24"/>
          <w:highlight w:val="none"/>
        </w:rPr>
        <w:t>第二阶段成交供应商的选定</w:t>
      </w:r>
      <w:bookmarkEnd w:id="441"/>
      <w:bookmarkEnd w:id="442"/>
      <w:bookmarkEnd w:id="443"/>
      <w:bookmarkEnd w:id="444"/>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由采购人按照供应商须知表6.6.1中规定的方式确定第二阶段成交供应商。</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采购人应当</w:t>
      </w:r>
      <w:r>
        <w:rPr>
          <w:rFonts w:hint="eastAsia" w:ascii="仿宋" w:hAnsi="仿宋" w:eastAsia="仿宋" w:cs="仿宋"/>
          <w:color w:val="auto"/>
          <w:sz w:val="24"/>
          <w:szCs w:val="24"/>
          <w:highlight w:val="none"/>
          <w:lang w:val="en-US" w:eastAsia="zh-CN"/>
        </w:rPr>
        <w:t>公开第二阶段</w:t>
      </w:r>
      <w:r>
        <w:rPr>
          <w:rFonts w:hint="eastAsia" w:ascii="仿宋" w:hAnsi="仿宋" w:eastAsia="仿宋" w:cs="仿宋"/>
          <w:color w:val="auto"/>
          <w:sz w:val="24"/>
          <w:szCs w:val="24"/>
          <w:highlight w:val="none"/>
        </w:rPr>
        <w:t>成交结果。</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服务对象采购框架协议约定的服务，应当将第二阶段的采购合同授予入围供应商。</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同一框架协议采购应当使用统一的采购合同文本，服务对象和供应商不得擅自改变框架协议约定的合同实质性条款。</w:t>
      </w:r>
    </w:p>
    <w:p>
      <w:pPr>
        <w:pStyle w:val="6"/>
        <w:numPr>
          <w:ilvl w:val="1"/>
          <w:numId w:val="3"/>
        </w:numPr>
        <w:shd w:val="clear"/>
        <w:spacing w:before="0" w:after="0" w:line="360" w:lineRule="auto"/>
        <w:ind w:firstLine="482" w:firstLineChars="200"/>
        <w:rPr>
          <w:rFonts w:ascii="仿宋" w:hAnsi="仿宋" w:eastAsia="仿宋" w:cs="仿宋"/>
          <w:color w:val="auto"/>
          <w:sz w:val="24"/>
          <w:szCs w:val="24"/>
          <w:highlight w:val="none"/>
        </w:rPr>
      </w:pPr>
      <w:bookmarkStart w:id="445" w:name="_Toc1407"/>
      <w:bookmarkStart w:id="446" w:name="_Toc17795"/>
      <w:bookmarkStart w:id="447" w:name="_Toc28294"/>
      <w:bookmarkStart w:id="448" w:name="_Toc20363"/>
      <w:r>
        <w:rPr>
          <w:rFonts w:hint="eastAsia" w:ascii="仿宋" w:hAnsi="仿宋" w:eastAsia="仿宋" w:cs="仿宋"/>
          <w:color w:val="auto"/>
          <w:sz w:val="24"/>
          <w:szCs w:val="24"/>
          <w:highlight w:val="none"/>
        </w:rPr>
        <w:t>入围供应商的清退</w:t>
      </w:r>
      <w:bookmarkEnd w:id="445"/>
      <w:bookmarkEnd w:id="446"/>
      <w:bookmarkEnd w:id="447"/>
      <w:r>
        <w:rPr>
          <w:rFonts w:hint="eastAsia" w:ascii="仿宋" w:hAnsi="仿宋" w:eastAsia="仿宋" w:cs="仿宋"/>
          <w:color w:val="auto"/>
          <w:sz w:val="24"/>
          <w:szCs w:val="24"/>
          <w:highlight w:val="none"/>
        </w:rPr>
        <w:t>和补充</w:t>
      </w:r>
      <w:bookmarkEnd w:id="448"/>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入围供应商无正当理由，不得主动放弃入围资格或者退出框架协议。</w:t>
      </w:r>
    </w:p>
    <w:p>
      <w:pPr>
        <w:numPr>
          <w:ilvl w:val="2"/>
          <w:numId w:val="3"/>
        </w:num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入围供应商的清退</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入围供应商有下列情形之一，尚未签订框架协议的，取消其入围资格；已经签订框架协议的，解除与其签订的框架协议：</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（一）恶意串通谋取入围或者合同成交的；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（二）提供虚假材料谋取入围或者合同成交的；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（三）无正当理由拒不接受合同授予的；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（四）不履行合同义务或者履行合同义务不符合约定，经采购人请求履行后仍不履行或者仍未按约定履行的；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（五）框架协议有效期内，因违法行为被禁止或限制参加政府采购活动的；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六）服务期内，与单项审计项目中的被审计单位或与单项审计项目直接有关的建设、施工、监理等单位存在控股、管理等关联关系，或在被审计单位或在单项审计项目直接有关的建设、施工、监理等单位有任职高管，未主动提出回避而承接该项目审计服务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lang w:eastAsia="zh-CN"/>
        </w:rPr>
        <w:t>）不遵守保密规定，向被审计单位、个人和无关人员透露审计情况的；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lang w:eastAsia="zh-CN"/>
        </w:rPr>
        <w:t>）与被审计单位之间以不正当形式交流、私下串通的；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九</w:t>
      </w:r>
      <w:r>
        <w:rPr>
          <w:rFonts w:hint="eastAsia" w:ascii="仿宋" w:hAnsi="仿宋" w:eastAsia="仿宋" w:cs="仿宋"/>
          <w:color w:val="auto"/>
          <w:sz w:val="24"/>
          <w:szCs w:val="24"/>
          <w:highlight w:val="none"/>
          <w:lang w:eastAsia="zh-CN"/>
        </w:rPr>
        <w:t>）有社会投诉并经查证属实等违法违规行为的；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十</w:t>
      </w:r>
      <w:r>
        <w:rPr>
          <w:rFonts w:hint="eastAsia" w:ascii="仿宋" w:hAnsi="仿宋" w:eastAsia="仿宋" w:cs="仿宋"/>
          <w:color w:val="auto"/>
          <w:sz w:val="24"/>
          <w:szCs w:val="24"/>
          <w:highlight w:val="none"/>
          <w:lang w:eastAsia="zh-CN"/>
        </w:rPr>
        <w:t>）存在泄密等问题，导致重大项目受到影响的；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十一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其他情形。</w:t>
      </w:r>
    </w:p>
    <w:p>
      <w:pPr>
        <w:shd w:val="clea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6.7.3除剩余入围供应商不足入围供应商总数70%且影响框架协议执行的情形外，框架协议有效期内，征集人不得补充征集供应商。</w:t>
      </w:r>
    </w:p>
    <w:p>
      <w:pPr>
        <w:pStyle w:val="5"/>
        <w:numPr>
          <w:ilvl w:val="0"/>
          <w:numId w:val="3"/>
        </w:numPr>
        <w:shd w:val="clear"/>
        <w:tabs>
          <w:tab w:val="left" w:pos="721"/>
          <w:tab w:val="left" w:pos="2880"/>
          <w:tab w:val="left" w:pos="3780"/>
          <w:tab w:val="clear" w:pos="567"/>
        </w:tabs>
        <w:spacing w:before="0" w:after="0" w:line="360" w:lineRule="auto"/>
        <w:ind w:left="0" w:firstLine="482" w:firstLineChars="200"/>
        <w:jc w:val="left"/>
        <w:rPr>
          <w:rFonts w:ascii="仿宋" w:hAnsi="仿宋" w:eastAsia="仿宋" w:cs="仿宋"/>
          <w:color w:val="auto"/>
          <w:sz w:val="24"/>
          <w:szCs w:val="24"/>
          <w:highlight w:val="none"/>
        </w:rPr>
      </w:pPr>
      <w:bookmarkStart w:id="449" w:name="_Toc32395"/>
      <w:r>
        <w:rPr>
          <w:rFonts w:hint="eastAsia" w:ascii="仿宋" w:hAnsi="仿宋" w:eastAsia="仿宋" w:cs="仿宋"/>
          <w:color w:val="auto"/>
          <w:sz w:val="24"/>
          <w:szCs w:val="24"/>
          <w:highlight w:val="none"/>
        </w:rPr>
        <w:t>纪律和监督</w:t>
      </w:r>
      <w:bookmarkEnd w:id="449"/>
    </w:p>
    <w:p>
      <w:pPr>
        <w:shd w:val="clear"/>
        <w:spacing w:line="360" w:lineRule="auto"/>
        <w:ind w:firstLine="482" w:firstLineChars="200"/>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7.1 对采购人的纪律要求</w:t>
      </w:r>
    </w:p>
    <w:p>
      <w:pPr>
        <w:shd w:val="clea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采购人不得泄露招标投标活动中应当保密的情况和资料，不得与供应商串通损害国家利益、社会公共利益或者他人合法权益。</w:t>
      </w:r>
    </w:p>
    <w:p>
      <w:pPr>
        <w:shd w:val="clear"/>
        <w:spacing w:line="360" w:lineRule="auto"/>
        <w:ind w:firstLine="482" w:firstLineChars="200"/>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7.2 对供应商的纪律要求</w:t>
      </w:r>
    </w:p>
    <w:p>
      <w:pPr>
        <w:shd w:val="clea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pPr>
        <w:shd w:val="clear"/>
        <w:spacing w:line="360" w:lineRule="auto"/>
        <w:ind w:firstLine="482" w:firstLineChars="200"/>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7.3 评标委员会成员不得有以下行为</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（一）确定参与评标至评标结束前私自接触供应商；</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（二）接受供应商提出的与投标文件不一致的澄清或者说明，87号令第五十一条规定的情形除外；</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（三）违反评标纪律发表倾向性意见或者征询采购人的倾向性意见；</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（四）对需要专业判断的主观评审因素协商评分；</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（五）在评标过程中擅离职守，影响评标程序正常进行的；</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（六）评标委员会成员收受他人的财物或者其他好处；</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（七）使用招标文件没有规定的评审因素和标准进行评标；</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（八）泄露评审文件、评审情况和评审中获悉的商业秘密；</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（九）记录、复制或者带走任何评标资料；</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（十）其他不遵守评标纪律的行为。</w:t>
      </w:r>
    </w:p>
    <w:p>
      <w:pPr>
        <w:shd w:val="clea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评标委员会成员有前款第一至七项行为之一的，其评审意见无效，并不得获取评审劳务报酬和报销异地评审差旅费。</w:t>
      </w:r>
    </w:p>
    <w:p>
      <w:pPr>
        <w:shd w:val="clear"/>
        <w:spacing w:line="360" w:lineRule="auto"/>
        <w:ind w:firstLine="482" w:firstLineChars="200"/>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7.4 对与评标活动有关的工作人员的纪律要求</w:t>
      </w:r>
    </w:p>
    <w:p>
      <w:pPr>
        <w:shd w:val="clea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与评标活动有关的工作人员不得收受他人的财物或者其他好处，不得向他人透露对投标文件的评审和比较、入围候选人的推荐情况以及评标有关的其他情况。在评标活动中，与评标活动有关的工作人员不得擅离职守，影响评标程序正常进行。</w:t>
      </w:r>
    </w:p>
    <w:p>
      <w:pPr>
        <w:shd w:val="clear"/>
        <w:spacing w:line="360" w:lineRule="auto"/>
        <w:ind w:firstLine="482" w:firstLineChars="200"/>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7.5 回避要求</w:t>
      </w:r>
    </w:p>
    <w:p>
      <w:pPr>
        <w:shd w:val="clea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在政府采购活动中，采购人员、评标委员会及相关人员与供应商有下列利害关系之一的，应当回避：</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（一）参加采购活动前3年内与供应商存在劳动关系；</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（二）参加采购活动前3年内担任供应商的董事、监事；</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（三）参加采购活动前3年内是供应商的控股股东或者实际控制人；</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（四）与供应商的法定代表人或者负责人有夫妻、直系血亲、三代以内旁系血亲或者近姻亲关系；</w:t>
      </w:r>
    </w:p>
    <w:p>
      <w:pPr>
        <w:shd w:val="clea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（五）与供应商有其他可能影响政府采购活动公平、公正进行的关系。</w:t>
      </w:r>
    </w:p>
    <w:p>
      <w:pPr>
        <w:shd w:val="clea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pPr>
        <w:shd w:val="clear"/>
        <w:spacing w:line="360" w:lineRule="auto"/>
        <w:ind w:firstLine="482" w:firstLineChars="200"/>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7.6 疑问和质疑</w:t>
      </w:r>
    </w:p>
    <w:p>
      <w:pPr>
        <w:shd w:val="clea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供应商对政府采购活动事项有疑问的，可以向采购人提出询问，采购人应当及时作出答复，但答复的内容不得涉及商业秘密。</w:t>
      </w:r>
    </w:p>
    <w:p>
      <w:pPr>
        <w:shd w:val="clea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供应商认为招标文件、采购过程和中标、成交结果使自己的权益受到损害的，可以在知道或者应知其权益受到损害之日起七个工作日内，以书面形式向采购人提出质疑。</w:t>
      </w:r>
    </w:p>
    <w:p>
      <w:pPr>
        <w:pStyle w:val="5"/>
        <w:numPr>
          <w:ilvl w:val="0"/>
          <w:numId w:val="3"/>
        </w:numPr>
        <w:shd w:val="clear"/>
        <w:tabs>
          <w:tab w:val="left" w:pos="721"/>
          <w:tab w:val="left" w:pos="2880"/>
          <w:tab w:val="left" w:pos="3780"/>
          <w:tab w:val="clear" w:pos="567"/>
        </w:tabs>
        <w:spacing w:before="0" w:after="0" w:line="360" w:lineRule="auto"/>
        <w:ind w:left="0" w:firstLine="482" w:firstLineChars="200"/>
        <w:jc w:val="left"/>
        <w:rPr>
          <w:rFonts w:ascii="仿宋" w:hAnsi="仿宋" w:eastAsia="仿宋" w:cs="仿宋"/>
          <w:color w:val="auto"/>
          <w:sz w:val="24"/>
          <w:szCs w:val="24"/>
          <w:highlight w:val="none"/>
        </w:rPr>
      </w:pPr>
      <w:bookmarkStart w:id="450" w:name="_Toc31026"/>
      <w:r>
        <w:rPr>
          <w:rFonts w:hint="eastAsia" w:ascii="仿宋" w:hAnsi="仿宋" w:eastAsia="仿宋" w:cs="仿宋"/>
          <w:color w:val="auto"/>
          <w:sz w:val="24"/>
          <w:szCs w:val="24"/>
          <w:highlight w:val="none"/>
        </w:rPr>
        <w:t>需要补充的其他内容</w:t>
      </w:r>
      <w:bookmarkEnd w:id="450"/>
    </w:p>
    <w:p>
      <w:pPr>
        <w:shd w:val="clea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见供应商须知前附表。</w:t>
      </w:r>
    </w:p>
    <w:p>
      <w:pPr>
        <w:shd w:val="clear"/>
        <w:rPr>
          <w:rStyle w:val="47"/>
          <w:rFonts w:ascii="仿宋" w:hAnsi="仿宋" w:eastAsia="仿宋" w:cs="仿宋"/>
          <w:color w:val="auto"/>
          <w:szCs w:val="22"/>
          <w:highlight w:val="none"/>
        </w:rPr>
      </w:pPr>
      <w:r>
        <w:rPr>
          <w:rStyle w:val="47"/>
          <w:rFonts w:hint="eastAsia" w:ascii="仿宋" w:hAnsi="仿宋" w:eastAsia="仿宋" w:cs="仿宋"/>
          <w:color w:val="auto"/>
          <w:szCs w:val="22"/>
          <w:highlight w:val="none"/>
        </w:rPr>
        <w:br w:type="page"/>
      </w:r>
    </w:p>
    <w:p>
      <w:pPr>
        <w:shd w:val="clear"/>
        <w:bidi w:val="0"/>
        <w:rPr>
          <w:color w:val="auto"/>
          <w:highlight w:val="none"/>
        </w:rPr>
      </w:pPr>
    </w:p>
    <w:p>
      <w:pPr>
        <w:shd w:val="clear"/>
        <w:spacing w:line="360" w:lineRule="auto"/>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工信部联企业〔2011〕300号</w:t>
      </w:r>
    </w:p>
    <w:p>
      <w:pPr>
        <w:shd w:val="clear"/>
        <w:adjustRightInd w:val="0"/>
        <w:snapToGrid w:val="0"/>
        <w:spacing w:line="360" w:lineRule="auto"/>
        <w:jc w:val="left"/>
        <w:rPr>
          <w:rFonts w:ascii="仿宋" w:hAnsi="仿宋" w:eastAsia="仿宋" w:cs="仿宋"/>
          <w:color w:val="auto"/>
          <w:szCs w:val="21"/>
          <w:highlight w:val="none"/>
        </w:rPr>
      </w:pPr>
      <w:r>
        <w:rPr>
          <w:rFonts w:hint="eastAsia" w:ascii="仿宋" w:hAnsi="仿宋" w:eastAsia="仿宋" w:cs="仿宋"/>
          <w:color w:val="auto"/>
          <w:szCs w:val="21"/>
          <w:highlight w:val="none"/>
        </w:rPr>
        <w:t>各省、自治区、直辖市人民政府，国务院各部委、各直属机构及有关单位：</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shd w:val="clear"/>
        <w:adjustRightInd w:val="0"/>
        <w:snapToGrid w:val="0"/>
        <w:spacing w:line="360" w:lineRule="auto"/>
        <w:jc w:val="right"/>
        <w:rPr>
          <w:rFonts w:ascii="仿宋" w:hAnsi="仿宋" w:eastAsia="仿宋" w:cs="仿宋"/>
          <w:color w:val="auto"/>
          <w:szCs w:val="21"/>
          <w:highlight w:val="none"/>
        </w:rPr>
      </w:pPr>
      <w:r>
        <w:rPr>
          <w:rFonts w:hint="eastAsia" w:ascii="仿宋" w:hAnsi="仿宋" w:eastAsia="仿宋" w:cs="仿宋"/>
          <w:color w:val="auto"/>
          <w:szCs w:val="21"/>
          <w:highlight w:val="none"/>
        </w:rPr>
        <w:t>工业和信息化部国家统计局</w:t>
      </w:r>
    </w:p>
    <w:p>
      <w:pPr>
        <w:shd w:val="clear"/>
        <w:adjustRightInd w:val="0"/>
        <w:snapToGrid w:val="0"/>
        <w:spacing w:line="360" w:lineRule="auto"/>
        <w:jc w:val="right"/>
        <w:rPr>
          <w:rFonts w:ascii="仿宋" w:hAnsi="仿宋" w:eastAsia="仿宋" w:cs="仿宋"/>
          <w:color w:val="auto"/>
          <w:szCs w:val="21"/>
          <w:highlight w:val="none"/>
        </w:rPr>
      </w:pPr>
      <w:r>
        <w:rPr>
          <w:rFonts w:hint="eastAsia" w:ascii="仿宋" w:hAnsi="仿宋" w:eastAsia="仿宋" w:cs="仿宋"/>
          <w:color w:val="auto"/>
          <w:szCs w:val="21"/>
          <w:highlight w:val="none"/>
        </w:rPr>
        <w:t>国家发展和改革委员会财政部</w:t>
      </w:r>
    </w:p>
    <w:p>
      <w:pPr>
        <w:shd w:val="clear"/>
        <w:adjustRightInd w:val="0"/>
        <w:snapToGrid w:val="0"/>
        <w:spacing w:line="360" w:lineRule="auto"/>
        <w:jc w:val="right"/>
        <w:rPr>
          <w:rFonts w:ascii="仿宋" w:hAnsi="仿宋" w:eastAsia="仿宋" w:cs="仿宋"/>
          <w:color w:val="auto"/>
          <w:szCs w:val="21"/>
          <w:highlight w:val="none"/>
        </w:rPr>
      </w:pPr>
      <w:r>
        <w:rPr>
          <w:rFonts w:hint="eastAsia" w:ascii="仿宋" w:hAnsi="仿宋" w:eastAsia="仿宋" w:cs="仿宋"/>
          <w:color w:val="auto"/>
          <w:szCs w:val="21"/>
          <w:highlight w:val="none"/>
        </w:rPr>
        <w:t>二○一一年六月十八日</w:t>
      </w:r>
    </w:p>
    <w:p>
      <w:pPr>
        <w:shd w:val="clear"/>
        <w:spacing w:line="360" w:lineRule="auto"/>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中小企业划型标准规定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一、根据《中华人民共和国中小企业促进法》和《国务院关于进一步促进中小企业发展的若干意见》(国发〔2009〕36号)，制定本规定。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二、中小企业划分为中型、小型、微型三种类型，具体标准根据企业从业人员、营业收入、资产总额等指标，结合行业特点制定。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四、各行业划型标准为：</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（一）农、林、牧、渔业。营业收入20000万元以下的为中小微型企业。其中，营业收入500万元及以上的为中型企业，营业收入50万元及以上的为小型企业，营业收入50万元以下的为微型企业。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（十六）其他未列明行业。从业人员300人以下的为中小微型企业。其中，从业人员100人及以上的为中型企业；从业人员10人及以上的为小型企业；从业人员10人以下的为微型企业。</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五、企业类型的划分以统计部门的统计数据为依据。</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六、本规定适用于在中华人民共和国境内依法设立的各类所有制和各种组织形式的企业。个体工商户和本规定以外的行业，参照本规定进行划型。</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pPr>
        <w:shd w:val="clear"/>
        <w:adjustRightInd w:val="0"/>
        <w:snapToGrid w:val="0"/>
        <w:spacing w:line="360" w:lineRule="auto"/>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八、本规定由工业和信息化部、国家统计局会同有关部门根据《国民经济行业分类》修订情况和企业发展变化情况适时修订。</w:t>
      </w:r>
    </w:p>
    <w:p>
      <w:pPr>
        <w:shd w:val="clea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九、本规定由工业和信息化部、国家统计局会同有关部门负责解释。</w:t>
      </w:r>
    </w:p>
    <w:p>
      <w:pPr>
        <w:shd w:val="clea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十、本规定自发布之日起执行，原国家经贸委、原国家计委、财政部和国家统计局2003年颁布的《中小企业标准暂行规定》同时废止。</w:t>
      </w:r>
    </w:p>
    <w:p>
      <w:pPr>
        <w:shd w:val="clear"/>
        <w:rPr>
          <w:rStyle w:val="47"/>
          <w:rFonts w:ascii="仿宋" w:hAnsi="仿宋" w:eastAsia="仿宋" w:cs="仿宋"/>
          <w:color w:val="auto"/>
          <w:szCs w:val="22"/>
          <w:highlight w:val="none"/>
        </w:rPr>
      </w:pPr>
      <w:r>
        <w:rPr>
          <w:rStyle w:val="47"/>
          <w:rFonts w:hint="eastAsia" w:ascii="仿宋" w:hAnsi="仿宋" w:eastAsia="仿宋" w:cs="仿宋"/>
          <w:color w:val="auto"/>
          <w:szCs w:val="22"/>
          <w:highlight w:val="none"/>
        </w:rPr>
        <w:br w:type="page"/>
      </w:r>
    </w:p>
    <w:p>
      <w:pPr>
        <w:shd w:val="clear"/>
        <w:rPr>
          <w:rFonts w:ascii="仿宋" w:hAnsi="仿宋" w:eastAsia="仿宋" w:cs="仿宋"/>
          <w:color w:val="auto"/>
          <w:highlight w:val="none"/>
        </w:rPr>
      </w:pPr>
    </w:p>
    <w:p>
      <w:pPr>
        <w:pStyle w:val="4"/>
        <w:shd w:val="clear"/>
        <w:rPr>
          <w:rStyle w:val="47"/>
          <w:rFonts w:ascii="仿宋" w:hAnsi="仿宋" w:eastAsia="仿宋" w:cs="仿宋"/>
          <w:b/>
          <w:color w:val="auto"/>
          <w:highlight w:val="none"/>
        </w:rPr>
      </w:pPr>
      <w:bookmarkStart w:id="451" w:name="_Toc10036"/>
      <w:r>
        <w:rPr>
          <w:rStyle w:val="47"/>
          <w:rFonts w:hint="eastAsia" w:ascii="仿宋" w:hAnsi="仿宋" w:eastAsia="仿宋" w:cs="仿宋"/>
          <w:b/>
          <w:color w:val="auto"/>
          <w:highlight w:val="none"/>
        </w:rPr>
        <w:t>第三章 评审方法（质量优先法）</w:t>
      </w:r>
      <w:bookmarkEnd w:id="451"/>
    </w:p>
    <w:p>
      <w:pPr>
        <w:pStyle w:val="5"/>
        <w:numPr>
          <w:ilvl w:val="1"/>
          <w:numId w:val="0"/>
        </w:numPr>
        <w:shd w:val="clear"/>
        <w:tabs>
          <w:tab w:val="clear" w:pos="567"/>
        </w:tabs>
        <w:spacing w:before="0" w:after="0" w:line="360" w:lineRule="auto"/>
        <w:ind w:firstLine="482" w:firstLineChars="200"/>
        <w:jc w:val="left"/>
        <w:rPr>
          <w:rFonts w:ascii="仿宋" w:hAnsi="仿宋" w:eastAsia="仿宋" w:cs="仿宋"/>
          <w:color w:val="auto"/>
          <w:sz w:val="24"/>
          <w:szCs w:val="24"/>
          <w:highlight w:val="none"/>
        </w:rPr>
      </w:pPr>
      <w:bookmarkStart w:id="452" w:name="_Toc13197"/>
      <w:bookmarkStart w:id="453" w:name="_Toc31431"/>
      <w:bookmarkStart w:id="454" w:name="_Toc21173"/>
      <w:bookmarkStart w:id="455" w:name="_Toc32551"/>
      <w:bookmarkStart w:id="456" w:name="_Toc12487"/>
      <w:bookmarkStart w:id="457" w:name="_Toc4018"/>
      <w:bookmarkStart w:id="458" w:name="_Toc27033"/>
      <w:bookmarkStart w:id="459" w:name="_Toc30806"/>
      <w:bookmarkStart w:id="460" w:name="_Toc10606"/>
      <w:bookmarkStart w:id="461" w:name="_Toc30398"/>
      <w:bookmarkStart w:id="462" w:name="_Toc27205"/>
      <w:bookmarkStart w:id="463" w:name="_Toc25724"/>
      <w:r>
        <w:rPr>
          <w:rFonts w:hint="eastAsia" w:ascii="仿宋" w:hAnsi="仿宋" w:eastAsia="仿宋" w:cs="仿宋"/>
          <w:color w:val="auto"/>
          <w:sz w:val="24"/>
          <w:szCs w:val="24"/>
          <w:highlight w:val="none"/>
        </w:rPr>
        <w:t>一、资格审查</w:t>
      </w:r>
      <w:bookmarkEnd w:id="452"/>
      <w:bookmarkEnd w:id="453"/>
      <w:bookmarkEnd w:id="454"/>
      <w:bookmarkEnd w:id="455"/>
      <w:bookmarkEnd w:id="456"/>
      <w:bookmarkEnd w:id="457"/>
      <w:bookmarkEnd w:id="458"/>
      <w:bookmarkEnd w:id="459"/>
      <w:bookmarkEnd w:id="460"/>
      <w:bookmarkEnd w:id="461"/>
      <w:bookmarkEnd w:id="462"/>
      <w:r>
        <w:rPr>
          <w:rFonts w:hint="eastAsia" w:ascii="仿宋" w:hAnsi="仿宋" w:eastAsia="仿宋" w:cs="仿宋"/>
          <w:color w:val="auto"/>
          <w:sz w:val="24"/>
          <w:szCs w:val="24"/>
          <w:highlight w:val="none"/>
        </w:rPr>
        <w:t>前附表</w:t>
      </w:r>
      <w:bookmarkEnd w:id="463"/>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3563"/>
        <w:gridCol w:w="4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0" w:type="pct"/>
            <w:noWrap/>
            <w:vAlign w:val="center"/>
          </w:tcPr>
          <w:p>
            <w:pPr>
              <w:widowControl/>
              <w:shd w:val="clear"/>
              <w:spacing w:beforeLines="50" w:afterLines="50"/>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条款</w:t>
            </w:r>
          </w:p>
        </w:tc>
        <w:tc>
          <w:tcPr>
            <w:tcW w:w="1918" w:type="pct"/>
            <w:noWrap/>
            <w:vAlign w:val="center"/>
          </w:tcPr>
          <w:p>
            <w:pPr>
              <w:widowControl/>
              <w:shd w:val="clear"/>
              <w:spacing w:beforeLines="50" w:afterLines="50"/>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评审因素</w:t>
            </w:r>
          </w:p>
        </w:tc>
        <w:tc>
          <w:tcPr>
            <w:tcW w:w="2661" w:type="pct"/>
            <w:noWrap/>
            <w:vAlign w:val="center"/>
          </w:tcPr>
          <w:p>
            <w:pPr>
              <w:widowControl/>
              <w:shd w:val="clear"/>
              <w:spacing w:beforeLines="50" w:afterLines="50"/>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0" w:type="pct"/>
            <w:vMerge w:val="restart"/>
            <w:noWrap/>
            <w:vAlign w:val="center"/>
          </w:tcPr>
          <w:p>
            <w:pPr>
              <w:widowControl/>
              <w:shd w:val="clear"/>
              <w:spacing w:beforeLines="30" w:line="288"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资格审查</w:t>
            </w:r>
          </w:p>
        </w:tc>
        <w:tc>
          <w:tcPr>
            <w:tcW w:w="1918" w:type="pct"/>
            <w:noWrap/>
            <w:vAlign w:val="center"/>
          </w:tcPr>
          <w:p>
            <w:pPr>
              <w:widowControl/>
              <w:shd w:val="clear"/>
              <w:spacing w:beforeLines="30" w:line="288"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符合《中华人民共和国政府采购法》第二十二条规定</w:t>
            </w:r>
          </w:p>
        </w:tc>
        <w:tc>
          <w:tcPr>
            <w:tcW w:w="2661" w:type="pct"/>
            <w:noWrap/>
            <w:vAlign w:val="center"/>
          </w:tcPr>
          <w:p>
            <w:pPr>
              <w:widowControl/>
              <w:shd w:val="clear"/>
              <w:spacing w:beforeLines="30" w:line="288"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符合第二章“供应商须知前附表”第1.4.1项规定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0" w:type="pct"/>
            <w:vMerge w:val="continue"/>
            <w:noWrap/>
            <w:vAlign w:val="center"/>
          </w:tcPr>
          <w:p>
            <w:pPr>
              <w:widowControl/>
              <w:shd w:val="clear"/>
              <w:spacing w:beforeLines="30" w:line="288" w:lineRule="auto"/>
              <w:jc w:val="center"/>
              <w:rPr>
                <w:rFonts w:ascii="仿宋" w:hAnsi="仿宋" w:eastAsia="仿宋" w:cs="仿宋"/>
                <w:color w:val="auto"/>
                <w:kern w:val="0"/>
                <w:szCs w:val="21"/>
                <w:highlight w:val="none"/>
              </w:rPr>
            </w:pPr>
          </w:p>
        </w:tc>
        <w:tc>
          <w:tcPr>
            <w:tcW w:w="1918" w:type="pct"/>
            <w:noWrap/>
            <w:vAlign w:val="center"/>
          </w:tcPr>
          <w:p>
            <w:pPr>
              <w:widowControl/>
              <w:shd w:val="clear"/>
              <w:spacing w:beforeLines="30" w:line="288"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落实政府采购政策满足的资格要求</w:t>
            </w:r>
          </w:p>
        </w:tc>
        <w:tc>
          <w:tcPr>
            <w:tcW w:w="2661" w:type="pct"/>
            <w:noWrap/>
            <w:vAlign w:val="center"/>
          </w:tcPr>
          <w:p>
            <w:pPr>
              <w:widowControl/>
              <w:shd w:val="clear"/>
              <w:spacing w:beforeLines="30" w:line="288"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符合第二章“供应商须知前附表”第1.4.1项规定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0" w:type="pct"/>
            <w:vMerge w:val="continue"/>
            <w:noWrap/>
            <w:vAlign w:val="center"/>
          </w:tcPr>
          <w:p>
            <w:pPr>
              <w:widowControl/>
              <w:shd w:val="clear"/>
              <w:spacing w:beforeLines="30" w:line="288" w:lineRule="auto"/>
              <w:jc w:val="center"/>
              <w:rPr>
                <w:rFonts w:ascii="仿宋" w:hAnsi="仿宋" w:eastAsia="仿宋" w:cs="仿宋"/>
                <w:color w:val="auto"/>
                <w:kern w:val="0"/>
                <w:szCs w:val="21"/>
                <w:highlight w:val="none"/>
              </w:rPr>
            </w:pPr>
          </w:p>
        </w:tc>
        <w:tc>
          <w:tcPr>
            <w:tcW w:w="1918" w:type="pct"/>
            <w:noWrap/>
            <w:vAlign w:val="center"/>
          </w:tcPr>
          <w:p>
            <w:pPr>
              <w:widowControl/>
              <w:shd w:val="clear"/>
              <w:spacing w:beforeLines="30" w:line="288"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资质要求</w:t>
            </w:r>
          </w:p>
        </w:tc>
        <w:tc>
          <w:tcPr>
            <w:tcW w:w="2661" w:type="pct"/>
            <w:noWrap/>
            <w:vAlign w:val="center"/>
          </w:tcPr>
          <w:p>
            <w:pPr>
              <w:widowControl/>
              <w:shd w:val="clear"/>
              <w:spacing w:beforeLines="30" w:line="288"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符合第二章“供应商须知前附表”第1.4.1项规定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0" w:type="pct"/>
            <w:vMerge w:val="continue"/>
            <w:noWrap/>
            <w:vAlign w:val="center"/>
          </w:tcPr>
          <w:p>
            <w:pPr>
              <w:widowControl/>
              <w:shd w:val="clear"/>
              <w:spacing w:beforeLines="30" w:line="288" w:lineRule="auto"/>
              <w:jc w:val="center"/>
              <w:rPr>
                <w:rFonts w:ascii="仿宋" w:hAnsi="仿宋" w:eastAsia="仿宋" w:cs="仿宋"/>
                <w:color w:val="auto"/>
                <w:kern w:val="0"/>
                <w:szCs w:val="21"/>
                <w:highlight w:val="none"/>
              </w:rPr>
            </w:pPr>
          </w:p>
        </w:tc>
        <w:tc>
          <w:tcPr>
            <w:tcW w:w="1918" w:type="pct"/>
            <w:noWrap/>
            <w:vAlign w:val="center"/>
          </w:tcPr>
          <w:p>
            <w:pPr>
              <w:widowControl/>
              <w:shd w:val="clear"/>
              <w:spacing w:beforeLines="30" w:line="288" w:lineRule="auto"/>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信用要求</w:t>
            </w:r>
          </w:p>
        </w:tc>
        <w:tc>
          <w:tcPr>
            <w:tcW w:w="2661" w:type="pct"/>
            <w:noWrap/>
            <w:vAlign w:val="center"/>
          </w:tcPr>
          <w:p>
            <w:pPr>
              <w:widowControl/>
              <w:shd w:val="clear"/>
              <w:spacing w:beforeLines="30" w:line="288"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符合第二章“供应商须知前附表”第1.4.1项规定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0" w:type="pct"/>
            <w:vMerge w:val="continue"/>
            <w:noWrap/>
            <w:vAlign w:val="center"/>
          </w:tcPr>
          <w:p>
            <w:pPr>
              <w:widowControl/>
              <w:shd w:val="clear"/>
              <w:spacing w:beforeLines="30" w:line="288" w:lineRule="auto"/>
              <w:jc w:val="center"/>
              <w:rPr>
                <w:rFonts w:ascii="仿宋" w:hAnsi="仿宋" w:eastAsia="仿宋" w:cs="仿宋"/>
                <w:color w:val="auto"/>
                <w:kern w:val="0"/>
                <w:szCs w:val="21"/>
                <w:highlight w:val="none"/>
              </w:rPr>
            </w:pPr>
          </w:p>
        </w:tc>
        <w:tc>
          <w:tcPr>
            <w:tcW w:w="1918" w:type="pct"/>
            <w:noWrap/>
            <w:vAlign w:val="center"/>
          </w:tcPr>
          <w:p>
            <w:pPr>
              <w:widowControl/>
              <w:shd w:val="clear"/>
              <w:spacing w:beforeLines="30" w:line="288" w:lineRule="auto"/>
              <w:jc w:val="left"/>
              <w:rPr>
                <w:rFonts w:ascii="仿宋" w:hAnsi="仿宋" w:eastAsia="仿宋" w:cs="仿宋"/>
                <w:color w:val="auto"/>
                <w:kern w:val="0"/>
                <w:szCs w:val="21"/>
                <w:highlight w:val="none"/>
              </w:rPr>
            </w:pPr>
            <w:r>
              <w:rPr>
                <w:rFonts w:hint="eastAsia" w:ascii="仿宋" w:hAnsi="仿宋" w:eastAsia="仿宋" w:cs="仿宋"/>
                <w:color w:val="auto"/>
                <w:szCs w:val="21"/>
                <w:highlight w:val="none"/>
              </w:rPr>
              <w:t>其他要求</w:t>
            </w:r>
          </w:p>
        </w:tc>
        <w:tc>
          <w:tcPr>
            <w:tcW w:w="2661" w:type="pct"/>
            <w:noWrap/>
            <w:vAlign w:val="center"/>
          </w:tcPr>
          <w:p>
            <w:pPr>
              <w:widowControl/>
              <w:shd w:val="clear"/>
              <w:spacing w:beforeLines="30" w:line="288"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符合第二章“供应商须知前附表”第1.4.1项规定</w:t>
            </w:r>
          </w:p>
        </w:tc>
      </w:tr>
    </w:tbl>
    <w:p>
      <w:pPr>
        <w:pStyle w:val="5"/>
        <w:numPr>
          <w:ilvl w:val="1"/>
          <w:numId w:val="0"/>
        </w:numPr>
        <w:shd w:val="clear"/>
        <w:tabs>
          <w:tab w:val="clear" w:pos="567"/>
        </w:tabs>
        <w:spacing w:beforeLines="50" w:afterLines="50" w:line="240" w:lineRule="auto"/>
        <w:ind w:firstLine="482" w:firstLineChars="200"/>
        <w:jc w:val="left"/>
        <w:rPr>
          <w:rFonts w:ascii="仿宋" w:hAnsi="仿宋" w:eastAsia="仿宋" w:cs="仿宋"/>
          <w:color w:val="auto"/>
          <w:sz w:val="24"/>
          <w:szCs w:val="24"/>
          <w:highlight w:val="none"/>
        </w:rPr>
      </w:pPr>
      <w:bookmarkStart w:id="464" w:name="_Toc12415"/>
      <w:bookmarkStart w:id="465" w:name="_Toc9469"/>
      <w:bookmarkStart w:id="466" w:name="_Toc6633"/>
      <w:bookmarkStart w:id="467" w:name="_Toc16950"/>
      <w:bookmarkStart w:id="468" w:name="_Toc11507"/>
      <w:bookmarkStart w:id="469" w:name="_Toc22753"/>
      <w:bookmarkStart w:id="470" w:name="_Toc8830"/>
      <w:bookmarkStart w:id="471" w:name="_Toc16535"/>
      <w:bookmarkStart w:id="472" w:name="_Toc12975"/>
      <w:bookmarkStart w:id="473" w:name="_Toc31921"/>
      <w:bookmarkStart w:id="474" w:name="_Toc14114"/>
      <w:bookmarkStart w:id="475" w:name="_Toc11325"/>
      <w:bookmarkStart w:id="476" w:name="_Toc13102"/>
      <w:r>
        <w:rPr>
          <w:rFonts w:hint="eastAsia" w:ascii="仿宋" w:hAnsi="仿宋" w:eastAsia="仿宋" w:cs="仿宋"/>
          <w:color w:val="auto"/>
          <w:sz w:val="24"/>
          <w:szCs w:val="24"/>
          <w:highlight w:val="none"/>
        </w:rPr>
        <w:t>二、</w:t>
      </w:r>
      <w:bookmarkEnd w:id="464"/>
      <w:bookmarkEnd w:id="465"/>
      <w:bookmarkEnd w:id="466"/>
      <w:bookmarkEnd w:id="467"/>
      <w:bookmarkEnd w:id="468"/>
      <w:bookmarkEnd w:id="469"/>
      <w:bookmarkEnd w:id="470"/>
      <w:bookmarkEnd w:id="471"/>
      <w:bookmarkEnd w:id="472"/>
      <w:bookmarkEnd w:id="473"/>
      <w:bookmarkEnd w:id="474"/>
      <w:bookmarkEnd w:id="475"/>
      <w:r>
        <w:rPr>
          <w:rFonts w:hint="eastAsia" w:ascii="仿宋" w:hAnsi="仿宋" w:eastAsia="仿宋" w:cs="仿宋"/>
          <w:color w:val="auto"/>
          <w:sz w:val="24"/>
          <w:szCs w:val="24"/>
          <w:highlight w:val="none"/>
        </w:rPr>
        <w:t>符合性审查前附表</w:t>
      </w:r>
      <w:bookmarkEnd w:id="476"/>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3587"/>
        <w:gridCol w:w="4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 w:type="pct"/>
            <w:noWrap/>
            <w:vAlign w:val="center"/>
          </w:tcPr>
          <w:p>
            <w:pPr>
              <w:widowControl/>
              <w:shd w:val="clear"/>
              <w:spacing w:beforeLines="50" w:afterLines="50"/>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条款</w:t>
            </w:r>
          </w:p>
        </w:tc>
        <w:tc>
          <w:tcPr>
            <w:tcW w:w="1930" w:type="pct"/>
            <w:noWrap/>
            <w:vAlign w:val="center"/>
          </w:tcPr>
          <w:p>
            <w:pPr>
              <w:widowControl/>
              <w:shd w:val="clear"/>
              <w:spacing w:beforeLines="50" w:afterLines="50"/>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评审因素</w:t>
            </w:r>
          </w:p>
        </w:tc>
        <w:tc>
          <w:tcPr>
            <w:tcW w:w="2648" w:type="pct"/>
            <w:noWrap/>
            <w:vAlign w:val="center"/>
          </w:tcPr>
          <w:p>
            <w:pPr>
              <w:widowControl/>
              <w:shd w:val="clear"/>
              <w:spacing w:beforeLines="50" w:afterLines="50"/>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 w:type="pct"/>
            <w:vMerge w:val="restart"/>
            <w:noWrap/>
            <w:vAlign w:val="center"/>
          </w:tcPr>
          <w:p>
            <w:pPr>
              <w:widowControl/>
              <w:shd w:val="clear"/>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szCs w:val="21"/>
                <w:highlight w:val="none"/>
              </w:rPr>
              <w:t>符合性审查</w:t>
            </w:r>
            <w:r>
              <w:rPr>
                <w:rFonts w:hint="eastAsia" w:ascii="仿宋" w:hAnsi="仿宋" w:eastAsia="仿宋" w:cs="仿宋"/>
                <w:color w:val="auto"/>
                <w:kern w:val="0"/>
                <w:szCs w:val="21"/>
                <w:highlight w:val="none"/>
              </w:rPr>
              <w:t>标准</w:t>
            </w:r>
          </w:p>
        </w:tc>
        <w:tc>
          <w:tcPr>
            <w:tcW w:w="1930"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项目名称</w:t>
            </w:r>
          </w:p>
        </w:tc>
        <w:tc>
          <w:tcPr>
            <w:tcW w:w="2648"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与征集项目名称一致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 w:type="pct"/>
            <w:vMerge w:val="continue"/>
            <w:noWrap/>
            <w:vAlign w:val="center"/>
          </w:tcPr>
          <w:p>
            <w:pPr>
              <w:widowControl/>
              <w:shd w:val="clear"/>
              <w:spacing w:beforeLines="50" w:afterLines="50"/>
              <w:jc w:val="center"/>
              <w:rPr>
                <w:rFonts w:ascii="仿宋" w:hAnsi="仿宋" w:eastAsia="仿宋" w:cs="仿宋"/>
                <w:color w:val="auto"/>
                <w:kern w:val="0"/>
                <w:szCs w:val="21"/>
                <w:highlight w:val="none"/>
              </w:rPr>
            </w:pPr>
          </w:p>
        </w:tc>
        <w:tc>
          <w:tcPr>
            <w:tcW w:w="1930"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供应商名称</w:t>
            </w:r>
          </w:p>
        </w:tc>
        <w:tc>
          <w:tcPr>
            <w:tcW w:w="2648"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与营业执照、资质证书企业名称</w:t>
            </w:r>
            <w:r>
              <w:rPr>
                <w:rFonts w:hint="eastAsia" w:ascii="仿宋" w:hAnsi="仿宋" w:eastAsia="仿宋" w:cs="仿宋"/>
                <w:color w:val="auto"/>
                <w:kern w:val="0"/>
                <w:szCs w:val="21"/>
                <w:highlight w:val="none"/>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 w:type="pct"/>
            <w:vMerge w:val="continue"/>
            <w:noWrap/>
            <w:vAlign w:val="center"/>
          </w:tcPr>
          <w:p>
            <w:pPr>
              <w:widowControl/>
              <w:shd w:val="clear"/>
              <w:spacing w:beforeLines="50" w:afterLines="50"/>
              <w:jc w:val="center"/>
              <w:rPr>
                <w:rFonts w:ascii="仿宋" w:hAnsi="仿宋" w:eastAsia="仿宋" w:cs="仿宋"/>
                <w:color w:val="auto"/>
                <w:kern w:val="0"/>
                <w:szCs w:val="21"/>
                <w:highlight w:val="none"/>
              </w:rPr>
            </w:pPr>
          </w:p>
        </w:tc>
        <w:tc>
          <w:tcPr>
            <w:tcW w:w="1930"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响应文件签署、盖章</w:t>
            </w:r>
          </w:p>
        </w:tc>
        <w:tc>
          <w:tcPr>
            <w:tcW w:w="2648"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响应文件按征集文件要求签署、盖章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 w:type="pct"/>
            <w:vMerge w:val="continue"/>
            <w:noWrap/>
            <w:vAlign w:val="center"/>
          </w:tcPr>
          <w:p>
            <w:pPr>
              <w:widowControl/>
              <w:shd w:val="clear"/>
              <w:spacing w:beforeLines="50" w:afterLines="50"/>
              <w:jc w:val="center"/>
              <w:rPr>
                <w:rFonts w:ascii="仿宋" w:hAnsi="仿宋" w:eastAsia="仿宋" w:cs="仿宋"/>
                <w:color w:val="auto"/>
                <w:kern w:val="0"/>
                <w:szCs w:val="21"/>
                <w:highlight w:val="none"/>
              </w:rPr>
            </w:pPr>
          </w:p>
        </w:tc>
        <w:tc>
          <w:tcPr>
            <w:tcW w:w="1930"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适用框架协议的服务对象范围</w:t>
            </w:r>
          </w:p>
        </w:tc>
        <w:tc>
          <w:tcPr>
            <w:tcW w:w="2648"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符合第二章“供应商须知前附表”第1.1.5项规定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 w:type="pct"/>
            <w:vMerge w:val="continue"/>
            <w:noWrap/>
            <w:vAlign w:val="center"/>
          </w:tcPr>
          <w:p>
            <w:pPr>
              <w:widowControl/>
              <w:shd w:val="clear"/>
              <w:spacing w:beforeLines="50" w:afterLines="50"/>
              <w:jc w:val="center"/>
              <w:rPr>
                <w:rFonts w:ascii="仿宋" w:hAnsi="仿宋" w:eastAsia="仿宋" w:cs="仿宋"/>
                <w:color w:val="auto"/>
                <w:kern w:val="0"/>
                <w:szCs w:val="21"/>
                <w:highlight w:val="none"/>
              </w:rPr>
            </w:pPr>
          </w:p>
        </w:tc>
        <w:tc>
          <w:tcPr>
            <w:tcW w:w="1930"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采购范围</w:t>
            </w:r>
          </w:p>
        </w:tc>
        <w:tc>
          <w:tcPr>
            <w:tcW w:w="2648"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符合第二章“供应商须知前附表”第1.3.1项规定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 w:type="pct"/>
            <w:vMerge w:val="continue"/>
            <w:noWrap/>
            <w:vAlign w:val="center"/>
          </w:tcPr>
          <w:p>
            <w:pPr>
              <w:widowControl/>
              <w:shd w:val="clear"/>
              <w:spacing w:beforeLines="50" w:afterLines="50"/>
              <w:jc w:val="center"/>
              <w:rPr>
                <w:rFonts w:ascii="仿宋" w:hAnsi="仿宋" w:eastAsia="仿宋" w:cs="仿宋"/>
                <w:color w:val="auto"/>
                <w:kern w:val="0"/>
                <w:szCs w:val="21"/>
                <w:highlight w:val="none"/>
              </w:rPr>
            </w:pPr>
          </w:p>
        </w:tc>
        <w:tc>
          <w:tcPr>
            <w:tcW w:w="1930"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框架协议期限</w:t>
            </w:r>
          </w:p>
        </w:tc>
        <w:tc>
          <w:tcPr>
            <w:tcW w:w="2648"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符合第二章“供应商须知前附表”第1.3.3项规定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 w:type="pct"/>
            <w:vMerge w:val="continue"/>
            <w:noWrap/>
            <w:vAlign w:val="center"/>
          </w:tcPr>
          <w:p>
            <w:pPr>
              <w:widowControl/>
              <w:shd w:val="clear"/>
              <w:spacing w:beforeLines="50" w:afterLines="50"/>
              <w:jc w:val="center"/>
              <w:rPr>
                <w:rFonts w:ascii="仿宋" w:hAnsi="仿宋" w:eastAsia="仿宋" w:cs="仿宋"/>
                <w:color w:val="auto"/>
                <w:kern w:val="0"/>
                <w:szCs w:val="21"/>
                <w:highlight w:val="none"/>
              </w:rPr>
            </w:pPr>
          </w:p>
        </w:tc>
        <w:tc>
          <w:tcPr>
            <w:tcW w:w="1930"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服务标准</w:t>
            </w:r>
          </w:p>
        </w:tc>
        <w:tc>
          <w:tcPr>
            <w:tcW w:w="2648"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符合第二章“供应商须知前附表”第1.3.4项规定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 w:type="pct"/>
            <w:vMerge w:val="continue"/>
            <w:noWrap/>
            <w:vAlign w:val="center"/>
          </w:tcPr>
          <w:p>
            <w:pPr>
              <w:widowControl/>
              <w:shd w:val="clear"/>
              <w:spacing w:beforeLines="50" w:afterLines="50"/>
              <w:jc w:val="center"/>
              <w:rPr>
                <w:rFonts w:ascii="仿宋" w:hAnsi="仿宋" w:eastAsia="仿宋" w:cs="仿宋"/>
                <w:color w:val="auto"/>
                <w:kern w:val="0"/>
                <w:szCs w:val="21"/>
                <w:highlight w:val="none"/>
              </w:rPr>
            </w:pPr>
          </w:p>
        </w:tc>
        <w:tc>
          <w:tcPr>
            <w:tcW w:w="1930"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响应文件有效期</w:t>
            </w:r>
          </w:p>
        </w:tc>
        <w:tc>
          <w:tcPr>
            <w:tcW w:w="2648"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符合第二章“供应商须知前附表”第3.3.1项规定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 w:type="pct"/>
            <w:vMerge w:val="continue"/>
            <w:noWrap/>
            <w:vAlign w:val="center"/>
          </w:tcPr>
          <w:p>
            <w:pPr>
              <w:widowControl/>
              <w:shd w:val="clear"/>
              <w:spacing w:beforeLines="50" w:afterLines="50"/>
              <w:jc w:val="center"/>
              <w:rPr>
                <w:rFonts w:ascii="仿宋" w:hAnsi="仿宋" w:eastAsia="仿宋" w:cs="仿宋"/>
                <w:color w:val="auto"/>
                <w:kern w:val="0"/>
                <w:szCs w:val="21"/>
                <w:highlight w:val="none"/>
              </w:rPr>
            </w:pPr>
          </w:p>
        </w:tc>
        <w:tc>
          <w:tcPr>
            <w:tcW w:w="1930"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标书雷同性分析</w:t>
            </w:r>
          </w:p>
        </w:tc>
        <w:tc>
          <w:tcPr>
            <w:tcW w:w="2648" w:type="pct"/>
            <w:noWrap/>
            <w:vAlign w:val="center"/>
          </w:tcPr>
          <w:p>
            <w:pPr>
              <w:widowControl/>
              <w:shd w:val="clear"/>
              <w:spacing w:beforeLines="30" w:line="288"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投标（响应）文件制作机器码不能一致</w:t>
            </w:r>
          </w:p>
        </w:tc>
      </w:tr>
    </w:tbl>
    <w:p>
      <w:pPr>
        <w:shd w:val="clear"/>
        <w:spacing w:line="360" w:lineRule="auto"/>
        <w:rPr>
          <w:rFonts w:ascii="仿宋" w:hAnsi="仿宋" w:eastAsia="仿宋" w:cs="仿宋"/>
          <w:b/>
          <w:color w:val="auto"/>
          <w:szCs w:val="21"/>
          <w:highlight w:val="none"/>
        </w:rPr>
      </w:pPr>
      <w:bookmarkStart w:id="477" w:name="_Toc9836"/>
    </w:p>
    <w:p>
      <w:pPr>
        <w:shd w:val="clear"/>
        <w:rPr>
          <w:rFonts w:ascii="仿宋" w:hAnsi="仿宋" w:eastAsia="仿宋" w:cs="仿宋"/>
          <w:b/>
          <w:bCs/>
          <w:color w:val="auto"/>
          <w:highlight w:val="none"/>
        </w:rPr>
      </w:pPr>
      <w:r>
        <w:rPr>
          <w:rFonts w:hint="eastAsia" w:ascii="仿宋" w:hAnsi="仿宋" w:eastAsia="仿宋" w:cs="仿宋"/>
          <w:b/>
          <w:bCs/>
          <w:color w:val="auto"/>
          <w:highlight w:val="none"/>
        </w:rPr>
        <w:br w:type="page"/>
      </w:r>
    </w:p>
    <w:p>
      <w:pPr>
        <w:pStyle w:val="5"/>
        <w:numPr>
          <w:ilvl w:val="1"/>
          <w:numId w:val="0"/>
        </w:numPr>
        <w:shd w:val="clear"/>
        <w:tabs>
          <w:tab w:val="clear" w:pos="567"/>
        </w:tabs>
        <w:spacing w:before="0" w:after="0" w:line="360" w:lineRule="auto"/>
        <w:ind w:firstLine="482" w:firstLineChars="200"/>
        <w:jc w:val="left"/>
        <w:rPr>
          <w:rFonts w:ascii="仿宋" w:hAnsi="仿宋" w:eastAsia="仿宋" w:cs="仿宋"/>
          <w:color w:val="auto"/>
          <w:sz w:val="24"/>
          <w:szCs w:val="24"/>
          <w:highlight w:val="none"/>
        </w:rPr>
      </w:pPr>
      <w:bookmarkStart w:id="478" w:name="_Toc24104"/>
      <w:r>
        <w:rPr>
          <w:rFonts w:hint="eastAsia" w:ascii="仿宋" w:hAnsi="仿宋" w:eastAsia="仿宋" w:cs="仿宋"/>
          <w:color w:val="auto"/>
          <w:sz w:val="24"/>
          <w:szCs w:val="24"/>
          <w:highlight w:val="none"/>
        </w:rPr>
        <w:t>三、详细评审标准（A包）</w:t>
      </w:r>
      <w:bookmarkEnd w:id="478"/>
    </w:p>
    <w:tbl>
      <w:tblPr>
        <w:tblStyle w:val="29"/>
        <w:tblW w:w="9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2062"/>
        <w:gridCol w:w="5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1425" w:type="dxa"/>
            <w:noWrap/>
            <w:vAlign w:val="center"/>
          </w:tcPr>
          <w:p>
            <w:pPr>
              <w:shd w:val="clear"/>
              <w:autoSpaceDE w:val="0"/>
              <w:autoSpaceDN w:val="0"/>
              <w:adjustRightInd w:val="0"/>
              <w:spacing w:beforeLines="25" w:afterLines="25"/>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条款号</w:t>
            </w:r>
          </w:p>
        </w:tc>
        <w:tc>
          <w:tcPr>
            <w:tcW w:w="2062" w:type="dxa"/>
            <w:noWrap/>
            <w:vAlign w:val="center"/>
          </w:tcPr>
          <w:p>
            <w:pPr>
              <w:shd w:val="clear"/>
              <w:autoSpaceDE w:val="0"/>
              <w:autoSpaceDN w:val="0"/>
              <w:adjustRightInd w:val="0"/>
              <w:spacing w:beforeLines="25" w:afterLines="25"/>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分值</w:t>
            </w:r>
          </w:p>
        </w:tc>
        <w:tc>
          <w:tcPr>
            <w:tcW w:w="5986" w:type="dxa"/>
            <w:noWrap/>
            <w:vAlign w:val="center"/>
          </w:tcPr>
          <w:p>
            <w:pPr>
              <w:shd w:val="clear"/>
              <w:autoSpaceDE w:val="0"/>
              <w:autoSpaceDN w:val="0"/>
              <w:adjustRightInd w:val="0"/>
              <w:spacing w:beforeLines="25" w:afterLines="25"/>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25" w:type="dxa"/>
            <w:noWrap/>
            <w:vAlign w:val="center"/>
          </w:tcPr>
          <w:p>
            <w:pPr>
              <w:shd w:val="clear"/>
              <w:autoSpaceDE w:val="0"/>
              <w:autoSpaceDN w:val="0"/>
              <w:adjustRightInd w:val="0"/>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分值构成</w:t>
            </w:r>
          </w:p>
        </w:tc>
        <w:tc>
          <w:tcPr>
            <w:tcW w:w="2062" w:type="dxa"/>
            <w:noWrap/>
            <w:vAlign w:val="center"/>
          </w:tcPr>
          <w:p>
            <w:pPr>
              <w:shd w:val="clear"/>
              <w:autoSpaceDE w:val="0"/>
              <w:autoSpaceDN w:val="0"/>
              <w:adjustRightInd w:val="0"/>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100分</w:t>
            </w:r>
          </w:p>
        </w:tc>
        <w:tc>
          <w:tcPr>
            <w:tcW w:w="5986" w:type="dxa"/>
            <w:noWrap/>
            <w:vAlign w:val="center"/>
          </w:tcPr>
          <w:p>
            <w:pPr>
              <w:shd w:val="clear"/>
              <w:autoSpaceDE w:val="0"/>
              <w:autoSpaceDN w:val="0"/>
              <w:adjustRightInd w:val="0"/>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技术部分：</w:t>
            </w:r>
            <w:r>
              <w:rPr>
                <w:rFonts w:hint="eastAsia" w:ascii="仿宋" w:hAnsi="仿宋" w:eastAsia="仿宋" w:cs="仿宋"/>
                <w:color w:val="auto"/>
                <w:szCs w:val="21"/>
                <w:highlight w:val="none"/>
                <w:lang w:val="en-US" w:eastAsia="zh-CN"/>
              </w:rPr>
              <w:t>65</w:t>
            </w:r>
            <w:r>
              <w:rPr>
                <w:rFonts w:hint="eastAsia" w:ascii="仿宋" w:hAnsi="仿宋" w:eastAsia="仿宋" w:cs="仿宋"/>
                <w:color w:val="auto"/>
                <w:szCs w:val="21"/>
                <w:highlight w:val="none"/>
              </w:rPr>
              <w:t>分</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highlight w:val="none"/>
              </w:rPr>
              <w:t>商务部分：35分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5" w:type="dxa"/>
            <w:noWrap/>
            <w:vAlign w:val="center"/>
          </w:tcPr>
          <w:p>
            <w:pPr>
              <w:shd w:val="clear"/>
              <w:autoSpaceDE w:val="0"/>
              <w:autoSpaceDN w:val="0"/>
              <w:adjustRightInd w:val="0"/>
              <w:spacing w:beforeLines="25" w:afterLines="25"/>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条款号</w:t>
            </w:r>
          </w:p>
        </w:tc>
        <w:tc>
          <w:tcPr>
            <w:tcW w:w="2062" w:type="dxa"/>
            <w:noWrap/>
            <w:vAlign w:val="center"/>
          </w:tcPr>
          <w:p>
            <w:pPr>
              <w:shd w:val="clear"/>
              <w:autoSpaceDE w:val="0"/>
              <w:autoSpaceDN w:val="0"/>
              <w:adjustRightInd w:val="0"/>
              <w:spacing w:beforeLines="25" w:afterLines="25"/>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评分因素</w:t>
            </w:r>
          </w:p>
        </w:tc>
        <w:tc>
          <w:tcPr>
            <w:tcW w:w="5986" w:type="dxa"/>
            <w:noWrap/>
            <w:vAlign w:val="center"/>
          </w:tcPr>
          <w:p>
            <w:pPr>
              <w:shd w:val="clear"/>
              <w:autoSpaceDE w:val="0"/>
              <w:autoSpaceDN w:val="0"/>
              <w:adjustRightInd w:val="0"/>
              <w:spacing w:beforeLines="25" w:afterLines="25"/>
              <w:jc w:val="center"/>
              <w:rPr>
                <w:rFonts w:ascii="仿宋" w:hAnsi="仿宋" w:eastAsia="仿宋" w:cs="仿宋"/>
                <w:b/>
                <w:bCs/>
                <w:color w:val="auto"/>
                <w:highlight w:val="none"/>
              </w:rPr>
            </w:pPr>
            <w:r>
              <w:rPr>
                <w:rFonts w:hint="eastAsia" w:ascii="仿宋" w:hAnsi="仿宋" w:eastAsia="仿宋" w:cs="仿宋"/>
                <w:b/>
                <w:bCs/>
                <w:color w:val="auto"/>
                <w:kern w:val="0"/>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25" w:type="dxa"/>
            <w:vMerge w:val="restart"/>
            <w:noWrap/>
            <w:vAlign w:val="center"/>
          </w:tcPr>
          <w:p>
            <w:pPr>
              <w:pStyle w:val="50"/>
              <w:shd w:val="clear"/>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技术部分</w:t>
            </w:r>
          </w:p>
          <w:p>
            <w:pPr>
              <w:widowControl/>
              <w:shd w:val="clear"/>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65</w:t>
            </w:r>
            <w:r>
              <w:rPr>
                <w:rFonts w:hint="eastAsia" w:ascii="仿宋" w:hAnsi="仿宋" w:eastAsia="仿宋" w:cs="仿宋"/>
                <w:color w:val="auto"/>
                <w:szCs w:val="21"/>
                <w:highlight w:val="none"/>
              </w:rPr>
              <w:t>分）</w:t>
            </w:r>
          </w:p>
        </w:tc>
        <w:tc>
          <w:tcPr>
            <w:tcW w:w="2062" w:type="dxa"/>
            <w:noWrap/>
            <w:vAlign w:val="center"/>
          </w:tcPr>
          <w:p>
            <w:pPr>
              <w:widowControl/>
              <w:shd w:val="clear"/>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工作组织实施方案</w:t>
            </w:r>
          </w:p>
          <w:p>
            <w:pPr>
              <w:widowControl/>
              <w:shd w:val="clear"/>
              <w:spacing w:beforeLines="25" w:afterLines="25"/>
              <w:jc w:val="center"/>
              <w:rPr>
                <w:rFonts w:ascii="仿宋" w:hAnsi="仿宋" w:eastAsia="仿宋" w:cs="仿宋"/>
                <w:color w:val="auto"/>
                <w:kern w:val="0"/>
                <w:sz w:val="21"/>
                <w:szCs w:val="21"/>
                <w:highlight w:val="none"/>
                <w:lang w:val="en-US" w:eastAsia="zh-CN" w:bidi="ar-SA"/>
              </w:rPr>
            </w:pPr>
            <w:r>
              <w:rPr>
                <w:rFonts w:hint="eastAsia" w:ascii="仿宋" w:hAnsi="仿宋" w:eastAsia="仿宋" w:cs="仿宋"/>
                <w:color w:val="auto"/>
                <w:szCs w:val="21"/>
                <w:highlight w:val="none"/>
              </w:rPr>
              <w:t>（8分）</w:t>
            </w:r>
          </w:p>
        </w:tc>
        <w:tc>
          <w:tcPr>
            <w:tcW w:w="5986" w:type="dxa"/>
            <w:noWrap/>
            <w:vAlign w:val="center"/>
          </w:tcPr>
          <w:p>
            <w:pPr>
              <w:shd w:val="clear"/>
              <w:spacing w:beforeLines="25" w:afterLines="25"/>
              <w:rPr>
                <w:rFonts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本项目工作组织实施方案的全面性及合理性（包括主要管理流程，包括运作流程图、服务措施、信息反馈渠道及处理机制，服务成果达到服务标准）</w:t>
            </w:r>
            <w:r>
              <w:rPr>
                <w:rFonts w:hint="eastAsia" w:ascii="仿宋" w:hAnsi="仿宋" w:eastAsia="仿宋" w:cs="仿宋"/>
                <w:color w:val="auto"/>
                <w:szCs w:val="21"/>
                <w:highlight w:val="none"/>
                <w:lang w:val="zh-CN"/>
              </w:rPr>
              <w:t>情况进行评分</w:t>
            </w:r>
            <w:r>
              <w:rPr>
                <w:rFonts w:hint="eastAsia" w:ascii="仿宋" w:hAnsi="仿宋" w:eastAsia="仿宋" w:cs="仿宋"/>
                <w:color w:val="auto"/>
                <w:szCs w:val="21"/>
                <w:highlight w:val="none"/>
              </w:rPr>
              <w:t>。服务方案具有针对性，根据项目需求情况提出详细、具体、明确的服务流程、服务方式方法、服务效果等的，得</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分；服务方案较为全面，能符合项目需求，有提出服务流程、服务方式方法、服务成果的，得6分；服务方案简单，服务流程不够完整，服务方式方法、服务成果措施简单的，得</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425"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62" w:type="dxa"/>
            <w:noWrap/>
            <w:vAlign w:val="center"/>
          </w:tcPr>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人员机构设置</w:t>
            </w:r>
          </w:p>
          <w:p>
            <w:pPr>
              <w:widowControl/>
              <w:shd w:val="clear"/>
              <w:spacing w:beforeLines="25" w:afterLines="25"/>
              <w:jc w:val="center"/>
              <w:rPr>
                <w:rFonts w:ascii="仿宋" w:hAnsi="仿宋" w:eastAsia="仿宋" w:cs="仿宋"/>
                <w:color w:val="auto"/>
                <w:kern w:val="0"/>
                <w:sz w:val="21"/>
                <w:szCs w:val="21"/>
                <w:highlight w:val="none"/>
                <w:lang w:val="en-US" w:eastAsia="zh-CN" w:bidi="ar-SA"/>
              </w:rPr>
            </w:pPr>
            <w:r>
              <w:rPr>
                <w:rFonts w:hint="eastAsia" w:ascii="仿宋" w:hAnsi="仿宋" w:eastAsia="仿宋" w:cs="仿宋"/>
                <w:color w:val="auto"/>
                <w:szCs w:val="21"/>
                <w:highlight w:val="none"/>
              </w:rPr>
              <w:t>（8分）</w:t>
            </w:r>
          </w:p>
        </w:tc>
        <w:tc>
          <w:tcPr>
            <w:tcW w:w="5986" w:type="dxa"/>
            <w:noWrap/>
            <w:vAlign w:val="center"/>
          </w:tcPr>
          <w:p>
            <w:pPr>
              <w:shd w:val="clear"/>
              <w:spacing w:beforeLines="25" w:afterLines="25"/>
              <w:rPr>
                <w:rFonts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项目实施过程中，供应商机构设置、分工及各个环节均设置有相应的机构和健全的质量控制及管理制度等方面进行评分。机构设置合理，拟投入人员配备齐全、技术力量雄厚、各项管理制度健全、可行，能够完全满足实际项目需求的，得</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分；机构设置基本合理、人员配备符合要求、管理制度健全，基本满足实际项目需求的，得6分；机构设置简单、管理制度不够健全，不能完全满足实际项目需求的，得</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1425"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62" w:type="dxa"/>
            <w:noWrap/>
            <w:vAlign w:val="center"/>
          </w:tcPr>
          <w:p>
            <w:pPr>
              <w:widowControl/>
              <w:shd w:val="clear"/>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服务质量保障措施</w:t>
            </w:r>
          </w:p>
          <w:p>
            <w:pPr>
              <w:widowControl/>
              <w:shd w:val="clear"/>
              <w:spacing w:beforeLines="25" w:afterLines="25"/>
              <w:jc w:val="center"/>
              <w:rPr>
                <w:rFonts w:ascii="仿宋" w:hAnsi="仿宋" w:eastAsia="仿宋" w:cs="仿宋"/>
                <w:color w:val="auto"/>
                <w:kern w:val="0"/>
                <w:sz w:val="21"/>
                <w:szCs w:val="21"/>
                <w:highlight w:val="none"/>
                <w:lang w:val="en-US" w:eastAsia="zh-CN" w:bidi="ar-SA"/>
              </w:rPr>
            </w:pPr>
            <w:r>
              <w:rPr>
                <w:rFonts w:hint="eastAsia" w:ascii="仿宋" w:hAnsi="仿宋" w:eastAsia="仿宋" w:cs="仿宋"/>
                <w:color w:val="auto"/>
                <w:szCs w:val="21"/>
                <w:highlight w:val="none"/>
              </w:rPr>
              <w:t>（8分）</w:t>
            </w:r>
          </w:p>
        </w:tc>
        <w:tc>
          <w:tcPr>
            <w:tcW w:w="5986" w:type="dxa"/>
            <w:noWrap/>
            <w:vAlign w:val="center"/>
          </w:tcPr>
          <w:p>
            <w:pPr>
              <w:shd w:val="clear"/>
              <w:spacing w:beforeLines="25" w:afterLines="25"/>
              <w:rPr>
                <w:rFonts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质量目标明确，并有实现质量保障措施，具有各阶段的工作内容、工作方法、工作重点、难点分析及相关的处理方法。有制定全面的服务质量保障措施，对服务过程中的关键节点有具体质量控制措施和处理方法，能够确保服务质量的，得</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有制定相应的服务质量保障措施，对服务过程中的关键节点有基本的质量控制措施和处理方法，基本保证服务质量的，得6分；服务质量保障措施较为简单，对服务过程中的关键节点的质量控制措施欠缺可行性，得</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25"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62" w:type="dxa"/>
            <w:noWrap/>
            <w:vAlign w:val="center"/>
          </w:tcPr>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工作流程</w:t>
            </w:r>
          </w:p>
          <w:p>
            <w:pPr>
              <w:widowControl/>
              <w:shd w:val="clear"/>
              <w:spacing w:beforeLines="25" w:afterLines="25"/>
              <w:jc w:val="center"/>
              <w:rPr>
                <w:rFonts w:ascii="仿宋" w:hAnsi="仿宋" w:eastAsia="仿宋" w:cs="仿宋"/>
                <w:color w:val="auto"/>
                <w:kern w:val="0"/>
                <w:sz w:val="21"/>
                <w:szCs w:val="21"/>
                <w:highlight w:val="none"/>
                <w:lang w:val="en-US" w:eastAsia="zh-CN" w:bidi="ar-SA"/>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w:t>
            </w:r>
          </w:p>
        </w:tc>
        <w:tc>
          <w:tcPr>
            <w:tcW w:w="5986" w:type="dxa"/>
            <w:noWrap/>
            <w:vAlign w:val="center"/>
          </w:tcPr>
          <w:p>
            <w:pPr>
              <w:shd w:val="clear"/>
              <w:spacing w:beforeLines="25" w:afterLines="25"/>
              <w:rPr>
                <w:rFonts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有完善的工作流程及工作计划及实施时间，体现标准化服务，管理服务水平符合国家和行业标准。工作流程及工作计划科学合理，得</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分；工作流程及工作计划合理，得</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分；工作流程及工作计划基本合理，得</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25"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62" w:type="dxa"/>
            <w:noWrap/>
            <w:vAlign w:val="center"/>
          </w:tcPr>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风险管控措施</w:t>
            </w:r>
          </w:p>
          <w:p>
            <w:pPr>
              <w:widowControl/>
              <w:shd w:val="clear"/>
              <w:spacing w:beforeLines="25" w:afterLines="25"/>
              <w:jc w:val="center"/>
              <w:rPr>
                <w:rFonts w:ascii="仿宋" w:hAnsi="仿宋" w:eastAsia="仿宋" w:cs="仿宋"/>
                <w:color w:val="auto"/>
                <w:kern w:val="0"/>
                <w:sz w:val="21"/>
                <w:szCs w:val="21"/>
                <w:highlight w:val="none"/>
                <w:lang w:val="en-US" w:eastAsia="zh-CN" w:bidi="ar-SA"/>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w:t>
            </w:r>
          </w:p>
        </w:tc>
        <w:tc>
          <w:tcPr>
            <w:tcW w:w="5986" w:type="dxa"/>
            <w:noWrap/>
            <w:vAlign w:val="center"/>
          </w:tcPr>
          <w:p>
            <w:pPr>
              <w:shd w:val="clear"/>
              <w:spacing w:beforeLines="25" w:afterLines="25"/>
              <w:rPr>
                <w:rFonts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工作过程中风险防控管理措施齐全，廉洁自律和职业操守制度建全，管控措施准确，各阶段风险控制及应急措施得力，得</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分；风险防控管理措施基本齐全，有廉洁自律和职业操守制度，各阶段风险控制及应急措施基本可行，得</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分；风险防控管理措施不够齐全，廉洁自律和职业操守制度不够健全，缺乏应急措施，得</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25"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62" w:type="dxa"/>
            <w:noWrap/>
            <w:vAlign w:val="center"/>
          </w:tcPr>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进度保障措施</w:t>
            </w:r>
          </w:p>
          <w:p>
            <w:pPr>
              <w:widowControl/>
              <w:shd w:val="clear"/>
              <w:spacing w:beforeLines="25" w:afterLines="25"/>
              <w:jc w:val="center"/>
              <w:rPr>
                <w:rFonts w:ascii="仿宋" w:hAnsi="仿宋" w:eastAsia="仿宋" w:cs="仿宋"/>
                <w:color w:val="auto"/>
                <w:kern w:val="0"/>
                <w:sz w:val="21"/>
                <w:szCs w:val="21"/>
                <w:highlight w:val="none"/>
                <w:lang w:val="en-US" w:eastAsia="zh-CN" w:bidi="ar-SA"/>
              </w:rPr>
            </w:pPr>
            <w:r>
              <w:rPr>
                <w:rFonts w:hint="eastAsia" w:ascii="仿宋" w:hAnsi="仿宋" w:eastAsia="仿宋" w:cs="仿宋"/>
                <w:color w:val="auto"/>
                <w:szCs w:val="21"/>
                <w:highlight w:val="none"/>
              </w:rPr>
              <w:t>（8分）</w:t>
            </w:r>
          </w:p>
        </w:tc>
        <w:tc>
          <w:tcPr>
            <w:tcW w:w="5986" w:type="dxa"/>
            <w:noWrap/>
            <w:vAlign w:val="center"/>
          </w:tcPr>
          <w:p>
            <w:pPr>
              <w:shd w:val="clear"/>
              <w:spacing w:beforeLines="25" w:afterLines="25"/>
              <w:rPr>
                <w:rFonts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进度保证措施详细、全面，时间安排紧凑，后备岗位人员替补充足，完全满足项目要求，得</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分；进度保证措施较详细、全面，时间安排较合理，有后备岗位人员，基本符合项目要求，得6分；进度保证措施不够详细，时间安排较合理，后备岗位人员不足，得</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25"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62" w:type="dxa"/>
            <w:noWrap/>
            <w:vAlign w:val="center"/>
          </w:tcPr>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档案管理措施</w:t>
            </w:r>
          </w:p>
          <w:p>
            <w:pPr>
              <w:widowControl/>
              <w:shd w:val="clear"/>
              <w:spacing w:beforeLines="25" w:afterLines="25"/>
              <w:jc w:val="center"/>
              <w:rPr>
                <w:rFonts w:ascii="仿宋" w:hAnsi="仿宋" w:eastAsia="仿宋" w:cs="仿宋"/>
                <w:color w:val="auto"/>
                <w:kern w:val="0"/>
                <w:sz w:val="21"/>
                <w:szCs w:val="21"/>
                <w:highlight w:val="none"/>
                <w:lang w:val="en-US" w:eastAsia="zh-CN" w:bidi="ar-SA"/>
              </w:rPr>
            </w:pPr>
            <w:r>
              <w:rPr>
                <w:rFonts w:hint="eastAsia" w:ascii="仿宋" w:hAnsi="仿宋" w:eastAsia="仿宋" w:cs="仿宋"/>
                <w:color w:val="auto"/>
                <w:szCs w:val="21"/>
                <w:highlight w:val="none"/>
              </w:rPr>
              <w:t>（7分）</w:t>
            </w:r>
          </w:p>
        </w:tc>
        <w:tc>
          <w:tcPr>
            <w:tcW w:w="5986" w:type="dxa"/>
            <w:noWrap/>
            <w:vAlign w:val="center"/>
          </w:tcPr>
          <w:p>
            <w:pPr>
              <w:shd w:val="clear"/>
              <w:spacing w:beforeLines="25" w:afterLines="25"/>
              <w:rPr>
                <w:rFonts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审计项目档案管理措施和方法全面详细、管理制度切实可行，得</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分；审计项目档案管理措施和方法比较详细、管理制度基本可行，得</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分；审计项目档案管理措施和方法不够全面详细、管理制度实施性较差，得3分。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jc w:val="center"/>
        </w:trPr>
        <w:tc>
          <w:tcPr>
            <w:tcW w:w="1425"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62" w:type="dxa"/>
            <w:noWrap/>
            <w:vAlign w:val="center"/>
          </w:tcPr>
          <w:p>
            <w:pPr>
              <w:shd w:val="clear"/>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服务承诺</w:t>
            </w:r>
          </w:p>
          <w:p>
            <w:pPr>
              <w:shd w:val="clear"/>
              <w:spacing w:beforeLines="25" w:afterLines="25"/>
              <w:jc w:val="center"/>
              <w:rPr>
                <w:rFonts w:ascii="仿宋" w:hAnsi="仿宋" w:eastAsia="仿宋" w:cs="仿宋"/>
                <w:color w:val="auto"/>
                <w:kern w:val="0"/>
                <w:sz w:val="21"/>
                <w:szCs w:val="21"/>
                <w:highlight w:val="none"/>
                <w:lang w:val="en-US" w:eastAsia="zh-CN" w:bidi="ar-SA"/>
              </w:rPr>
            </w:pPr>
            <w:r>
              <w:rPr>
                <w:rFonts w:hint="eastAsia" w:ascii="仿宋" w:hAnsi="仿宋" w:eastAsia="仿宋" w:cs="仿宋"/>
                <w:color w:val="auto"/>
                <w:szCs w:val="21"/>
                <w:highlight w:val="none"/>
              </w:rPr>
              <w:t>（10分）</w:t>
            </w:r>
          </w:p>
        </w:tc>
        <w:tc>
          <w:tcPr>
            <w:tcW w:w="5986" w:type="dxa"/>
            <w:noWrap/>
            <w:vAlign w:val="center"/>
          </w:tcPr>
          <w:p>
            <w:pPr>
              <w:shd w:val="clear"/>
              <w:spacing w:beforeLines="25" w:afterLines="25"/>
              <w:rPr>
                <w:rFonts w:hint="eastAsia" w:ascii="仿宋" w:hAnsi="仿宋" w:eastAsia="仿宋" w:cs="仿宋"/>
                <w:color w:val="auto"/>
                <w:szCs w:val="21"/>
                <w:highlight w:val="none"/>
              </w:rPr>
            </w:pPr>
            <w:r>
              <w:rPr>
                <w:rFonts w:hint="eastAsia" w:ascii="仿宋" w:hAnsi="仿宋" w:eastAsia="仿宋" w:cs="仿宋"/>
                <w:color w:val="auto"/>
                <w:szCs w:val="21"/>
                <w:highlight w:val="none"/>
              </w:rPr>
              <w:t>1.服务承诺内容完善，积极配合采购人工作、为采购人排忧解难，服从安排，按时保质保量完成的服务工作。得</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分；服务内容相对完善，较为配合采购人的工作，服从采购人的安排，能解决工程中的问题，得3分；服务内容基本完善，能够配合采购人的工作，服从采购人的安排，基本能解决工程中的问题，得1分。</w:t>
            </w:r>
          </w:p>
          <w:p>
            <w:pPr>
              <w:shd w:val="clear"/>
              <w:spacing w:beforeLines="25" w:afterLines="25"/>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2.承诺项目拟投入人员需亲自到场服务，具有可行、合法有效的书面保证技术措施落实到位的承诺和落实不到位的处理承诺，其中包括各关键岗位人员的在岗、更换等履职尽责承诺。承诺合理，依法依规，详实可行，得</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分；承诺基本符合项目实际情况，依法依规，优惠合理，得3分；承诺符合项目实际情况，依法依规，得1分</w:t>
            </w:r>
            <w:bookmarkStart w:id="646" w:name="_GoBack"/>
            <w:r>
              <w:rPr>
                <w:rFonts w:hint="eastAsia" w:ascii="仿宋" w:hAnsi="仿宋" w:eastAsia="仿宋" w:cs="仿宋"/>
                <w:color w:val="auto"/>
                <w:szCs w:val="21"/>
                <w:highlight w:val="none"/>
              </w:rPr>
              <w:t>。</w:t>
            </w:r>
            <w:bookmarkEnd w:id="6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25"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8048" w:type="dxa"/>
            <w:gridSpan w:val="2"/>
            <w:noWrap/>
            <w:vAlign w:val="center"/>
          </w:tcPr>
          <w:p>
            <w:pPr>
              <w:shd w:val="clear"/>
              <w:wordWrap w:val="0"/>
              <w:snapToGrid w:val="0"/>
              <w:spacing w:beforeLines="25" w:afterLines="25"/>
              <w:jc w:val="center"/>
              <w:rPr>
                <w:rFonts w:ascii="仿宋" w:hAnsi="仿宋" w:eastAsia="仿宋" w:cs="仿宋"/>
                <w:color w:val="auto"/>
                <w:highlight w:val="none"/>
              </w:rPr>
            </w:pPr>
            <w:r>
              <w:rPr>
                <w:rFonts w:hint="eastAsia" w:ascii="仿宋" w:hAnsi="仿宋" w:eastAsia="仿宋" w:cs="仿宋"/>
                <w:color w:val="auto"/>
                <w:highlight w:val="none"/>
              </w:rPr>
              <w:t>注：以上评分内容，缺项该项得0分。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4" w:hRule="atLeast"/>
          <w:jc w:val="center"/>
        </w:trPr>
        <w:tc>
          <w:tcPr>
            <w:tcW w:w="1425" w:type="dxa"/>
            <w:vMerge w:val="restart"/>
            <w:noWrap/>
            <w:vAlign w:val="center"/>
          </w:tcPr>
          <w:p>
            <w:pPr>
              <w:widowControl/>
              <w:shd w:val="clear"/>
              <w:spacing w:beforeLines="25" w:afterLines="25"/>
              <w:jc w:val="center"/>
              <w:rPr>
                <w:rFonts w:ascii="仿宋" w:hAnsi="仿宋" w:eastAsia="仿宋" w:cs="仿宋"/>
                <w:color w:val="auto"/>
                <w:highlight w:val="none"/>
              </w:rPr>
            </w:pPr>
            <w:r>
              <w:rPr>
                <w:rFonts w:hint="eastAsia" w:ascii="仿宋" w:hAnsi="仿宋" w:eastAsia="仿宋" w:cs="仿宋"/>
                <w:color w:val="auto"/>
                <w:highlight w:val="none"/>
              </w:rPr>
              <w:t>商务部分</w:t>
            </w:r>
          </w:p>
          <w:p>
            <w:pPr>
              <w:widowControl/>
              <w:shd w:val="clear"/>
              <w:spacing w:beforeLines="25" w:afterLines="25"/>
              <w:jc w:val="center"/>
              <w:rPr>
                <w:rFonts w:ascii="仿宋" w:hAnsi="仿宋" w:eastAsia="仿宋" w:cs="仿宋"/>
                <w:color w:val="auto"/>
                <w:highlight w:val="none"/>
              </w:rPr>
            </w:pPr>
            <w:r>
              <w:rPr>
                <w:rFonts w:hint="eastAsia" w:ascii="仿宋" w:hAnsi="仿宋" w:eastAsia="仿宋" w:cs="仿宋"/>
                <w:color w:val="auto"/>
                <w:highlight w:val="none"/>
              </w:rPr>
              <w:t>（35分）</w:t>
            </w:r>
          </w:p>
        </w:tc>
        <w:tc>
          <w:tcPr>
            <w:tcW w:w="2062" w:type="dxa"/>
            <w:noWrap/>
            <w:vAlign w:val="center"/>
          </w:tcPr>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供应商履约能力</w:t>
            </w:r>
          </w:p>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（25分）</w:t>
            </w:r>
          </w:p>
        </w:tc>
        <w:tc>
          <w:tcPr>
            <w:tcW w:w="5986" w:type="dxa"/>
            <w:noWrap/>
            <w:vAlign w:val="center"/>
          </w:tcPr>
          <w:p>
            <w:pPr>
              <w:shd w:val="clear"/>
              <w:spacing w:beforeLines="25" w:afterLines="25"/>
              <w:rPr>
                <w:rFonts w:ascii="仿宋" w:hAnsi="仿宋" w:eastAsia="仿宋" w:cs="仿宋"/>
                <w:b/>
                <w:bCs/>
                <w:color w:val="auto"/>
                <w:highlight w:val="none"/>
              </w:rPr>
            </w:pPr>
            <w:r>
              <w:rPr>
                <w:rFonts w:hint="eastAsia" w:ascii="仿宋" w:hAnsi="仿宋" w:eastAsia="仿宋" w:cs="仿宋"/>
                <w:b/>
                <w:bCs/>
                <w:color w:val="auto"/>
                <w:highlight w:val="none"/>
              </w:rPr>
              <w:t>1、项目负责人（5分）</w:t>
            </w:r>
          </w:p>
          <w:p>
            <w:pPr>
              <w:shd w:val="clear"/>
              <w:spacing w:beforeLines="25" w:afterLines="25"/>
              <w:rPr>
                <w:rFonts w:ascii="仿宋" w:hAnsi="仿宋" w:eastAsia="仿宋" w:cs="仿宋"/>
                <w:color w:val="auto"/>
                <w:highlight w:val="none"/>
              </w:rPr>
            </w:pPr>
            <w:r>
              <w:rPr>
                <w:rFonts w:hint="eastAsia" w:ascii="仿宋" w:hAnsi="仿宋" w:eastAsia="仿宋" w:cs="仿宋"/>
                <w:color w:val="auto"/>
                <w:szCs w:val="21"/>
                <w:highlight w:val="none"/>
              </w:rPr>
              <w:t>(1)</w:t>
            </w:r>
            <w:r>
              <w:rPr>
                <w:rFonts w:hint="eastAsia" w:ascii="仿宋" w:hAnsi="仿宋" w:eastAsia="仿宋" w:cs="仿宋"/>
                <w:color w:val="auto"/>
                <w:highlight w:val="none"/>
              </w:rPr>
              <w:t>项目负责人具有相关类似从业经验的得3分（提供业绩合同、负责人签章的成果报告、三方定案表）；</w:t>
            </w:r>
          </w:p>
          <w:p>
            <w:pPr>
              <w:shd w:val="clear"/>
              <w:spacing w:beforeLines="25" w:afterLines="25"/>
              <w:rPr>
                <w:rFonts w:ascii="仿宋" w:hAnsi="仿宋" w:eastAsia="仿宋" w:cs="仿宋"/>
                <w:color w:val="auto"/>
                <w:highlight w:val="none"/>
              </w:rPr>
            </w:pPr>
            <w:r>
              <w:rPr>
                <w:rFonts w:hint="eastAsia" w:ascii="仿宋" w:hAnsi="仿宋" w:eastAsia="仿宋" w:cs="仿宋"/>
                <w:color w:val="auto"/>
                <w:szCs w:val="21"/>
                <w:highlight w:val="none"/>
              </w:rPr>
              <w:t>(2)</w:t>
            </w:r>
            <w:r>
              <w:rPr>
                <w:rFonts w:hint="eastAsia" w:ascii="仿宋" w:hAnsi="仿宋" w:eastAsia="仿宋" w:cs="仿宋"/>
                <w:color w:val="auto"/>
                <w:highlight w:val="none"/>
              </w:rPr>
              <w:t>项目负责人具有</w:t>
            </w:r>
            <w:r>
              <w:rPr>
                <w:rFonts w:hint="eastAsia" w:ascii="仿宋" w:hAnsi="仿宋" w:eastAsia="仿宋" w:cs="仿宋"/>
                <w:color w:val="auto"/>
                <w:highlight w:val="none"/>
                <w:lang w:val="en-US" w:eastAsia="zh-CN"/>
              </w:rPr>
              <w:t>工程相关专业</w:t>
            </w:r>
            <w:r>
              <w:rPr>
                <w:rFonts w:hint="eastAsia" w:ascii="仿宋" w:hAnsi="仿宋" w:eastAsia="仿宋" w:cs="仿宋"/>
                <w:color w:val="auto"/>
                <w:highlight w:val="none"/>
              </w:rPr>
              <w:t>高级职称者得2分（附证明材料）。</w:t>
            </w:r>
          </w:p>
          <w:p>
            <w:pPr>
              <w:shd w:val="clear"/>
              <w:spacing w:beforeLines="25" w:afterLines="25"/>
              <w:rPr>
                <w:rFonts w:ascii="仿宋" w:hAnsi="仿宋" w:eastAsia="仿宋" w:cs="仿宋"/>
                <w:b/>
                <w:bCs/>
                <w:color w:val="auto"/>
                <w:highlight w:val="none"/>
              </w:rPr>
            </w:pPr>
            <w:r>
              <w:rPr>
                <w:rFonts w:hint="eastAsia" w:ascii="仿宋" w:hAnsi="仿宋" w:eastAsia="仿宋" w:cs="仿宋"/>
                <w:b/>
                <w:bCs/>
                <w:color w:val="auto"/>
                <w:highlight w:val="none"/>
              </w:rPr>
              <w:t>2、拟投入其他参审人员（20分）</w:t>
            </w:r>
          </w:p>
          <w:p>
            <w:pPr>
              <w:shd w:val="clear"/>
              <w:spacing w:beforeLines="25" w:afterLines="25"/>
              <w:rPr>
                <w:rFonts w:ascii="仿宋" w:hAnsi="仿宋" w:eastAsia="仿宋" w:cs="仿宋"/>
                <w:color w:val="auto"/>
                <w:highlight w:val="none"/>
              </w:rPr>
            </w:pPr>
            <w:r>
              <w:rPr>
                <w:rFonts w:hint="eastAsia" w:ascii="仿宋" w:hAnsi="仿宋" w:eastAsia="仿宋" w:cs="仿宋"/>
                <w:color w:val="auto"/>
                <w:szCs w:val="21"/>
                <w:highlight w:val="none"/>
              </w:rPr>
              <w:t>(1)</w:t>
            </w:r>
            <w:r>
              <w:rPr>
                <w:rFonts w:hint="eastAsia" w:ascii="仿宋" w:hAnsi="仿宋" w:eastAsia="仿宋" w:cs="仿宋"/>
                <w:color w:val="auto"/>
                <w:highlight w:val="none"/>
              </w:rPr>
              <w:t>拟投入其他参审人员（不含项目负责人）具备一级注册造价师资格的每人得3分；</w:t>
            </w:r>
          </w:p>
          <w:p>
            <w:pPr>
              <w:shd w:val="clear"/>
              <w:spacing w:beforeLines="25" w:afterLines="25"/>
              <w:rPr>
                <w:rFonts w:ascii="仿宋" w:hAnsi="仿宋" w:eastAsia="仿宋" w:cs="仿宋"/>
                <w:color w:val="auto"/>
                <w:highlight w:val="none"/>
              </w:rPr>
            </w:pPr>
            <w:r>
              <w:rPr>
                <w:rFonts w:hint="eastAsia" w:ascii="仿宋" w:hAnsi="仿宋" w:eastAsia="仿宋" w:cs="仿宋"/>
                <w:color w:val="auto"/>
                <w:szCs w:val="21"/>
                <w:highlight w:val="none"/>
              </w:rPr>
              <w:t>(2)</w:t>
            </w:r>
            <w:r>
              <w:rPr>
                <w:rFonts w:hint="eastAsia" w:ascii="仿宋" w:hAnsi="仿宋" w:eastAsia="仿宋" w:cs="仿宋"/>
                <w:color w:val="auto"/>
                <w:highlight w:val="none"/>
              </w:rPr>
              <w:t>具备</w:t>
            </w:r>
            <w:r>
              <w:rPr>
                <w:rFonts w:hint="eastAsia" w:ascii="仿宋" w:hAnsi="仿宋" w:eastAsia="仿宋" w:cs="仿宋"/>
                <w:color w:val="auto"/>
                <w:highlight w:val="none"/>
                <w:lang w:val="en-US" w:eastAsia="zh-CN"/>
              </w:rPr>
              <w:t>工程相关专业</w:t>
            </w:r>
            <w:r>
              <w:rPr>
                <w:rFonts w:hint="eastAsia" w:ascii="仿宋" w:hAnsi="仿宋" w:eastAsia="仿宋" w:cs="仿宋"/>
                <w:color w:val="auto"/>
                <w:highlight w:val="none"/>
              </w:rPr>
              <w:t>高级职称的每人得2分；</w:t>
            </w:r>
          </w:p>
          <w:p>
            <w:pPr>
              <w:shd w:val="clear"/>
              <w:spacing w:beforeLines="25" w:afterLines="25"/>
              <w:rPr>
                <w:rFonts w:ascii="仿宋" w:hAnsi="仿宋" w:eastAsia="仿宋" w:cs="仿宋"/>
                <w:color w:val="auto"/>
                <w:highlight w:val="none"/>
              </w:rPr>
            </w:pPr>
            <w:r>
              <w:rPr>
                <w:rFonts w:hint="eastAsia" w:ascii="仿宋" w:hAnsi="仿宋" w:eastAsia="仿宋" w:cs="仿宋"/>
                <w:color w:val="auto"/>
                <w:szCs w:val="21"/>
                <w:highlight w:val="none"/>
              </w:rPr>
              <w:t>(3)</w:t>
            </w:r>
            <w:r>
              <w:rPr>
                <w:rFonts w:hint="eastAsia" w:ascii="仿宋" w:hAnsi="仿宋" w:eastAsia="仿宋" w:cs="仿宋"/>
                <w:color w:val="auto"/>
                <w:highlight w:val="none"/>
              </w:rPr>
              <w:t>具备</w:t>
            </w:r>
            <w:r>
              <w:rPr>
                <w:rFonts w:hint="eastAsia" w:ascii="仿宋" w:hAnsi="仿宋" w:eastAsia="仿宋" w:cs="仿宋"/>
                <w:color w:val="auto"/>
                <w:highlight w:val="none"/>
                <w:lang w:val="en-US" w:eastAsia="zh-CN"/>
              </w:rPr>
              <w:t>工程相关专业</w:t>
            </w:r>
            <w:r>
              <w:rPr>
                <w:rFonts w:hint="eastAsia" w:ascii="仿宋" w:hAnsi="仿宋" w:eastAsia="仿宋" w:cs="仿宋"/>
                <w:color w:val="auto"/>
                <w:highlight w:val="none"/>
              </w:rPr>
              <w:t>中级职称的每人得1分；</w:t>
            </w:r>
          </w:p>
          <w:p>
            <w:pPr>
              <w:shd w:val="clear"/>
              <w:spacing w:beforeLines="25" w:afterLines="25"/>
              <w:rPr>
                <w:rFonts w:ascii="仿宋" w:hAnsi="仿宋" w:eastAsia="仿宋" w:cs="仿宋"/>
                <w:color w:val="auto"/>
                <w:highlight w:val="none"/>
              </w:rPr>
            </w:pPr>
            <w:r>
              <w:rPr>
                <w:rFonts w:hint="eastAsia" w:ascii="仿宋" w:hAnsi="仿宋" w:eastAsia="仿宋" w:cs="仿宋"/>
                <w:color w:val="auto"/>
                <w:highlight w:val="none"/>
              </w:rPr>
              <w:t>备注：本项最多得20分。</w:t>
            </w:r>
            <w:r>
              <w:rPr>
                <w:rFonts w:hint="eastAsia" w:ascii="仿宋" w:hAnsi="仿宋" w:eastAsia="仿宋" w:cs="仿宋"/>
                <w:color w:val="auto"/>
                <w:szCs w:val="21"/>
                <w:highlight w:val="none"/>
              </w:rPr>
              <w:t>同一人有多证的，按得分最高证书计。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4" w:hRule="atLeast"/>
          <w:jc w:val="center"/>
        </w:trPr>
        <w:tc>
          <w:tcPr>
            <w:tcW w:w="1425" w:type="dxa"/>
            <w:vMerge w:val="continue"/>
            <w:noWrap/>
            <w:vAlign w:val="center"/>
          </w:tcPr>
          <w:p>
            <w:pPr>
              <w:widowControl/>
              <w:shd w:val="clear"/>
              <w:spacing w:beforeLines="25" w:afterLines="25"/>
              <w:jc w:val="center"/>
              <w:rPr>
                <w:rFonts w:ascii="仿宋" w:hAnsi="仿宋" w:eastAsia="仿宋" w:cs="仿宋"/>
                <w:color w:val="auto"/>
                <w:highlight w:val="none"/>
              </w:rPr>
            </w:pPr>
          </w:p>
        </w:tc>
        <w:tc>
          <w:tcPr>
            <w:tcW w:w="2062" w:type="dxa"/>
            <w:noWrap/>
            <w:vAlign w:val="center"/>
          </w:tcPr>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服务经验</w:t>
            </w:r>
          </w:p>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（10分）</w:t>
            </w:r>
          </w:p>
        </w:tc>
        <w:tc>
          <w:tcPr>
            <w:tcW w:w="5986" w:type="dxa"/>
            <w:noWrap/>
            <w:vAlign w:val="center"/>
          </w:tcPr>
          <w:p>
            <w:pPr>
              <w:shd w:val="clear"/>
              <w:spacing w:beforeLines="25" w:afterLines="25"/>
              <w:rPr>
                <w:rFonts w:ascii="仿宋" w:hAnsi="仿宋" w:eastAsia="仿宋" w:cs="仿宋"/>
                <w:color w:val="auto"/>
                <w:highlight w:val="none"/>
              </w:rPr>
            </w:pPr>
            <w:r>
              <w:rPr>
                <w:rFonts w:hint="eastAsia" w:ascii="仿宋" w:hAnsi="仿宋" w:eastAsia="仿宋" w:cs="仿宋"/>
                <w:color w:val="auto"/>
                <w:highlight w:val="none"/>
              </w:rPr>
              <w:t>类似业绩（10分）：自2019年1月1日以来具有类似工程结算、竣工结（决）算或跟踪审计项目业绩，每项得5分，满分10分。（以合同、成果报告、三方定案表为准，时间以合同签订时间为准）。</w:t>
            </w:r>
          </w:p>
          <w:p>
            <w:pPr>
              <w:shd w:val="clear"/>
              <w:spacing w:beforeLines="25" w:afterLines="25"/>
              <w:rPr>
                <w:rFonts w:ascii="仿宋" w:hAnsi="仿宋" w:eastAsia="仿宋" w:cs="仿宋"/>
                <w:color w:val="auto"/>
                <w:kern w:val="0"/>
                <w:szCs w:val="21"/>
                <w:highlight w:val="none"/>
              </w:rPr>
            </w:pPr>
            <w:r>
              <w:rPr>
                <w:rFonts w:hint="eastAsia" w:ascii="仿宋" w:hAnsi="仿宋" w:eastAsia="仿宋" w:cs="仿宋"/>
                <w:color w:val="auto"/>
                <w:highlight w:val="none"/>
              </w:rPr>
              <w:t>注：</w:t>
            </w:r>
            <w:r>
              <w:rPr>
                <w:rFonts w:hint="eastAsia" w:ascii="仿宋" w:hAnsi="仿宋" w:eastAsia="仿宋" w:cs="仿宋"/>
                <w:color w:val="auto"/>
                <w:szCs w:val="21"/>
                <w:highlight w:val="none"/>
              </w:rPr>
              <w:t>(1)</w:t>
            </w:r>
            <w:r>
              <w:rPr>
                <w:rFonts w:hint="eastAsia" w:ascii="仿宋" w:hAnsi="仿宋" w:eastAsia="仿宋" w:cs="仿宋"/>
                <w:color w:val="auto"/>
                <w:highlight w:val="none"/>
              </w:rPr>
              <w:t>若一份合同包含多个项目，成果报告和定案表按项目分开，且合同中的项目名称与对应的成果报告、三方定案表中项目名称一致，可视为多项业绩。</w:t>
            </w:r>
            <w:r>
              <w:rPr>
                <w:rFonts w:hint="eastAsia" w:ascii="仿宋" w:hAnsi="仿宋" w:eastAsia="仿宋" w:cs="仿宋"/>
                <w:color w:val="auto"/>
                <w:szCs w:val="21"/>
                <w:highlight w:val="none"/>
              </w:rPr>
              <w:t>(2)</w:t>
            </w:r>
            <w:r>
              <w:rPr>
                <w:rFonts w:hint="eastAsia" w:ascii="仿宋" w:hAnsi="仿宋" w:eastAsia="仿宋" w:cs="仿宋"/>
                <w:color w:val="auto"/>
                <w:highlight w:val="none"/>
              </w:rPr>
              <w:t>若签订的合同为服务期限合同，不显示具体项目名称，则每个项目还需提供由委托方出具的项目委托书，方能计分。</w:t>
            </w:r>
            <w:r>
              <w:rPr>
                <w:rFonts w:hint="eastAsia" w:ascii="仿宋" w:hAnsi="仿宋" w:eastAsia="仿宋" w:cs="仿宋"/>
                <w:color w:val="auto"/>
                <w:szCs w:val="21"/>
                <w:highlight w:val="none"/>
              </w:rPr>
              <w:t>(3)</w:t>
            </w:r>
            <w:r>
              <w:rPr>
                <w:rFonts w:hint="eastAsia" w:ascii="仿宋" w:hAnsi="仿宋" w:eastAsia="仿宋" w:cs="仿宋"/>
                <w:color w:val="auto"/>
                <w:highlight w:val="none"/>
              </w:rPr>
              <w:t>若同一个项目的成果报告和定案表分开为多个部分，只能按一个项目计算业绩。</w:t>
            </w:r>
          </w:p>
        </w:tc>
      </w:tr>
    </w:tbl>
    <w:p>
      <w:pPr>
        <w:shd w:val="clea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5"/>
        <w:numPr>
          <w:ilvl w:val="1"/>
          <w:numId w:val="0"/>
        </w:numPr>
        <w:shd w:val="clear"/>
        <w:tabs>
          <w:tab w:val="clear" w:pos="567"/>
        </w:tabs>
        <w:spacing w:beforeLines="50" w:after="0" w:line="360" w:lineRule="auto"/>
        <w:ind w:firstLine="482" w:firstLineChars="200"/>
        <w:jc w:val="left"/>
        <w:rPr>
          <w:rFonts w:ascii="仿宋" w:hAnsi="仿宋" w:eastAsia="仿宋" w:cs="仿宋"/>
          <w:color w:val="auto"/>
          <w:sz w:val="24"/>
          <w:szCs w:val="24"/>
          <w:highlight w:val="none"/>
        </w:rPr>
      </w:pPr>
      <w:bookmarkStart w:id="479" w:name="_Toc22523"/>
      <w:r>
        <w:rPr>
          <w:rFonts w:hint="eastAsia" w:ascii="仿宋" w:hAnsi="仿宋" w:eastAsia="仿宋" w:cs="仿宋"/>
          <w:color w:val="auto"/>
          <w:sz w:val="24"/>
          <w:szCs w:val="24"/>
          <w:highlight w:val="none"/>
        </w:rPr>
        <w:t>三、详细评审标准（B包）</w:t>
      </w:r>
      <w:bookmarkEnd w:id="479"/>
    </w:p>
    <w:tbl>
      <w:tblPr>
        <w:tblStyle w:val="29"/>
        <w:tblW w:w="9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2070"/>
        <w:gridCol w:w="5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noWrap/>
            <w:vAlign w:val="center"/>
          </w:tcPr>
          <w:p>
            <w:pPr>
              <w:shd w:val="clear"/>
              <w:autoSpaceDE w:val="0"/>
              <w:autoSpaceDN w:val="0"/>
              <w:adjustRightInd w:val="0"/>
              <w:spacing w:beforeLines="25" w:afterLines="25"/>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条款号</w:t>
            </w:r>
          </w:p>
        </w:tc>
        <w:tc>
          <w:tcPr>
            <w:tcW w:w="2070" w:type="dxa"/>
            <w:noWrap/>
            <w:vAlign w:val="center"/>
          </w:tcPr>
          <w:p>
            <w:pPr>
              <w:shd w:val="clear"/>
              <w:autoSpaceDE w:val="0"/>
              <w:autoSpaceDN w:val="0"/>
              <w:adjustRightInd w:val="0"/>
              <w:spacing w:beforeLines="25" w:afterLines="25"/>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分值</w:t>
            </w:r>
          </w:p>
        </w:tc>
        <w:tc>
          <w:tcPr>
            <w:tcW w:w="5981" w:type="dxa"/>
            <w:noWrap/>
            <w:vAlign w:val="center"/>
          </w:tcPr>
          <w:p>
            <w:pPr>
              <w:shd w:val="clear"/>
              <w:autoSpaceDE w:val="0"/>
              <w:autoSpaceDN w:val="0"/>
              <w:adjustRightInd w:val="0"/>
              <w:spacing w:beforeLines="25" w:afterLines="25"/>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noWrap/>
            <w:vAlign w:val="center"/>
          </w:tcPr>
          <w:p>
            <w:pPr>
              <w:shd w:val="clear"/>
              <w:autoSpaceDE w:val="0"/>
              <w:autoSpaceDN w:val="0"/>
              <w:adjustRightInd w:val="0"/>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分值构成</w:t>
            </w:r>
          </w:p>
        </w:tc>
        <w:tc>
          <w:tcPr>
            <w:tcW w:w="2070" w:type="dxa"/>
            <w:noWrap/>
            <w:vAlign w:val="center"/>
          </w:tcPr>
          <w:p>
            <w:pPr>
              <w:shd w:val="clear"/>
              <w:autoSpaceDE w:val="0"/>
              <w:autoSpaceDN w:val="0"/>
              <w:adjustRightInd w:val="0"/>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100分</w:t>
            </w:r>
          </w:p>
        </w:tc>
        <w:tc>
          <w:tcPr>
            <w:tcW w:w="5981" w:type="dxa"/>
            <w:noWrap/>
            <w:vAlign w:val="center"/>
          </w:tcPr>
          <w:p>
            <w:pPr>
              <w:shd w:val="clear"/>
              <w:autoSpaceDE w:val="0"/>
              <w:autoSpaceDN w:val="0"/>
              <w:adjustRightInd w:val="0"/>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技术部分：6</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商务部分：35分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noWrap/>
            <w:vAlign w:val="center"/>
          </w:tcPr>
          <w:p>
            <w:pPr>
              <w:shd w:val="clear"/>
              <w:autoSpaceDE w:val="0"/>
              <w:autoSpaceDN w:val="0"/>
              <w:adjustRightInd w:val="0"/>
              <w:spacing w:beforeLines="25" w:afterLines="25"/>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条款号</w:t>
            </w:r>
          </w:p>
        </w:tc>
        <w:tc>
          <w:tcPr>
            <w:tcW w:w="2070" w:type="dxa"/>
            <w:noWrap/>
            <w:vAlign w:val="center"/>
          </w:tcPr>
          <w:p>
            <w:pPr>
              <w:shd w:val="clear"/>
              <w:autoSpaceDE w:val="0"/>
              <w:autoSpaceDN w:val="0"/>
              <w:adjustRightInd w:val="0"/>
              <w:spacing w:beforeLines="25" w:afterLines="25"/>
              <w:jc w:val="center"/>
              <w:rPr>
                <w:rFonts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评分因素</w:t>
            </w:r>
          </w:p>
        </w:tc>
        <w:tc>
          <w:tcPr>
            <w:tcW w:w="5981" w:type="dxa"/>
            <w:noWrap/>
            <w:vAlign w:val="center"/>
          </w:tcPr>
          <w:p>
            <w:pPr>
              <w:shd w:val="clear"/>
              <w:autoSpaceDE w:val="0"/>
              <w:autoSpaceDN w:val="0"/>
              <w:adjustRightInd w:val="0"/>
              <w:spacing w:beforeLines="25" w:afterLines="25"/>
              <w:jc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vMerge w:val="restart"/>
            <w:noWrap/>
            <w:vAlign w:val="center"/>
          </w:tcPr>
          <w:p>
            <w:pPr>
              <w:pStyle w:val="50"/>
              <w:shd w:val="clear"/>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技术部分</w:t>
            </w:r>
          </w:p>
          <w:p>
            <w:pPr>
              <w:widowControl/>
              <w:shd w:val="clear"/>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（65分）</w:t>
            </w:r>
          </w:p>
        </w:tc>
        <w:tc>
          <w:tcPr>
            <w:tcW w:w="2070" w:type="dxa"/>
            <w:noWrap/>
            <w:vAlign w:val="center"/>
          </w:tcPr>
          <w:p>
            <w:pPr>
              <w:widowControl/>
              <w:shd w:val="clear"/>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工作组织实施方案</w:t>
            </w:r>
          </w:p>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szCs w:val="21"/>
                <w:highlight w:val="none"/>
              </w:rPr>
              <w:t>（8分）</w:t>
            </w:r>
          </w:p>
        </w:tc>
        <w:tc>
          <w:tcPr>
            <w:tcW w:w="5981" w:type="dxa"/>
            <w:noWrap/>
            <w:vAlign w:val="center"/>
          </w:tcPr>
          <w:p>
            <w:pPr>
              <w:shd w:val="clear"/>
              <w:spacing w:beforeLines="25" w:afterLines="25"/>
              <w:rPr>
                <w:rFonts w:ascii="仿宋" w:hAnsi="仿宋" w:eastAsia="仿宋" w:cs="仿宋"/>
                <w:color w:val="auto"/>
                <w:szCs w:val="21"/>
                <w:highlight w:val="none"/>
              </w:rPr>
            </w:pPr>
            <w:r>
              <w:rPr>
                <w:rFonts w:hint="eastAsia" w:ascii="仿宋" w:hAnsi="仿宋" w:eastAsia="仿宋" w:cs="仿宋"/>
                <w:color w:val="auto"/>
                <w:szCs w:val="21"/>
                <w:highlight w:val="none"/>
              </w:rPr>
              <w:t>本项目工作组织实施方案的全面性及合理性（包括主要管理流程，包括运作流程图、服务措施、信息反馈渠道及处理机制，服务成果达到服务标准）</w:t>
            </w:r>
            <w:r>
              <w:rPr>
                <w:rFonts w:hint="eastAsia" w:ascii="仿宋" w:hAnsi="仿宋" w:eastAsia="仿宋" w:cs="仿宋"/>
                <w:color w:val="auto"/>
                <w:szCs w:val="21"/>
                <w:highlight w:val="none"/>
                <w:lang w:val="zh-CN"/>
              </w:rPr>
              <w:t>情况进行评分</w:t>
            </w:r>
            <w:r>
              <w:rPr>
                <w:rFonts w:hint="eastAsia" w:ascii="仿宋" w:hAnsi="仿宋" w:eastAsia="仿宋" w:cs="仿宋"/>
                <w:color w:val="auto"/>
                <w:szCs w:val="21"/>
                <w:highlight w:val="none"/>
              </w:rPr>
              <w:t>。服务方案具有针对性，根据项目需求情况提出详细、具体、明确的服务流程、服务方式方法、服务效果等的，得</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分；服务方案较为全面，能符合项目需求，有提出服务流程、服务方式方法、服务成果的，得6分；服务方案简单，服务流程不够完整，服务方式方法、服务成果措施简单的，得</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70" w:type="dxa"/>
            <w:noWrap/>
            <w:vAlign w:val="center"/>
          </w:tcPr>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人员机构设置</w:t>
            </w:r>
          </w:p>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szCs w:val="21"/>
                <w:highlight w:val="none"/>
              </w:rPr>
              <w:t>（8分）</w:t>
            </w:r>
          </w:p>
        </w:tc>
        <w:tc>
          <w:tcPr>
            <w:tcW w:w="5981" w:type="dxa"/>
            <w:noWrap/>
            <w:vAlign w:val="center"/>
          </w:tcPr>
          <w:p>
            <w:pPr>
              <w:shd w:val="clear"/>
              <w:spacing w:beforeLines="25" w:afterLines="25"/>
              <w:rPr>
                <w:rFonts w:ascii="仿宋" w:hAnsi="仿宋" w:eastAsia="仿宋" w:cs="仿宋"/>
                <w:color w:val="auto"/>
                <w:szCs w:val="21"/>
                <w:highlight w:val="none"/>
              </w:rPr>
            </w:pPr>
            <w:r>
              <w:rPr>
                <w:rFonts w:hint="eastAsia" w:ascii="仿宋" w:hAnsi="仿宋" w:eastAsia="仿宋" w:cs="仿宋"/>
                <w:color w:val="auto"/>
                <w:szCs w:val="21"/>
                <w:highlight w:val="none"/>
              </w:rPr>
              <w:t>项目实施过程中，供应商机构设置、分工及各个环节均设置有相应的机构和健全的质量控制及管理制度等方面进行评分。机构设置合理，拟投入人员配备齐全、技术力量雄厚、各项管理制度健全、可行，能够完全满足实际项目需求的，得</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分；机构设置基本合理、人员配备符合要求、管理制度健全，基本满足实际项目需求的，得6分；机构设置简单、管理制度不够健全，不能完全满足实际项目需求的，得</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70" w:type="dxa"/>
            <w:noWrap/>
            <w:vAlign w:val="center"/>
          </w:tcPr>
          <w:p>
            <w:pPr>
              <w:widowControl/>
              <w:shd w:val="clear"/>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服务质量保障措施</w:t>
            </w:r>
          </w:p>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szCs w:val="21"/>
                <w:highlight w:val="none"/>
              </w:rPr>
              <w:t>（8分）</w:t>
            </w:r>
          </w:p>
        </w:tc>
        <w:tc>
          <w:tcPr>
            <w:tcW w:w="5981" w:type="dxa"/>
            <w:noWrap/>
            <w:vAlign w:val="center"/>
          </w:tcPr>
          <w:p>
            <w:pPr>
              <w:shd w:val="clear"/>
              <w:spacing w:beforeLines="25" w:afterLines="25"/>
              <w:rPr>
                <w:rFonts w:ascii="仿宋" w:hAnsi="仿宋" w:eastAsia="仿宋" w:cs="仿宋"/>
                <w:color w:val="auto"/>
                <w:szCs w:val="21"/>
                <w:highlight w:val="none"/>
              </w:rPr>
            </w:pPr>
            <w:r>
              <w:rPr>
                <w:rFonts w:hint="eastAsia" w:ascii="仿宋" w:hAnsi="仿宋" w:eastAsia="仿宋" w:cs="仿宋"/>
                <w:color w:val="auto"/>
                <w:szCs w:val="21"/>
                <w:highlight w:val="none"/>
              </w:rPr>
              <w:t>质量目标明确，并有实现质量保障措施，具有各阶段的工作内容、工作方法、工作重点、难点分析及相关的处理方法。有制定全面的服务质量保障措施，对服务过程中的关键节点有具体质量控制措施和处理方法，能够确保服务质量的，得</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有制定相应的服务质量保障措施，对服务过程中的关键节点有基本的质量控制措施和处理方法，基本保证服务质量的，得6分；服务质量保障措施较为简单，对服务过程中的关键节点的质量控制措施欠缺可行性，得</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70" w:type="dxa"/>
            <w:noWrap/>
            <w:vAlign w:val="center"/>
          </w:tcPr>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工作流程</w:t>
            </w:r>
          </w:p>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w:t>
            </w:r>
          </w:p>
        </w:tc>
        <w:tc>
          <w:tcPr>
            <w:tcW w:w="5981" w:type="dxa"/>
            <w:noWrap/>
            <w:vAlign w:val="center"/>
          </w:tcPr>
          <w:p>
            <w:pPr>
              <w:shd w:val="clear"/>
              <w:spacing w:beforeLines="25" w:afterLines="25"/>
              <w:rPr>
                <w:rFonts w:ascii="仿宋" w:hAnsi="仿宋" w:eastAsia="仿宋" w:cs="仿宋"/>
                <w:color w:val="auto"/>
                <w:szCs w:val="21"/>
                <w:highlight w:val="none"/>
              </w:rPr>
            </w:pPr>
            <w:r>
              <w:rPr>
                <w:rFonts w:hint="eastAsia" w:ascii="仿宋" w:hAnsi="仿宋" w:eastAsia="仿宋" w:cs="仿宋"/>
                <w:color w:val="auto"/>
                <w:szCs w:val="21"/>
                <w:highlight w:val="none"/>
              </w:rPr>
              <w:t>有完善的工作流程及工作计划及实施时间，体现标准化服务，管理服务水平符合国家和行业标准。工作流程及工作计划科学合理，得</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分；工作流程及工作计划合理，得</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分；工作流程及工作计划基本合理，得</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70" w:type="dxa"/>
            <w:noWrap/>
            <w:vAlign w:val="center"/>
          </w:tcPr>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风险管控措施</w:t>
            </w:r>
          </w:p>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w:t>
            </w:r>
          </w:p>
        </w:tc>
        <w:tc>
          <w:tcPr>
            <w:tcW w:w="5981" w:type="dxa"/>
            <w:noWrap/>
            <w:vAlign w:val="center"/>
          </w:tcPr>
          <w:p>
            <w:pPr>
              <w:shd w:val="clear"/>
              <w:spacing w:beforeLines="25" w:afterLines="25"/>
              <w:rPr>
                <w:rFonts w:ascii="仿宋" w:hAnsi="仿宋" w:eastAsia="仿宋" w:cs="仿宋"/>
                <w:color w:val="auto"/>
                <w:szCs w:val="21"/>
                <w:highlight w:val="none"/>
              </w:rPr>
            </w:pPr>
            <w:r>
              <w:rPr>
                <w:rFonts w:hint="eastAsia" w:ascii="仿宋" w:hAnsi="仿宋" w:eastAsia="仿宋" w:cs="仿宋"/>
                <w:color w:val="auto"/>
                <w:szCs w:val="21"/>
                <w:highlight w:val="none"/>
              </w:rPr>
              <w:t>工作过程中风险防控管理措施齐全，廉洁自律和职业操守制度建全，管控措施准确，各阶段风险控制及应急措施得力，得</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分；风险防控管理措施基本齐全，有廉洁自律和职业操守制度，各阶段风险控制及应急措施基本可行，得</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分；风险防控管理措施不够齐全，廉洁自律和职业操守制度不够健全，缺乏应急措施，得</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70" w:type="dxa"/>
            <w:noWrap/>
            <w:vAlign w:val="center"/>
          </w:tcPr>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进度保障措施</w:t>
            </w:r>
          </w:p>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szCs w:val="21"/>
                <w:highlight w:val="none"/>
              </w:rPr>
              <w:t>（8分）</w:t>
            </w:r>
          </w:p>
        </w:tc>
        <w:tc>
          <w:tcPr>
            <w:tcW w:w="5981" w:type="dxa"/>
            <w:noWrap/>
            <w:vAlign w:val="center"/>
          </w:tcPr>
          <w:p>
            <w:pPr>
              <w:shd w:val="clear"/>
              <w:spacing w:beforeLines="25" w:afterLines="25"/>
              <w:rPr>
                <w:rFonts w:ascii="仿宋" w:hAnsi="仿宋" w:eastAsia="仿宋" w:cs="仿宋"/>
                <w:color w:val="auto"/>
                <w:szCs w:val="21"/>
                <w:highlight w:val="none"/>
              </w:rPr>
            </w:pPr>
            <w:r>
              <w:rPr>
                <w:rFonts w:hint="eastAsia" w:ascii="仿宋" w:hAnsi="仿宋" w:eastAsia="仿宋" w:cs="仿宋"/>
                <w:color w:val="auto"/>
                <w:szCs w:val="21"/>
                <w:highlight w:val="none"/>
              </w:rPr>
              <w:t>进度保证措施详细、全面，时间安排紧凑，后备岗位人员替补充足，完全满足项目要求，得</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分；进度保证措施较详细、全面，时间安排较合理，有后备岗位人员，基本符合项目要求，得6分；进度保证措施不够详细，时间安排较合理，后备岗位人员不足，得</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70" w:type="dxa"/>
            <w:noWrap/>
            <w:vAlign w:val="center"/>
          </w:tcPr>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档案管理措施</w:t>
            </w:r>
          </w:p>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szCs w:val="21"/>
                <w:highlight w:val="none"/>
              </w:rPr>
              <w:t>（7分）</w:t>
            </w:r>
          </w:p>
        </w:tc>
        <w:tc>
          <w:tcPr>
            <w:tcW w:w="5981" w:type="dxa"/>
            <w:noWrap/>
            <w:vAlign w:val="center"/>
          </w:tcPr>
          <w:p>
            <w:pPr>
              <w:shd w:val="clear"/>
              <w:spacing w:beforeLines="25" w:afterLines="25"/>
              <w:rPr>
                <w:rFonts w:ascii="仿宋" w:hAnsi="仿宋" w:eastAsia="仿宋" w:cs="仿宋"/>
                <w:color w:val="auto"/>
                <w:szCs w:val="21"/>
                <w:highlight w:val="none"/>
              </w:rPr>
            </w:pPr>
            <w:r>
              <w:rPr>
                <w:rFonts w:hint="eastAsia" w:ascii="仿宋" w:hAnsi="仿宋" w:eastAsia="仿宋" w:cs="仿宋"/>
                <w:color w:val="auto"/>
                <w:szCs w:val="21"/>
                <w:highlight w:val="none"/>
              </w:rPr>
              <w:t>审计项目档案管理措施和方法全面详细、管理制度切实可行，得</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分；审计项目档案管理措施和方法比较详细、管理制度基本可行，得</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分；审计项目档案管理措施和方法不够全面详细、管理制度实施性较差，得3分。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70" w:type="dxa"/>
            <w:noWrap/>
            <w:vAlign w:val="center"/>
          </w:tcPr>
          <w:p>
            <w:pPr>
              <w:shd w:val="clear"/>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服务承诺</w:t>
            </w:r>
          </w:p>
          <w:p>
            <w:pPr>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szCs w:val="21"/>
                <w:highlight w:val="none"/>
              </w:rPr>
              <w:t>（10分）</w:t>
            </w:r>
          </w:p>
        </w:tc>
        <w:tc>
          <w:tcPr>
            <w:tcW w:w="5981" w:type="dxa"/>
            <w:noWrap/>
            <w:vAlign w:val="center"/>
          </w:tcPr>
          <w:p>
            <w:pPr>
              <w:shd w:val="clear"/>
              <w:spacing w:beforeLines="25" w:afterLines="25"/>
              <w:rPr>
                <w:rFonts w:hint="eastAsia" w:ascii="仿宋" w:hAnsi="仿宋" w:eastAsia="仿宋" w:cs="仿宋"/>
                <w:color w:val="auto"/>
                <w:szCs w:val="21"/>
                <w:highlight w:val="none"/>
              </w:rPr>
            </w:pPr>
            <w:r>
              <w:rPr>
                <w:rFonts w:hint="eastAsia" w:ascii="仿宋" w:hAnsi="仿宋" w:eastAsia="仿宋" w:cs="仿宋"/>
                <w:color w:val="auto"/>
                <w:szCs w:val="21"/>
                <w:highlight w:val="none"/>
              </w:rPr>
              <w:t>1.服务承诺内容完善，积极配合采购人工作、为采购人排忧解难，服从安排，按时保质保量完成的服务工作。得5分；服务内容相对完善，较为配合采购人的工作，服从采购人的安排，能解决工程中的问题，得3分；服务内容基本完善，能够配合采购人的工作，服从采购人的安排，基本能解决工程中的问题，得1分。</w:t>
            </w:r>
          </w:p>
          <w:p>
            <w:pPr>
              <w:shd w:val="clear"/>
              <w:spacing w:beforeLines="25" w:afterLines="25"/>
              <w:rPr>
                <w:rFonts w:ascii="仿宋" w:hAnsi="仿宋" w:eastAsia="仿宋" w:cs="仿宋"/>
                <w:color w:val="auto"/>
                <w:szCs w:val="21"/>
                <w:highlight w:val="none"/>
              </w:rPr>
            </w:pPr>
            <w:r>
              <w:rPr>
                <w:rFonts w:hint="eastAsia" w:ascii="仿宋" w:hAnsi="仿宋" w:eastAsia="仿宋" w:cs="仿宋"/>
                <w:color w:val="auto"/>
                <w:szCs w:val="21"/>
                <w:highlight w:val="none"/>
              </w:rPr>
              <w:t>2.承诺项目拟投入人员需亲自到场服务，具有可行、合法有效的书面保证技术措施落实到位的承诺和落实不到位的处理承诺，其中包括各关键岗位人员的在岗、更换等履职尽责承诺。承诺合理，依法依规，详实可行，得5分；承诺基本符合项目实际情况，依法依规，优惠合理，得3分；承诺符合项目实际情况，依法依规，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8051" w:type="dxa"/>
            <w:gridSpan w:val="2"/>
            <w:noWrap/>
            <w:vAlign w:val="center"/>
          </w:tcPr>
          <w:p>
            <w:pPr>
              <w:shd w:val="clear"/>
              <w:wordWrap w:val="0"/>
              <w:snapToGrid w:val="0"/>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注：以上评分内容，缺项该项得0分。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vMerge w:val="restart"/>
            <w:noWrap/>
            <w:vAlign w:val="center"/>
          </w:tcPr>
          <w:p>
            <w:pPr>
              <w:widowControl/>
              <w:shd w:val="clear"/>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商务部分</w:t>
            </w:r>
          </w:p>
          <w:p>
            <w:pPr>
              <w:widowControl/>
              <w:shd w:val="clear"/>
              <w:spacing w:beforeLines="25" w:afterLines="25"/>
              <w:jc w:val="center"/>
              <w:rPr>
                <w:rFonts w:ascii="仿宋" w:hAnsi="仿宋" w:eastAsia="仿宋" w:cs="仿宋"/>
                <w:color w:val="auto"/>
                <w:szCs w:val="21"/>
                <w:highlight w:val="none"/>
              </w:rPr>
            </w:pPr>
            <w:r>
              <w:rPr>
                <w:rFonts w:hint="eastAsia" w:ascii="仿宋" w:hAnsi="仿宋" w:eastAsia="仿宋" w:cs="仿宋"/>
                <w:color w:val="auto"/>
                <w:szCs w:val="21"/>
                <w:highlight w:val="none"/>
              </w:rPr>
              <w:t>（35分）</w:t>
            </w:r>
          </w:p>
        </w:tc>
        <w:tc>
          <w:tcPr>
            <w:tcW w:w="2070" w:type="dxa"/>
            <w:noWrap/>
            <w:vAlign w:val="center"/>
          </w:tcPr>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供应商履约能力</w:t>
            </w:r>
          </w:p>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szCs w:val="21"/>
                <w:highlight w:val="none"/>
              </w:rPr>
              <w:t>（25分）</w:t>
            </w:r>
          </w:p>
        </w:tc>
        <w:tc>
          <w:tcPr>
            <w:tcW w:w="5981" w:type="dxa"/>
            <w:noWrap/>
            <w:vAlign w:val="center"/>
          </w:tcPr>
          <w:p>
            <w:pPr>
              <w:shd w:val="clear"/>
              <w:wordWrap w:val="0"/>
              <w:snapToGrid w:val="0"/>
              <w:spacing w:beforeLines="25" w:afterLines="25"/>
              <w:jc w:val="left"/>
              <w:rPr>
                <w:rFonts w:ascii="仿宋" w:hAnsi="仿宋" w:eastAsia="仿宋" w:cs="仿宋"/>
                <w:color w:val="auto"/>
                <w:szCs w:val="21"/>
                <w:highlight w:val="none"/>
              </w:rPr>
            </w:pPr>
            <w:r>
              <w:rPr>
                <w:rFonts w:hint="eastAsia" w:ascii="仿宋" w:hAnsi="仿宋" w:eastAsia="仿宋" w:cs="仿宋"/>
                <w:b/>
                <w:bCs/>
                <w:color w:val="auto"/>
                <w:szCs w:val="21"/>
                <w:highlight w:val="none"/>
              </w:rPr>
              <w:t>1、项目负责人（5分）：</w:t>
            </w:r>
            <w:r>
              <w:rPr>
                <w:rFonts w:hint="eastAsia" w:ascii="仿宋" w:hAnsi="仿宋" w:eastAsia="仿宋" w:cs="仿宋"/>
                <w:color w:val="auto"/>
                <w:szCs w:val="21"/>
                <w:highlight w:val="none"/>
              </w:rPr>
              <w:t>项目负责人具有</w:t>
            </w:r>
            <w:r>
              <w:rPr>
                <w:rFonts w:hint="eastAsia" w:ascii="仿宋" w:hAnsi="仿宋" w:eastAsia="仿宋" w:cs="仿宋"/>
                <w:color w:val="auto"/>
                <w:szCs w:val="21"/>
                <w:highlight w:val="none"/>
              </w:rPr>
              <w:t>经济、会计</w:t>
            </w:r>
            <w:r>
              <w:rPr>
                <w:rFonts w:hint="eastAsia" w:ascii="仿宋" w:hAnsi="仿宋" w:eastAsia="仿宋" w:cs="仿宋"/>
                <w:color w:val="auto"/>
                <w:szCs w:val="21"/>
                <w:highlight w:val="none"/>
                <w:lang w:val="en-US" w:eastAsia="zh-CN"/>
              </w:rPr>
              <w:t>相关专业</w:t>
            </w:r>
            <w:r>
              <w:rPr>
                <w:rFonts w:hint="eastAsia" w:ascii="仿宋" w:hAnsi="仿宋" w:eastAsia="仿宋" w:cs="仿宋"/>
                <w:color w:val="auto"/>
                <w:szCs w:val="21"/>
                <w:highlight w:val="none"/>
              </w:rPr>
              <w:t>高级职称者得5分，本项最高得5分。</w:t>
            </w:r>
          </w:p>
          <w:p>
            <w:pPr>
              <w:shd w:val="clear"/>
              <w:wordWrap w:val="0"/>
              <w:snapToGrid w:val="0"/>
              <w:spacing w:beforeLines="25" w:afterLines="25"/>
              <w:jc w:val="left"/>
              <w:rPr>
                <w:rFonts w:ascii="仿宋" w:hAnsi="仿宋" w:eastAsia="仿宋" w:cs="仿宋"/>
                <w:color w:val="auto"/>
                <w:szCs w:val="21"/>
                <w:highlight w:val="none"/>
              </w:rPr>
            </w:pPr>
            <w:r>
              <w:rPr>
                <w:rFonts w:hint="eastAsia" w:ascii="仿宋" w:hAnsi="仿宋" w:eastAsia="仿宋" w:cs="仿宋"/>
                <w:color w:val="auto"/>
                <w:szCs w:val="21"/>
                <w:highlight w:val="none"/>
              </w:rPr>
              <w:t>备注：需提供证书原件的扫描件，加盖单位电子公章。</w:t>
            </w:r>
          </w:p>
          <w:p>
            <w:pPr>
              <w:shd w:val="clear"/>
              <w:wordWrap w:val="0"/>
              <w:snapToGrid w:val="0"/>
              <w:spacing w:beforeLines="25" w:afterLines="25"/>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2、其他参审人员（不含项目负责人）（15分）：</w:t>
            </w:r>
          </w:p>
          <w:p>
            <w:pPr>
              <w:shd w:val="clear"/>
              <w:wordWrap w:val="0"/>
              <w:snapToGrid w:val="0"/>
              <w:spacing w:beforeLines="25" w:afterLines="25"/>
              <w:jc w:val="left"/>
              <w:rPr>
                <w:rFonts w:ascii="仿宋" w:hAnsi="仿宋" w:eastAsia="仿宋" w:cs="仿宋"/>
                <w:color w:val="auto"/>
                <w:szCs w:val="21"/>
                <w:highlight w:val="none"/>
              </w:rPr>
            </w:pPr>
            <w:r>
              <w:rPr>
                <w:rFonts w:hint="eastAsia" w:ascii="仿宋" w:hAnsi="仿宋" w:eastAsia="仿宋" w:cs="仿宋"/>
                <w:color w:val="auto"/>
                <w:szCs w:val="21"/>
                <w:highlight w:val="none"/>
              </w:rPr>
              <w:t>(1)其他参审人员具备注册会计师执业资格的每人得3分；</w:t>
            </w:r>
          </w:p>
          <w:p>
            <w:pPr>
              <w:shd w:val="clear"/>
              <w:wordWrap w:val="0"/>
              <w:snapToGrid w:val="0"/>
              <w:spacing w:beforeLines="25" w:afterLines="25"/>
              <w:jc w:val="left"/>
              <w:rPr>
                <w:rFonts w:ascii="仿宋" w:hAnsi="仿宋" w:eastAsia="仿宋" w:cs="仿宋"/>
                <w:color w:val="auto"/>
                <w:szCs w:val="21"/>
                <w:highlight w:val="none"/>
              </w:rPr>
            </w:pPr>
            <w:r>
              <w:rPr>
                <w:rFonts w:hint="eastAsia" w:ascii="仿宋" w:hAnsi="仿宋" w:eastAsia="仿宋" w:cs="仿宋"/>
                <w:color w:val="auto"/>
                <w:szCs w:val="21"/>
                <w:highlight w:val="none"/>
              </w:rPr>
              <w:t>(2)其他参审人员具有</w:t>
            </w:r>
            <w:r>
              <w:rPr>
                <w:rFonts w:hint="eastAsia" w:ascii="仿宋" w:hAnsi="仿宋" w:eastAsia="仿宋" w:cs="仿宋"/>
                <w:color w:val="auto"/>
                <w:szCs w:val="21"/>
                <w:highlight w:val="none"/>
              </w:rPr>
              <w:t>经济、会计相关专业</w:t>
            </w:r>
            <w:r>
              <w:rPr>
                <w:rFonts w:hint="eastAsia" w:ascii="仿宋" w:hAnsi="仿宋" w:eastAsia="仿宋" w:cs="仿宋"/>
                <w:color w:val="auto"/>
                <w:szCs w:val="21"/>
                <w:highlight w:val="none"/>
              </w:rPr>
              <w:t>高级职称的每人得2分；</w:t>
            </w:r>
          </w:p>
          <w:p>
            <w:pPr>
              <w:shd w:val="clear"/>
              <w:wordWrap w:val="0"/>
              <w:snapToGrid w:val="0"/>
              <w:spacing w:beforeLines="25" w:afterLines="25"/>
              <w:jc w:val="left"/>
              <w:rPr>
                <w:rFonts w:ascii="仿宋" w:hAnsi="仿宋" w:eastAsia="仿宋" w:cs="仿宋"/>
                <w:color w:val="auto"/>
                <w:szCs w:val="21"/>
                <w:highlight w:val="none"/>
              </w:rPr>
            </w:pPr>
            <w:r>
              <w:rPr>
                <w:rFonts w:hint="eastAsia" w:ascii="仿宋" w:hAnsi="仿宋" w:eastAsia="仿宋" w:cs="仿宋"/>
                <w:color w:val="auto"/>
                <w:szCs w:val="21"/>
                <w:highlight w:val="none"/>
              </w:rPr>
              <w:t>(3)其他参审人员具备</w:t>
            </w:r>
            <w:r>
              <w:rPr>
                <w:rFonts w:hint="eastAsia" w:ascii="仿宋" w:hAnsi="仿宋" w:eastAsia="仿宋" w:cs="仿宋"/>
                <w:color w:val="auto"/>
                <w:szCs w:val="21"/>
                <w:highlight w:val="none"/>
              </w:rPr>
              <w:t>经济、会计相关专业</w:t>
            </w:r>
            <w:r>
              <w:rPr>
                <w:rFonts w:hint="eastAsia" w:ascii="仿宋" w:hAnsi="仿宋" w:eastAsia="仿宋" w:cs="仿宋"/>
                <w:color w:val="auto"/>
                <w:szCs w:val="21"/>
                <w:highlight w:val="none"/>
              </w:rPr>
              <w:t>中级职称的每人得1分；</w:t>
            </w:r>
          </w:p>
          <w:p>
            <w:pPr>
              <w:shd w:val="clear"/>
              <w:wordWrap w:val="0"/>
              <w:snapToGrid w:val="0"/>
              <w:spacing w:beforeLines="25" w:afterLines="25"/>
              <w:jc w:val="left"/>
              <w:rPr>
                <w:rFonts w:ascii="仿宋" w:hAnsi="仿宋" w:eastAsia="仿宋" w:cs="仿宋"/>
                <w:color w:val="auto"/>
                <w:szCs w:val="21"/>
                <w:highlight w:val="none"/>
              </w:rPr>
            </w:pPr>
            <w:r>
              <w:rPr>
                <w:rFonts w:hint="eastAsia" w:ascii="仿宋" w:hAnsi="仿宋" w:eastAsia="仿宋" w:cs="仿宋"/>
                <w:color w:val="auto"/>
                <w:szCs w:val="21"/>
                <w:highlight w:val="none"/>
              </w:rPr>
              <w:t>备注：本项最高得15分，同一人有多证的，按得分最高证书计。需提供证书原件的扫描件，加盖单位电子公章。</w:t>
            </w:r>
          </w:p>
          <w:p>
            <w:pPr>
              <w:shd w:val="clear"/>
              <w:wordWrap w:val="0"/>
              <w:snapToGrid w:val="0"/>
              <w:spacing w:beforeLines="25" w:afterLines="25"/>
              <w:jc w:val="left"/>
              <w:rPr>
                <w:rFonts w:ascii="仿宋" w:hAnsi="仿宋" w:eastAsia="仿宋" w:cs="仿宋"/>
                <w:color w:val="auto"/>
                <w:szCs w:val="21"/>
                <w:highlight w:val="none"/>
              </w:rPr>
            </w:pPr>
            <w:r>
              <w:rPr>
                <w:rFonts w:hint="eastAsia" w:ascii="仿宋" w:hAnsi="仿宋" w:eastAsia="仿宋" w:cs="仿宋"/>
                <w:b/>
                <w:bCs/>
                <w:color w:val="auto"/>
                <w:szCs w:val="21"/>
                <w:highlight w:val="none"/>
              </w:rPr>
              <w:t>3、供应商取得ISO9001质量管理体系认证的得5分，本项最高得5分。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vMerge w:val="continue"/>
            <w:noWrap/>
            <w:vAlign w:val="center"/>
          </w:tcPr>
          <w:p>
            <w:pPr>
              <w:widowControl/>
              <w:shd w:val="clear"/>
              <w:spacing w:beforeLines="25" w:afterLines="25"/>
              <w:jc w:val="center"/>
              <w:rPr>
                <w:rFonts w:ascii="仿宋" w:hAnsi="仿宋" w:eastAsia="仿宋" w:cs="仿宋"/>
                <w:color w:val="auto"/>
                <w:szCs w:val="21"/>
                <w:highlight w:val="none"/>
              </w:rPr>
            </w:pPr>
          </w:p>
        </w:tc>
        <w:tc>
          <w:tcPr>
            <w:tcW w:w="2070" w:type="dxa"/>
            <w:noWrap/>
            <w:vAlign w:val="center"/>
          </w:tcPr>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服务经验</w:t>
            </w:r>
          </w:p>
          <w:p>
            <w:pPr>
              <w:widowControl/>
              <w:shd w:val="clear"/>
              <w:spacing w:beforeLines="25" w:afterLines="25"/>
              <w:jc w:val="center"/>
              <w:rPr>
                <w:rFonts w:ascii="仿宋" w:hAnsi="仿宋" w:eastAsia="仿宋" w:cs="仿宋"/>
                <w:color w:val="auto"/>
                <w:kern w:val="0"/>
                <w:szCs w:val="21"/>
                <w:highlight w:val="none"/>
              </w:rPr>
            </w:pPr>
            <w:r>
              <w:rPr>
                <w:rFonts w:hint="eastAsia" w:ascii="仿宋" w:hAnsi="仿宋" w:eastAsia="仿宋" w:cs="仿宋"/>
                <w:color w:val="auto"/>
                <w:szCs w:val="21"/>
                <w:highlight w:val="none"/>
              </w:rPr>
              <w:t>（10分）</w:t>
            </w:r>
          </w:p>
        </w:tc>
        <w:tc>
          <w:tcPr>
            <w:tcW w:w="5981" w:type="dxa"/>
            <w:noWrap/>
            <w:vAlign w:val="center"/>
          </w:tcPr>
          <w:p>
            <w:pPr>
              <w:shd w:val="clear"/>
              <w:spacing w:beforeLines="25" w:afterLines="25"/>
              <w:rPr>
                <w:rFonts w:ascii="仿宋" w:hAnsi="仿宋" w:eastAsia="仿宋" w:cs="仿宋"/>
                <w:color w:val="auto"/>
                <w:szCs w:val="21"/>
                <w:highlight w:val="none"/>
              </w:rPr>
            </w:pPr>
            <w:r>
              <w:rPr>
                <w:rFonts w:hint="eastAsia" w:ascii="仿宋" w:hAnsi="仿宋" w:eastAsia="仿宋" w:cs="仿宋"/>
                <w:color w:val="auto"/>
                <w:szCs w:val="21"/>
                <w:highlight w:val="none"/>
              </w:rPr>
              <w:t>类似业绩（10分）：2019年1月1日以来承担过类似财务审计业绩的，每项得5分，最多得10分。</w:t>
            </w:r>
          </w:p>
          <w:p>
            <w:pPr>
              <w:shd w:val="clear"/>
              <w:spacing w:beforeLines="25" w:afterLines="25"/>
              <w:rPr>
                <w:rFonts w:ascii="仿宋" w:hAnsi="仿宋" w:eastAsia="仿宋" w:cs="仿宋"/>
                <w:color w:val="auto"/>
                <w:kern w:val="0"/>
                <w:szCs w:val="21"/>
                <w:highlight w:val="none"/>
              </w:rPr>
            </w:pPr>
            <w:r>
              <w:rPr>
                <w:rFonts w:hint="eastAsia" w:ascii="仿宋" w:hAnsi="仿宋" w:eastAsia="仿宋" w:cs="仿宋"/>
                <w:color w:val="auto"/>
                <w:szCs w:val="21"/>
                <w:highlight w:val="none"/>
              </w:rPr>
              <w:t>备注：以合同签订时间为准，需在投标文件中附合同协议书和审计报告原件的扫描件并加盖单位电子公章，审计报告须带防伪标志，如二维码、验证码、镭射标识等。</w:t>
            </w:r>
          </w:p>
        </w:tc>
      </w:tr>
    </w:tbl>
    <w:p>
      <w:pPr>
        <w:shd w:val="clear"/>
        <w:rPr>
          <w:rFonts w:ascii="仿宋" w:hAnsi="仿宋" w:eastAsia="仿宋" w:cs="仿宋"/>
          <w:color w:val="auto"/>
          <w:highlight w:val="none"/>
        </w:rPr>
      </w:pPr>
      <w:r>
        <w:rPr>
          <w:rFonts w:hint="eastAsia" w:ascii="仿宋" w:hAnsi="仿宋" w:eastAsia="仿宋" w:cs="仿宋"/>
          <w:b/>
          <w:color w:val="auto"/>
          <w:szCs w:val="21"/>
          <w:highlight w:val="none"/>
        </w:rPr>
        <w:br w:type="page"/>
      </w:r>
    </w:p>
    <w:bookmarkEnd w:id="477"/>
    <w:p>
      <w:pPr>
        <w:pStyle w:val="5"/>
        <w:numPr>
          <w:ilvl w:val="0"/>
          <w:numId w:val="6"/>
        </w:numPr>
        <w:shd w:val="clear"/>
        <w:tabs>
          <w:tab w:val="left" w:pos="721"/>
          <w:tab w:val="left" w:pos="2880"/>
          <w:tab w:val="left" w:pos="3780"/>
          <w:tab w:val="clear" w:pos="567"/>
        </w:tabs>
        <w:spacing w:before="0" w:after="0" w:line="360" w:lineRule="auto"/>
        <w:ind w:left="0" w:firstLine="482" w:firstLineChars="200"/>
        <w:jc w:val="left"/>
        <w:rPr>
          <w:rFonts w:hint="eastAsia" w:ascii="仿宋" w:hAnsi="仿宋" w:eastAsia="仿宋" w:cs="仿宋"/>
          <w:color w:val="auto"/>
          <w:sz w:val="24"/>
          <w:szCs w:val="24"/>
          <w:highlight w:val="none"/>
        </w:rPr>
      </w:pPr>
      <w:bookmarkStart w:id="480" w:name="_Toc8739"/>
      <w:bookmarkStart w:id="481" w:name="_Toc11532"/>
      <w:bookmarkStart w:id="482" w:name="_Toc12121"/>
      <w:bookmarkStart w:id="483" w:name="_Toc31339"/>
      <w:bookmarkStart w:id="484" w:name="_Toc4881"/>
      <w:r>
        <w:rPr>
          <w:rFonts w:hint="eastAsia" w:ascii="仿宋" w:hAnsi="仿宋" w:eastAsia="仿宋" w:cs="仿宋"/>
          <w:color w:val="auto"/>
          <w:sz w:val="24"/>
          <w:szCs w:val="24"/>
          <w:highlight w:val="none"/>
        </w:rPr>
        <w:t>评审方法</w:t>
      </w:r>
      <w:bookmarkEnd w:id="480"/>
      <w:bookmarkEnd w:id="481"/>
      <w:bookmarkEnd w:id="482"/>
      <w:bookmarkEnd w:id="483"/>
      <w:bookmarkEnd w:id="484"/>
    </w:p>
    <w:p>
      <w:pPr>
        <w:shd w:val="clea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本次采购采用质量优先法评审，对满足采购需求按照质量评分从高到低排序，根据征集文件规定的淘汰率或者入围供应商数量上限，确定入围供应商的评审方法。</w:t>
      </w:r>
    </w:p>
    <w:p>
      <w:pPr>
        <w:pStyle w:val="5"/>
        <w:numPr>
          <w:ilvl w:val="0"/>
          <w:numId w:val="6"/>
        </w:numPr>
        <w:shd w:val="clear"/>
        <w:tabs>
          <w:tab w:val="left" w:pos="721"/>
          <w:tab w:val="left" w:pos="2880"/>
          <w:tab w:val="left" w:pos="3780"/>
          <w:tab w:val="clear" w:pos="567"/>
        </w:tabs>
        <w:spacing w:before="0" w:after="0" w:line="360" w:lineRule="auto"/>
        <w:ind w:left="0" w:firstLine="482" w:firstLineChars="200"/>
        <w:jc w:val="left"/>
        <w:rPr>
          <w:rFonts w:hint="eastAsia" w:ascii="仿宋" w:hAnsi="仿宋" w:eastAsia="仿宋" w:cs="仿宋"/>
          <w:color w:val="auto"/>
          <w:sz w:val="24"/>
          <w:szCs w:val="24"/>
          <w:highlight w:val="none"/>
        </w:rPr>
      </w:pPr>
      <w:bookmarkStart w:id="485" w:name="_Toc6135"/>
      <w:bookmarkStart w:id="486" w:name="_Toc15517"/>
      <w:bookmarkStart w:id="487" w:name="_Toc8325"/>
      <w:bookmarkStart w:id="488" w:name="_Toc5920"/>
      <w:bookmarkStart w:id="489" w:name="_Toc26533"/>
      <w:bookmarkStart w:id="490" w:name="_Toc3406"/>
      <w:bookmarkStart w:id="491" w:name="_Toc4003"/>
      <w:bookmarkStart w:id="492" w:name="_Toc26303"/>
      <w:bookmarkStart w:id="493" w:name="_Toc904"/>
      <w:bookmarkStart w:id="494" w:name="_Toc1289"/>
      <w:bookmarkStart w:id="495" w:name="_Toc8914"/>
      <w:bookmarkStart w:id="496" w:name="_Toc31103"/>
      <w:r>
        <w:rPr>
          <w:rFonts w:hint="eastAsia" w:ascii="仿宋" w:hAnsi="仿宋" w:eastAsia="仿宋" w:cs="仿宋"/>
          <w:color w:val="auto"/>
          <w:sz w:val="24"/>
          <w:szCs w:val="24"/>
          <w:highlight w:val="none"/>
        </w:rPr>
        <w:t>评审标准</w:t>
      </w:r>
      <w:bookmarkEnd w:id="485"/>
      <w:bookmarkEnd w:id="486"/>
      <w:bookmarkEnd w:id="487"/>
      <w:bookmarkEnd w:id="488"/>
      <w:bookmarkEnd w:id="489"/>
      <w:bookmarkEnd w:id="490"/>
      <w:bookmarkEnd w:id="491"/>
      <w:bookmarkEnd w:id="492"/>
      <w:bookmarkEnd w:id="493"/>
      <w:bookmarkEnd w:id="494"/>
      <w:bookmarkEnd w:id="495"/>
      <w:bookmarkEnd w:id="496"/>
    </w:p>
    <w:p>
      <w:pPr>
        <w:pStyle w:val="6"/>
        <w:shd w:val="clear"/>
        <w:spacing w:before="0" w:after="0" w:line="360" w:lineRule="auto"/>
        <w:ind w:firstLine="482" w:firstLineChars="200"/>
        <w:rPr>
          <w:rFonts w:ascii="仿宋" w:hAnsi="仿宋" w:eastAsia="仿宋" w:cs="仿宋"/>
          <w:color w:val="auto"/>
          <w:sz w:val="24"/>
          <w:szCs w:val="24"/>
          <w:highlight w:val="none"/>
        </w:rPr>
      </w:pPr>
      <w:bookmarkStart w:id="497" w:name="_Toc24699"/>
      <w:bookmarkStart w:id="498" w:name="_Toc21567"/>
      <w:bookmarkStart w:id="499" w:name="_Toc12847"/>
      <w:bookmarkStart w:id="500" w:name="_Toc13139"/>
      <w:bookmarkStart w:id="501" w:name="_Toc23446"/>
      <w:bookmarkStart w:id="502" w:name="_Toc4247"/>
      <w:bookmarkStart w:id="503" w:name="_Toc2572"/>
      <w:bookmarkStart w:id="504" w:name="_Toc761"/>
      <w:bookmarkStart w:id="505" w:name="_Toc20701"/>
      <w:bookmarkStart w:id="506" w:name="_Toc6703"/>
      <w:bookmarkStart w:id="507" w:name="_Toc20996"/>
      <w:bookmarkStart w:id="508" w:name="_Toc28459"/>
      <w:r>
        <w:rPr>
          <w:rFonts w:hint="eastAsia" w:ascii="仿宋" w:hAnsi="仿宋" w:eastAsia="仿宋" w:cs="仿宋"/>
          <w:color w:val="auto"/>
          <w:sz w:val="24"/>
          <w:szCs w:val="24"/>
          <w:highlight w:val="none"/>
        </w:rPr>
        <w:t>2.1 符合性评审</w:t>
      </w:r>
      <w:bookmarkEnd w:id="497"/>
      <w:bookmarkEnd w:id="498"/>
      <w:bookmarkEnd w:id="499"/>
      <w:bookmarkEnd w:id="500"/>
      <w:bookmarkEnd w:id="501"/>
      <w:bookmarkEnd w:id="502"/>
      <w:bookmarkEnd w:id="503"/>
      <w:bookmarkEnd w:id="504"/>
      <w:bookmarkEnd w:id="505"/>
      <w:bookmarkEnd w:id="506"/>
      <w:bookmarkEnd w:id="507"/>
      <w:bookmarkEnd w:id="508"/>
    </w:p>
    <w:p>
      <w:pPr>
        <w:shd w:val="clea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符合性审查标准：见评审方法前附表。</w:t>
      </w:r>
    </w:p>
    <w:p>
      <w:pPr>
        <w:pStyle w:val="6"/>
        <w:shd w:val="clear"/>
        <w:spacing w:before="0" w:after="0" w:line="360" w:lineRule="auto"/>
        <w:ind w:firstLine="482" w:firstLineChars="200"/>
        <w:rPr>
          <w:rFonts w:ascii="仿宋" w:hAnsi="仿宋" w:eastAsia="仿宋" w:cs="仿宋"/>
          <w:color w:val="auto"/>
          <w:sz w:val="24"/>
          <w:szCs w:val="24"/>
          <w:highlight w:val="none"/>
        </w:rPr>
      </w:pPr>
      <w:bookmarkStart w:id="509" w:name="_Toc31651"/>
      <w:bookmarkStart w:id="510" w:name="_Toc15689"/>
      <w:bookmarkStart w:id="511" w:name="_Toc21351"/>
      <w:bookmarkStart w:id="512" w:name="_Toc17599"/>
      <w:bookmarkStart w:id="513" w:name="_Toc7259"/>
      <w:bookmarkStart w:id="514" w:name="_Toc15635"/>
      <w:bookmarkStart w:id="515" w:name="_Toc31413"/>
      <w:bookmarkStart w:id="516" w:name="_Toc15345"/>
      <w:bookmarkStart w:id="517" w:name="_Toc29139"/>
      <w:bookmarkStart w:id="518" w:name="_Toc28336"/>
      <w:bookmarkStart w:id="519" w:name="_Toc17735"/>
      <w:bookmarkStart w:id="520" w:name="_Toc6440"/>
      <w:r>
        <w:rPr>
          <w:rFonts w:hint="eastAsia" w:ascii="仿宋" w:hAnsi="仿宋" w:eastAsia="仿宋" w:cs="仿宋"/>
          <w:color w:val="auto"/>
          <w:sz w:val="24"/>
          <w:szCs w:val="24"/>
          <w:highlight w:val="none"/>
        </w:rPr>
        <w:t>2.2 分值构成与评分标准</w:t>
      </w:r>
      <w:bookmarkEnd w:id="509"/>
      <w:bookmarkEnd w:id="510"/>
      <w:bookmarkEnd w:id="511"/>
      <w:bookmarkEnd w:id="512"/>
      <w:bookmarkEnd w:id="513"/>
      <w:bookmarkEnd w:id="514"/>
      <w:bookmarkEnd w:id="515"/>
      <w:bookmarkEnd w:id="516"/>
      <w:bookmarkEnd w:id="517"/>
      <w:bookmarkEnd w:id="518"/>
      <w:bookmarkEnd w:id="519"/>
      <w:bookmarkEnd w:id="520"/>
    </w:p>
    <w:p>
      <w:pPr>
        <w:shd w:val="clea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2.2.1 分</w:t>
      </w:r>
      <w:r>
        <w:rPr>
          <w:rFonts w:hint="eastAsia" w:ascii="仿宋" w:hAnsi="仿宋" w:eastAsia="仿宋" w:cs="仿宋"/>
          <w:color w:val="auto"/>
          <w:spacing w:val="-2"/>
          <w:kern w:val="0"/>
          <w:sz w:val="24"/>
          <w:szCs w:val="24"/>
          <w:highlight w:val="none"/>
        </w:rPr>
        <w:t>值</w:t>
      </w:r>
      <w:r>
        <w:rPr>
          <w:rFonts w:hint="eastAsia" w:ascii="仿宋" w:hAnsi="仿宋" w:eastAsia="仿宋" w:cs="仿宋"/>
          <w:color w:val="auto"/>
          <w:kern w:val="0"/>
          <w:sz w:val="24"/>
          <w:szCs w:val="24"/>
          <w:highlight w:val="none"/>
        </w:rPr>
        <w:t>构成</w:t>
      </w:r>
    </w:p>
    <w:p>
      <w:pPr>
        <w:numPr>
          <w:ilvl w:val="0"/>
          <w:numId w:val="0"/>
        </w:numPr>
        <w:shd w:val="clear"/>
        <w:autoSpaceDE w:val="0"/>
        <w:autoSpaceDN w:val="0"/>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技术部分</w:t>
      </w:r>
      <w:r>
        <w:rPr>
          <w:rFonts w:hint="eastAsia" w:ascii="仿宋" w:hAnsi="仿宋" w:eastAsia="仿宋" w:cs="仿宋"/>
          <w:color w:val="auto"/>
          <w:kern w:val="0"/>
          <w:sz w:val="24"/>
          <w:szCs w:val="24"/>
          <w:highlight w:val="none"/>
        </w:rPr>
        <w:t>：见评审方法前附表</w:t>
      </w:r>
      <w:r>
        <w:rPr>
          <w:rFonts w:hint="eastAsia" w:ascii="仿宋" w:hAnsi="仿宋" w:eastAsia="仿宋" w:cs="仿宋"/>
          <w:color w:val="auto"/>
          <w:sz w:val="24"/>
          <w:szCs w:val="24"/>
          <w:highlight w:val="none"/>
        </w:rPr>
        <w:t>。</w:t>
      </w:r>
    </w:p>
    <w:p>
      <w:pPr>
        <w:numPr>
          <w:ilvl w:val="0"/>
          <w:numId w:val="0"/>
        </w:numPr>
        <w:shd w:val="clear"/>
        <w:autoSpaceDE w:val="0"/>
        <w:autoSpaceDN w:val="0"/>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商务部分</w:t>
      </w:r>
      <w:r>
        <w:rPr>
          <w:rFonts w:hint="eastAsia" w:ascii="仿宋" w:hAnsi="仿宋" w:eastAsia="仿宋" w:cs="仿宋"/>
          <w:color w:val="auto"/>
          <w:kern w:val="0"/>
          <w:sz w:val="24"/>
          <w:szCs w:val="24"/>
          <w:highlight w:val="none"/>
        </w:rPr>
        <w:t>：见评审方法前附表</w:t>
      </w:r>
      <w:r>
        <w:rPr>
          <w:rFonts w:hint="eastAsia" w:ascii="仿宋" w:hAnsi="仿宋" w:eastAsia="仿宋" w:cs="仿宋"/>
          <w:color w:val="auto"/>
          <w:sz w:val="24"/>
          <w:szCs w:val="24"/>
          <w:highlight w:val="none"/>
        </w:rPr>
        <w:t>。</w:t>
      </w:r>
    </w:p>
    <w:p>
      <w:pPr>
        <w:shd w:val="clea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2.2.2 评</w:t>
      </w:r>
      <w:r>
        <w:rPr>
          <w:rFonts w:hint="eastAsia" w:ascii="仿宋" w:hAnsi="仿宋" w:eastAsia="仿宋" w:cs="仿宋"/>
          <w:color w:val="auto"/>
          <w:spacing w:val="-2"/>
          <w:kern w:val="0"/>
          <w:sz w:val="24"/>
          <w:szCs w:val="24"/>
          <w:highlight w:val="none"/>
        </w:rPr>
        <w:t>分</w:t>
      </w:r>
      <w:r>
        <w:rPr>
          <w:rFonts w:hint="eastAsia" w:ascii="仿宋" w:hAnsi="仿宋" w:eastAsia="仿宋" w:cs="仿宋"/>
          <w:color w:val="auto"/>
          <w:kern w:val="0"/>
          <w:sz w:val="24"/>
          <w:szCs w:val="24"/>
          <w:highlight w:val="none"/>
        </w:rPr>
        <w:t>标准</w:t>
      </w:r>
    </w:p>
    <w:p>
      <w:pPr>
        <w:numPr>
          <w:ilvl w:val="0"/>
          <w:numId w:val="0"/>
        </w:numPr>
        <w:shd w:val="clear"/>
        <w:autoSpaceDE w:val="0"/>
        <w:autoSpaceDN w:val="0"/>
        <w:adjustRightInd w:val="0"/>
        <w:spacing w:line="360" w:lineRule="auto"/>
        <w:ind w:leftChars="200"/>
        <w:jc w:val="left"/>
        <w:rPr>
          <w:rFonts w:ascii="仿宋" w:hAnsi="仿宋" w:eastAsia="仿宋" w:cs="仿宋"/>
          <w:color w:val="auto"/>
          <w:kern w:val="0"/>
          <w:sz w:val="24"/>
          <w:szCs w:val="24"/>
          <w:highlight w:val="none"/>
        </w:rPr>
      </w:pPr>
      <w:bookmarkStart w:id="521" w:name="_Toc4338"/>
      <w:bookmarkStart w:id="522" w:name="_Toc21732"/>
      <w:bookmarkStart w:id="523" w:name="_Toc16356"/>
      <w:bookmarkStart w:id="524" w:name="_Toc26726"/>
      <w:bookmarkStart w:id="525" w:name="_Toc7546"/>
      <w:bookmarkStart w:id="526" w:name="_Toc11872"/>
      <w:bookmarkStart w:id="527" w:name="_Toc28724"/>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技术部分</w:t>
      </w:r>
      <w:r>
        <w:rPr>
          <w:rFonts w:hint="eastAsia" w:ascii="仿宋" w:hAnsi="仿宋" w:eastAsia="仿宋" w:cs="仿宋"/>
          <w:color w:val="auto"/>
          <w:kern w:val="0"/>
          <w:sz w:val="24"/>
          <w:szCs w:val="24"/>
          <w:highlight w:val="none"/>
        </w:rPr>
        <w:t>：见评审方法前附表</w:t>
      </w:r>
      <w:r>
        <w:rPr>
          <w:rFonts w:hint="eastAsia" w:ascii="仿宋" w:hAnsi="仿宋" w:eastAsia="仿宋" w:cs="仿宋"/>
          <w:color w:val="auto"/>
          <w:sz w:val="24"/>
          <w:szCs w:val="24"/>
          <w:highlight w:val="none"/>
        </w:rPr>
        <w:t>。</w:t>
      </w:r>
    </w:p>
    <w:p>
      <w:pPr>
        <w:numPr>
          <w:ilvl w:val="0"/>
          <w:numId w:val="0"/>
        </w:numPr>
        <w:shd w:val="clear"/>
        <w:autoSpaceDE w:val="0"/>
        <w:autoSpaceDN w:val="0"/>
        <w:adjustRightInd w:val="0"/>
        <w:spacing w:line="360" w:lineRule="auto"/>
        <w:ind w:leftChars="200"/>
        <w:jc w:val="left"/>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商务部分</w:t>
      </w:r>
      <w:r>
        <w:rPr>
          <w:rFonts w:hint="eastAsia" w:ascii="仿宋" w:hAnsi="仿宋" w:eastAsia="仿宋" w:cs="仿宋"/>
          <w:color w:val="auto"/>
          <w:kern w:val="0"/>
          <w:sz w:val="24"/>
          <w:szCs w:val="24"/>
          <w:highlight w:val="none"/>
        </w:rPr>
        <w:t>：见评审方法前附表</w:t>
      </w:r>
      <w:r>
        <w:rPr>
          <w:rFonts w:hint="eastAsia" w:ascii="仿宋" w:hAnsi="仿宋" w:eastAsia="仿宋" w:cs="仿宋"/>
          <w:color w:val="auto"/>
          <w:sz w:val="24"/>
          <w:szCs w:val="24"/>
          <w:highlight w:val="none"/>
        </w:rPr>
        <w:t>。</w:t>
      </w:r>
    </w:p>
    <w:p>
      <w:pPr>
        <w:pStyle w:val="5"/>
        <w:numPr>
          <w:ilvl w:val="0"/>
          <w:numId w:val="6"/>
        </w:numPr>
        <w:shd w:val="clear"/>
        <w:tabs>
          <w:tab w:val="left" w:pos="721"/>
          <w:tab w:val="left" w:pos="2880"/>
          <w:tab w:val="left" w:pos="3780"/>
          <w:tab w:val="clear" w:pos="567"/>
        </w:tabs>
        <w:spacing w:before="0" w:after="0" w:line="360" w:lineRule="auto"/>
        <w:ind w:left="0" w:firstLine="482" w:firstLineChars="200"/>
        <w:jc w:val="left"/>
        <w:rPr>
          <w:rFonts w:hint="eastAsia" w:ascii="仿宋" w:hAnsi="仿宋" w:eastAsia="仿宋" w:cs="仿宋"/>
          <w:color w:val="auto"/>
          <w:sz w:val="24"/>
          <w:szCs w:val="24"/>
          <w:highlight w:val="none"/>
        </w:rPr>
      </w:pPr>
      <w:bookmarkStart w:id="528" w:name="_Toc23675"/>
      <w:bookmarkStart w:id="529" w:name="_Toc25276"/>
      <w:bookmarkStart w:id="530" w:name="_Toc26602"/>
      <w:bookmarkStart w:id="531" w:name="_Toc13588"/>
      <w:bookmarkStart w:id="532" w:name="_Toc8420"/>
      <w:r>
        <w:rPr>
          <w:rFonts w:hint="eastAsia" w:ascii="仿宋" w:hAnsi="仿宋" w:eastAsia="仿宋" w:cs="仿宋"/>
          <w:color w:val="auto"/>
          <w:sz w:val="24"/>
          <w:szCs w:val="24"/>
          <w:highlight w:val="none"/>
        </w:rPr>
        <w:t>评审程序</w:t>
      </w:r>
      <w:bookmarkEnd w:id="521"/>
      <w:bookmarkEnd w:id="522"/>
      <w:bookmarkEnd w:id="523"/>
      <w:bookmarkEnd w:id="524"/>
      <w:bookmarkEnd w:id="525"/>
      <w:bookmarkEnd w:id="526"/>
      <w:bookmarkEnd w:id="527"/>
      <w:bookmarkEnd w:id="528"/>
      <w:bookmarkEnd w:id="529"/>
      <w:bookmarkEnd w:id="530"/>
      <w:bookmarkEnd w:id="531"/>
      <w:bookmarkEnd w:id="532"/>
    </w:p>
    <w:p>
      <w:pPr>
        <w:pStyle w:val="6"/>
        <w:shd w:val="clear"/>
        <w:spacing w:before="0" w:after="0" w:line="360" w:lineRule="auto"/>
        <w:ind w:firstLine="482" w:firstLineChars="200"/>
        <w:rPr>
          <w:rFonts w:ascii="仿宋" w:hAnsi="仿宋" w:eastAsia="仿宋" w:cs="仿宋"/>
          <w:color w:val="auto"/>
          <w:sz w:val="24"/>
          <w:szCs w:val="24"/>
          <w:highlight w:val="none"/>
        </w:rPr>
      </w:pPr>
      <w:bookmarkStart w:id="533" w:name="_Toc21248"/>
      <w:bookmarkStart w:id="534" w:name="_Toc8073"/>
      <w:bookmarkStart w:id="535" w:name="_Toc5708"/>
      <w:bookmarkStart w:id="536" w:name="_Toc26008"/>
      <w:bookmarkStart w:id="537" w:name="_Toc10682"/>
      <w:bookmarkStart w:id="538" w:name="_Toc11546"/>
      <w:bookmarkStart w:id="539" w:name="_Toc32083"/>
      <w:bookmarkStart w:id="540" w:name="_Toc1654"/>
      <w:bookmarkStart w:id="541" w:name="_Toc15855"/>
      <w:bookmarkStart w:id="542" w:name="_Toc13317"/>
      <w:bookmarkStart w:id="543" w:name="_Toc4311"/>
      <w:bookmarkStart w:id="544" w:name="_Toc9443"/>
      <w:r>
        <w:rPr>
          <w:rFonts w:hint="eastAsia" w:ascii="仿宋" w:hAnsi="仿宋" w:eastAsia="仿宋" w:cs="仿宋"/>
          <w:color w:val="auto"/>
          <w:sz w:val="24"/>
          <w:szCs w:val="24"/>
          <w:highlight w:val="none"/>
        </w:rPr>
        <w:t>3.1 符合性审查</w:t>
      </w:r>
      <w:bookmarkEnd w:id="533"/>
      <w:bookmarkEnd w:id="534"/>
      <w:bookmarkEnd w:id="535"/>
      <w:bookmarkEnd w:id="536"/>
      <w:bookmarkEnd w:id="537"/>
      <w:bookmarkEnd w:id="538"/>
      <w:bookmarkEnd w:id="539"/>
      <w:bookmarkEnd w:id="540"/>
      <w:bookmarkEnd w:id="541"/>
      <w:bookmarkEnd w:id="542"/>
      <w:bookmarkEnd w:id="543"/>
      <w:bookmarkEnd w:id="544"/>
    </w:p>
    <w:p>
      <w:pPr>
        <w:shd w:val="clear"/>
        <w:autoSpaceDE w:val="0"/>
        <w:autoSpaceDN w:val="0"/>
        <w:adjustRightInd w:val="0"/>
        <w:spacing w:line="360" w:lineRule="auto"/>
        <w:ind w:firstLine="480" w:firstLineChars="200"/>
        <w:jc w:val="left"/>
        <w:rPr>
          <w:rFonts w:ascii="仿宋" w:hAnsi="仿宋" w:eastAsia="仿宋" w:cs="仿宋"/>
          <w:b/>
          <w:color w:val="auto"/>
          <w:spacing w:val="-2"/>
          <w:kern w:val="0"/>
          <w:sz w:val="24"/>
          <w:szCs w:val="24"/>
          <w:highlight w:val="none"/>
        </w:rPr>
      </w:pPr>
      <w:r>
        <w:rPr>
          <w:rFonts w:hint="eastAsia" w:ascii="仿宋" w:hAnsi="仿宋" w:eastAsia="仿宋" w:cs="仿宋"/>
          <w:color w:val="auto"/>
          <w:kern w:val="0"/>
          <w:sz w:val="24"/>
          <w:szCs w:val="24"/>
          <w:highlight w:val="none"/>
        </w:rPr>
        <w:t>评审小组</w:t>
      </w:r>
      <w:r>
        <w:rPr>
          <w:rFonts w:hint="eastAsia" w:ascii="仿宋" w:hAnsi="仿宋" w:eastAsia="仿宋" w:cs="仿宋"/>
          <w:color w:val="auto"/>
          <w:spacing w:val="-2"/>
          <w:kern w:val="0"/>
          <w:sz w:val="24"/>
          <w:szCs w:val="24"/>
          <w:highlight w:val="none"/>
        </w:rPr>
        <w:t>依</w:t>
      </w:r>
      <w:r>
        <w:rPr>
          <w:rFonts w:hint="eastAsia" w:ascii="仿宋" w:hAnsi="仿宋" w:eastAsia="仿宋" w:cs="仿宋"/>
          <w:color w:val="auto"/>
          <w:kern w:val="0"/>
          <w:sz w:val="24"/>
          <w:szCs w:val="24"/>
          <w:highlight w:val="none"/>
        </w:rPr>
        <w:t>据本</w:t>
      </w:r>
      <w:r>
        <w:rPr>
          <w:rFonts w:hint="eastAsia" w:ascii="仿宋" w:hAnsi="仿宋" w:eastAsia="仿宋" w:cs="仿宋"/>
          <w:color w:val="auto"/>
          <w:spacing w:val="-2"/>
          <w:kern w:val="0"/>
          <w:sz w:val="24"/>
          <w:szCs w:val="24"/>
          <w:highlight w:val="none"/>
        </w:rPr>
        <w:t>章</w:t>
      </w:r>
      <w:r>
        <w:rPr>
          <w:rFonts w:hint="eastAsia" w:ascii="仿宋" w:hAnsi="仿宋" w:eastAsia="仿宋" w:cs="仿宋"/>
          <w:color w:val="auto"/>
          <w:kern w:val="0"/>
          <w:sz w:val="24"/>
          <w:szCs w:val="24"/>
          <w:highlight w:val="none"/>
        </w:rPr>
        <w:t>评审方法前附表</w:t>
      </w:r>
      <w:r>
        <w:rPr>
          <w:rFonts w:hint="eastAsia" w:ascii="仿宋" w:hAnsi="仿宋" w:eastAsia="仿宋" w:cs="仿宋"/>
          <w:color w:val="auto"/>
          <w:spacing w:val="-2"/>
          <w:kern w:val="0"/>
          <w:sz w:val="24"/>
          <w:szCs w:val="24"/>
          <w:highlight w:val="none"/>
        </w:rPr>
        <w:t>规</w:t>
      </w:r>
      <w:r>
        <w:rPr>
          <w:rFonts w:hint="eastAsia" w:ascii="仿宋" w:hAnsi="仿宋" w:eastAsia="仿宋" w:cs="仿宋"/>
          <w:color w:val="auto"/>
          <w:kern w:val="0"/>
          <w:sz w:val="24"/>
          <w:szCs w:val="24"/>
          <w:highlight w:val="none"/>
        </w:rPr>
        <w:t>定</w:t>
      </w:r>
      <w:r>
        <w:rPr>
          <w:rFonts w:hint="eastAsia" w:ascii="仿宋" w:hAnsi="仿宋" w:eastAsia="仿宋" w:cs="仿宋"/>
          <w:color w:val="auto"/>
          <w:spacing w:val="-2"/>
          <w:kern w:val="0"/>
          <w:sz w:val="24"/>
          <w:szCs w:val="24"/>
          <w:highlight w:val="none"/>
        </w:rPr>
        <w:t>的标</w:t>
      </w:r>
      <w:r>
        <w:rPr>
          <w:rFonts w:hint="eastAsia" w:ascii="仿宋" w:hAnsi="仿宋" w:eastAsia="仿宋" w:cs="仿宋"/>
          <w:color w:val="auto"/>
          <w:kern w:val="0"/>
          <w:sz w:val="24"/>
          <w:szCs w:val="24"/>
          <w:highlight w:val="none"/>
        </w:rPr>
        <w:t>准，对</w:t>
      </w:r>
      <w:r>
        <w:rPr>
          <w:rFonts w:hint="eastAsia" w:ascii="仿宋" w:hAnsi="仿宋" w:eastAsia="仿宋" w:cs="仿宋"/>
          <w:color w:val="auto"/>
          <w:spacing w:val="-2"/>
          <w:kern w:val="0"/>
          <w:sz w:val="24"/>
          <w:szCs w:val="24"/>
          <w:highlight w:val="none"/>
        </w:rPr>
        <w:t>符合资格的供应商的响应文件进行符合性审查，以确定其是否满足征集文件的实质性要求</w:t>
      </w:r>
      <w:r>
        <w:rPr>
          <w:rFonts w:hint="eastAsia" w:ascii="仿宋" w:hAnsi="仿宋" w:eastAsia="仿宋" w:cs="仿宋"/>
          <w:color w:val="auto"/>
          <w:kern w:val="0"/>
          <w:sz w:val="24"/>
          <w:szCs w:val="24"/>
          <w:highlight w:val="none"/>
        </w:rPr>
        <w:t>，</w:t>
      </w:r>
      <w:r>
        <w:rPr>
          <w:rFonts w:hint="eastAsia" w:ascii="仿宋" w:hAnsi="仿宋" w:eastAsia="仿宋" w:cs="仿宋"/>
          <w:color w:val="auto"/>
          <w:spacing w:val="-2"/>
          <w:kern w:val="0"/>
          <w:sz w:val="24"/>
          <w:szCs w:val="24"/>
          <w:highlight w:val="none"/>
        </w:rPr>
        <w:t>有</w:t>
      </w:r>
      <w:r>
        <w:rPr>
          <w:rFonts w:hint="eastAsia" w:ascii="仿宋" w:hAnsi="仿宋" w:eastAsia="仿宋" w:cs="仿宋"/>
          <w:color w:val="auto"/>
          <w:kern w:val="0"/>
          <w:sz w:val="24"/>
          <w:szCs w:val="24"/>
          <w:highlight w:val="none"/>
        </w:rPr>
        <w:t>一</w:t>
      </w:r>
      <w:r>
        <w:rPr>
          <w:rFonts w:hint="eastAsia" w:ascii="仿宋" w:hAnsi="仿宋" w:eastAsia="仿宋" w:cs="仿宋"/>
          <w:color w:val="auto"/>
          <w:spacing w:val="-2"/>
          <w:kern w:val="0"/>
          <w:sz w:val="24"/>
          <w:szCs w:val="24"/>
          <w:highlight w:val="none"/>
        </w:rPr>
        <w:t>项</w:t>
      </w:r>
      <w:r>
        <w:rPr>
          <w:rFonts w:hint="eastAsia" w:ascii="仿宋" w:hAnsi="仿宋" w:eastAsia="仿宋" w:cs="仿宋"/>
          <w:color w:val="auto"/>
          <w:kern w:val="0"/>
          <w:sz w:val="24"/>
          <w:szCs w:val="24"/>
          <w:highlight w:val="none"/>
        </w:rPr>
        <w:t>不</w:t>
      </w:r>
      <w:r>
        <w:rPr>
          <w:rFonts w:hint="eastAsia" w:ascii="仿宋" w:hAnsi="仿宋" w:eastAsia="仿宋" w:cs="仿宋"/>
          <w:color w:val="auto"/>
          <w:spacing w:val="-2"/>
          <w:kern w:val="0"/>
          <w:sz w:val="24"/>
          <w:szCs w:val="24"/>
          <w:highlight w:val="none"/>
        </w:rPr>
        <w:t>符</w:t>
      </w:r>
      <w:r>
        <w:rPr>
          <w:rFonts w:hint="eastAsia" w:ascii="仿宋" w:hAnsi="仿宋" w:eastAsia="仿宋" w:cs="仿宋"/>
          <w:color w:val="auto"/>
          <w:kern w:val="0"/>
          <w:sz w:val="24"/>
          <w:szCs w:val="24"/>
          <w:highlight w:val="none"/>
        </w:rPr>
        <w:t>合评审</w:t>
      </w:r>
      <w:r>
        <w:rPr>
          <w:rFonts w:hint="eastAsia" w:ascii="仿宋" w:hAnsi="仿宋" w:eastAsia="仿宋" w:cs="仿宋"/>
          <w:color w:val="auto"/>
          <w:spacing w:val="-2"/>
          <w:kern w:val="0"/>
          <w:sz w:val="24"/>
          <w:szCs w:val="24"/>
          <w:highlight w:val="none"/>
        </w:rPr>
        <w:t>标</w:t>
      </w:r>
      <w:r>
        <w:rPr>
          <w:rFonts w:hint="eastAsia" w:ascii="仿宋" w:hAnsi="仿宋" w:eastAsia="仿宋" w:cs="仿宋"/>
          <w:color w:val="auto"/>
          <w:kern w:val="0"/>
          <w:sz w:val="24"/>
          <w:szCs w:val="24"/>
          <w:highlight w:val="none"/>
        </w:rPr>
        <w:t>准</w:t>
      </w:r>
      <w:r>
        <w:rPr>
          <w:rFonts w:hint="eastAsia" w:ascii="仿宋" w:hAnsi="仿宋" w:eastAsia="仿宋" w:cs="仿宋"/>
          <w:color w:val="auto"/>
          <w:spacing w:val="-2"/>
          <w:kern w:val="0"/>
          <w:sz w:val="24"/>
          <w:szCs w:val="24"/>
          <w:highlight w:val="none"/>
        </w:rPr>
        <w:t>的</w:t>
      </w:r>
      <w:r>
        <w:rPr>
          <w:rFonts w:hint="eastAsia" w:ascii="仿宋" w:hAnsi="仿宋" w:eastAsia="仿宋" w:cs="仿宋"/>
          <w:color w:val="auto"/>
          <w:kern w:val="0"/>
          <w:sz w:val="24"/>
          <w:szCs w:val="24"/>
          <w:highlight w:val="none"/>
        </w:rPr>
        <w:t>，</w:t>
      </w:r>
      <w:r>
        <w:rPr>
          <w:rFonts w:hint="eastAsia" w:ascii="仿宋" w:hAnsi="仿宋" w:eastAsia="仿宋" w:cs="仿宋"/>
          <w:color w:val="auto"/>
          <w:spacing w:val="-2"/>
          <w:kern w:val="0"/>
          <w:sz w:val="24"/>
          <w:szCs w:val="24"/>
          <w:highlight w:val="none"/>
        </w:rPr>
        <w:t>评审小组</w:t>
      </w:r>
      <w:r>
        <w:rPr>
          <w:rFonts w:hint="eastAsia" w:ascii="仿宋" w:hAnsi="仿宋" w:eastAsia="仿宋" w:cs="仿宋"/>
          <w:color w:val="auto"/>
          <w:kern w:val="0"/>
          <w:sz w:val="24"/>
          <w:szCs w:val="24"/>
          <w:highlight w:val="none"/>
        </w:rPr>
        <w:t>应当</w:t>
      </w:r>
      <w:r>
        <w:rPr>
          <w:rFonts w:hint="eastAsia" w:ascii="仿宋" w:hAnsi="仿宋" w:eastAsia="仿宋" w:cs="仿宋"/>
          <w:color w:val="auto"/>
          <w:sz w:val="24"/>
          <w:szCs w:val="24"/>
          <w:highlight w:val="none"/>
        </w:rPr>
        <w:t>认定其</w:t>
      </w:r>
      <w:r>
        <w:rPr>
          <w:rFonts w:hint="eastAsia" w:ascii="仿宋" w:hAnsi="仿宋" w:eastAsia="仿宋" w:cs="仿宋"/>
          <w:b/>
          <w:bCs/>
          <w:color w:val="auto"/>
          <w:sz w:val="24"/>
          <w:szCs w:val="24"/>
          <w:highlight w:val="none"/>
        </w:rPr>
        <w:t>响应文件无效</w:t>
      </w:r>
      <w:r>
        <w:rPr>
          <w:rFonts w:hint="eastAsia" w:ascii="仿宋" w:hAnsi="仿宋" w:eastAsia="仿宋" w:cs="仿宋"/>
          <w:color w:val="auto"/>
          <w:spacing w:val="-2"/>
          <w:kern w:val="0"/>
          <w:sz w:val="24"/>
          <w:szCs w:val="24"/>
          <w:highlight w:val="none"/>
        </w:rPr>
        <w:t>。</w:t>
      </w:r>
    </w:p>
    <w:p>
      <w:pPr>
        <w:pStyle w:val="6"/>
        <w:shd w:val="clear"/>
        <w:spacing w:before="0" w:after="0" w:line="360" w:lineRule="auto"/>
        <w:ind w:firstLine="482" w:firstLineChars="200"/>
        <w:rPr>
          <w:rFonts w:ascii="仿宋" w:hAnsi="仿宋" w:eastAsia="仿宋" w:cs="仿宋"/>
          <w:color w:val="auto"/>
          <w:sz w:val="24"/>
          <w:szCs w:val="24"/>
          <w:highlight w:val="none"/>
        </w:rPr>
      </w:pPr>
      <w:bookmarkStart w:id="545" w:name="_Toc20721"/>
      <w:bookmarkStart w:id="546" w:name="_Toc7702"/>
      <w:bookmarkStart w:id="547" w:name="_Toc31993"/>
      <w:bookmarkStart w:id="548" w:name="_Toc4037"/>
      <w:bookmarkStart w:id="549" w:name="_Toc10132"/>
      <w:bookmarkStart w:id="550" w:name="_Toc14717"/>
      <w:bookmarkStart w:id="551" w:name="_Toc18705"/>
      <w:bookmarkStart w:id="552" w:name="_Toc13336"/>
      <w:bookmarkStart w:id="553" w:name="_Toc26654"/>
      <w:bookmarkStart w:id="554" w:name="_Toc1221"/>
      <w:bookmarkStart w:id="555" w:name="_Toc22105"/>
      <w:bookmarkStart w:id="556" w:name="_Toc30428"/>
      <w:r>
        <w:rPr>
          <w:rFonts w:hint="eastAsia" w:ascii="仿宋" w:hAnsi="仿宋" w:eastAsia="仿宋" w:cs="仿宋"/>
          <w:color w:val="auto"/>
          <w:sz w:val="24"/>
          <w:szCs w:val="24"/>
          <w:highlight w:val="none"/>
        </w:rPr>
        <w:t>3.2 详细评审</w:t>
      </w:r>
      <w:bookmarkEnd w:id="545"/>
      <w:bookmarkEnd w:id="546"/>
      <w:bookmarkEnd w:id="547"/>
      <w:bookmarkEnd w:id="548"/>
      <w:bookmarkEnd w:id="549"/>
      <w:bookmarkEnd w:id="550"/>
      <w:bookmarkEnd w:id="551"/>
      <w:bookmarkEnd w:id="552"/>
      <w:bookmarkEnd w:id="553"/>
      <w:bookmarkEnd w:id="554"/>
      <w:bookmarkEnd w:id="555"/>
      <w:bookmarkEnd w:id="556"/>
    </w:p>
    <w:p>
      <w:pPr>
        <w:shd w:val="clea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3.2.1 评审小组</w:t>
      </w:r>
      <w:r>
        <w:rPr>
          <w:rFonts w:hint="eastAsia" w:ascii="仿宋" w:hAnsi="仿宋" w:eastAsia="仿宋" w:cs="仿宋"/>
          <w:color w:val="auto"/>
          <w:spacing w:val="-2"/>
          <w:kern w:val="0"/>
          <w:sz w:val="24"/>
          <w:szCs w:val="24"/>
          <w:highlight w:val="none"/>
        </w:rPr>
        <w:t>按</w:t>
      </w:r>
      <w:r>
        <w:rPr>
          <w:rFonts w:hint="eastAsia" w:ascii="仿宋" w:hAnsi="仿宋" w:eastAsia="仿宋" w:cs="仿宋"/>
          <w:color w:val="auto"/>
          <w:kern w:val="0"/>
          <w:sz w:val="24"/>
          <w:szCs w:val="24"/>
          <w:highlight w:val="none"/>
        </w:rPr>
        <w:t>本</w:t>
      </w:r>
      <w:r>
        <w:rPr>
          <w:rFonts w:hint="eastAsia" w:ascii="仿宋" w:hAnsi="仿宋" w:eastAsia="仿宋" w:cs="仿宋"/>
          <w:color w:val="auto"/>
          <w:spacing w:val="-2"/>
          <w:kern w:val="0"/>
          <w:sz w:val="24"/>
          <w:szCs w:val="24"/>
          <w:highlight w:val="none"/>
        </w:rPr>
        <w:t>章</w:t>
      </w:r>
      <w:r>
        <w:rPr>
          <w:rFonts w:hint="eastAsia" w:ascii="仿宋" w:hAnsi="仿宋" w:eastAsia="仿宋" w:cs="仿宋"/>
          <w:color w:val="auto"/>
          <w:kern w:val="0"/>
          <w:sz w:val="24"/>
          <w:szCs w:val="24"/>
          <w:highlight w:val="none"/>
        </w:rPr>
        <w:t>评审方法规</w:t>
      </w:r>
      <w:r>
        <w:rPr>
          <w:rFonts w:hint="eastAsia" w:ascii="仿宋" w:hAnsi="仿宋" w:eastAsia="仿宋" w:cs="仿宋"/>
          <w:color w:val="auto"/>
          <w:spacing w:val="-2"/>
          <w:kern w:val="0"/>
          <w:sz w:val="24"/>
          <w:szCs w:val="24"/>
          <w:highlight w:val="none"/>
        </w:rPr>
        <w:t>定</w:t>
      </w:r>
      <w:r>
        <w:rPr>
          <w:rFonts w:hint="eastAsia" w:ascii="仿宋" w:hAnsi="仿宋" w:eastAsia="仿宋" w:cs="仿宋"/>
          <w:color w:val="auto"/>
          <w:kern w:val="0"/>
          <w:sz w:val="24"/>
          <w:szCs w:val="24"/>
          <w:highlight w:val="none"/>
        </w:rPr>
        <w:t>的</w:t>
      </w:r>
      <w:r>
        <w:rPr>
          <w:rFonts w:hint="eastAsia" w:ascii="仿宋" w:hAnsi="仿宋" w:eastAsia="仿宋" w:cs="仿宋"/>
          <w:color w:val="auto"/>
          <w:spacing w:val="-2"/>
          <w:kern w:val="0"/>
          <w:sz w:val="24"/>
          <w:szCs w:val="24"/>
          <w:highlight w:val="none"/>
        </w:rPr>
        <w:t>量</w:t>
      </w:r>
      <w:r>
        <w:rPr>
          <w:rFonts w:hint="eastAsia" w:ascii="仿宋" w:hAnsi="仿宋" w:eastAsia="仿宋" w:cs="仿宋"/>
          <w:color w:val="auto"/>
          <w:kern w:val="0"/>
          <w:sz w:val="24"/>
          <w:szCs w:val="24"/>
          <w:highlight w:val="none"/>
        </w:rPr>
        <w:t>化</w:t>
      </w:r>
      <w:r>
        <w:rPr>
          <w:rFonts w:hint="eastAsia" w:ascii="仿宋" w:hAnsi="仿宋" w:eastAsia="仿宋" w:cs="仿宋"/>
          <w:color w:val="auto"/>
          <w:spacing w:val="-2"/>
          <w:kern w:val="0"/>
          <w:sz w:val="24"/>
          <w:szCs w:val="24"/>
          <w:highlight w:val="none"/>
        </w:rPr>
        <w:t>因</w:t>
      </w:r>
      <w:r>
        <w:rPr>
          <w:rFonts w:hint="eastAsia" w:ascii="仿宋" w:hAnsi="仿宋" w:eastAsia="仿宋" w:cs="仿宋"/>
          <w:color w:val="auto"/>
          <w:kern w:val="0"/>
          <w:sz w:val="24"/>
          <w:szCs w:val="24"/>
          <w:highlight w:val="none"/>
        </w:rPr>
        <w:t>素</w:t>
      </w:r>
      <w:r>
        <w:rPr>
          <w:rFonts w:hint="eastAsia" w:ascii="仿宋" w:hAnsi="仿宋" w:eastAsia="仿宋" w:cs="仿宋"/>
          <w:color w:val="auto"/>
          <w:spacing w:val="-2"/>
          <w:kern w:val="0"/>
          <w:sz w:val="24"/>
          <w:szCs w:val="24"/>
          <w:highlight w:val="none"/>
        </w:rPr>
        <w:t>和</w:t>
      </w:r>
      <w:r>
        <w:rPr>
          <w:rFonts w:hint="eastAsia" w:ascii="仿宋" w:hAnsi="仿宋" w:eastAsia="仿宋" w:cs="仿宋"/>
          <w:color w:val="auto"/>
          <w:kern w:val="0"/>
          <w:sz w:val="24"/>
          <w:szCs w:val="24"/>
          <w:highlight w:val="none"/>
        </w:rPr>
        <w:t>分值</w:t>
      </w:r>
      <w:r>
        <w:rPr>
          <w:rFonts w:hint="eastAsia" w:ascii="仿宋" w:hAnsi="仿宋" w:eastAsia="仿宋" w:cs="仿宋"/>
          <w:color w:val="auto"/>
          <w:spacing w:val="-2"/>
          <w:kern w:val="0"/>
          <w:sz w:val="24"/>
          <w:szCs w:val="24"/>
          <w:highlight w:val="none"/>
        </w:rPr>
        <w:t>进</w:t>
      </w:r>
      <w:r>
        <w:rPr>
          <w:rFonts w:hint="eastAsia" w:ascii="仿宋" w:hAnsi="仿宋" w:eastAsia="仿宋" w:cs="仿宋"/>
          <w:color w:val="auto"/>
          <w:kern w:val="0"/>
          <w:sz w:val="24"/>
          <w:szCs w:val="24"/>
          <w:highlight w:val="none"/>
        </w:rPr>
        <w:t>行打分，并计算</w:t>
      </w:r>
      <w:r>
        <w:rPr>
          <w:rFonts w:hint="eastAsia" w:ascii="仿宋" w:hAnsi="仿宋" w:eastAsia="仿宋" w:cs="仿宋"/>
          <w:color w:val="auto"/>
          <w:spacing w:val="-2"/>
          <w:kern w:val="0"/>
          <w:sz w:val="24"/>
          <w:szCs w:val="24"/>
          <w:highlight w:val="none"/>
        </w:rPr>
        <w:t>出综</w:t>
      </w:r>
      <w:r>
        <w:rPr>
          <w:rFonts w:hint="eastAsia" w:ascii="仿宋" w:hAnsi="仿宋" w:eastAsia="仿宋" w:cs="仿宋"/>
          <w:color w:val="auto"/>
          <w:kern w:val="0"/>
          <w:sz w:val="24"/>
          <w:szCs w:val="24"/>
          <w:highlight w:val="none"/>
        </w:rPr>
        <w:t>合得</w:t>
      </w:r>
      <w:r>
        <w:rPr>
          <w:rFonts w:hint="eastAsia" w:ascii="仿宋" w:hAnsi="仿宋" w:eastAsia="仿宋" w:cs="仿宋"/>
          <w:color w:val="auto"/>
          <w:spacing w:val="-2"/>
          <w:kern w:val="0"/>
          <w:sz w:val="24"/>
          <w:szCs w:val="24"/>
          <w:highlight w:val="none"/>
        </w:rPr>
        <w:t>分</w:t>
      </w:r>
      <w:r>
        <w:rPr>
          <w:rFonts w:hint="eastAsia" w:ascii="仿宋" w:hAnsi="仿宋" w:eastAsia="仿宋" w:cs="仿宋"/>
          <w:color w:val="auto"/>
          <w:kern w:val="0"/>
          <w:sz w:val="24"/>
          <w:szCs w:val="24"/>
          <w:highlight w:val="none"/>
        </w:rPr>
        <w:t>。</w:t>
      </w:r>
    </w:p>
    <w:p>
      <w:pPr>
        <w:numPr>
          <w:ilvl w:val="0"/>
          <w:numId w:val="0"/>
        </w:numPr>
        <w:shd w:val="clear"/>
        <w:autoSpaceDE w:val="0"/>
        <w:autoSpaceDN w:val="0"/>
        <w:adjustRightInd w:val="0"/>
        <w:spacing w:line="360" w:lineRule="auto"/>
        <w:ind w:left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按本章第2.2.2（</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）目规定的评审因素和分值对技术标计算出得分</w:t>
      </w:r>
      <w:r>
        <w:rPr>
          <w:rFonts w:hint="eastAsia" w:ascii="仿宋" w:hAnsi="仿宋" w:eastAsia="仿宋" w:cs="仿宋"/>
          <w:color w:val="auto"/>
          <w:sz w:val="24"/>
          <w:szCs w:val="24"/>
          <w:highlight w:val="none"/>
          <w:lang w:val="en-US" w:eastAsia="zh-CN"/>
        </w:rPr>
        <w:t>A</w:t>
      </w:r>
      <w:r>
        <w:rPr>
          <w:rFonts w:hint="eastAsia" w:ascii="仿宋" w:hAnsi="仿宋" w:eastAsia="仿宋" w:cs="仿宋"/>
          <w:color w:val="auto"/>
          <w:sz w:val="24"/>
          <w:szCs w:val="24"/>
          <w:highlight w:val="none"/>
        </w:rPr>
        <w:t>；</w:t>
      </w:r>
    </w:p>
    <w:p>
      <w:pPr>
        <w:numPr>
          <w:ilvl w:val="0"/>
          <w:numId w:val="0"/>
        </w:numPr>
        <w:shd w:val="clear"/>
        <w:autoSpaceDE w:val="0"/>
        <w:autoSpaceDN w:val="0"/>
        <w:adjustRightInd w:val="0"/>
        <w:spacing w:line="360" w:lineRule="auto"/>
        <w:ind w:left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按本章第2.2.2（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）目规定的评审因素和分值对商务标计算出得分</w:t>
      </w:r>
      <w:r>
        <w:rPr>
          <w:rFonts w:hint="eastAsia" w:ascii="仿宋" w:hAnsi="仿宋" w:eastAsia="仿宋" w:cs="仿宋"/>
          <w:color w:val="auto"/>
          <w:sz w:val="24"/>
          <w:szCs w:val="24"/>
          <w:highlight w:val="none"/>
          <w:lang w:val="en-US" w:eastAsia="zh-CN"/>
        </w:rPr>
        <w:t>B</w:t>
      </w:r>
      <w:r>
        <w:rPr>
          <w:rFonts w:hint="eastAsia" w:ascii="仿宋" w:hAnsi="仿宋" w:eastAsia="仿宋" w:cs="仿宋"/>
          <w:color w:val="auto"/>
          <w:sz w:val="24"/>
          <w:szCs w:val="24"/>
          <w:highlight w:val="none"/>
        </w:rPr>
        <w:t>。</w:t>
      </w:r>
    </w:p>
    <w:p>
      <w:pPr>
        <w:shd w:val="clea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评分分值计算保留小数点后两位，小数点后第三位“四舍五入”。</w:t>
      </w:r>
    </w:p>
    <w:p>
      <w:pPr>
        <w:shd w:val="clea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 投标人得分=A+B。</w:t>
      </w:r>
    </w:p>
    <w:p>
      <w:pPr>
        <w:pStyle w:val="6"/>
        <w:shd w:val="clear"/>
        <w:spacing w:before="0" w:after="0" w:line="360" w:lineRule="auto"/>
        <w:ind w:firstLine="482" w:firstLineChars="200"/>
        <w:rPr>
          <w:rFonts w:ascii="仿宋" w:hAnsi="仿宋" w:eastAsia="仿宋" w:cs="仿宋"/>
          <w:color w:val="auto"/>
          <w:sz w:val="24"/>
          <w:szCs w:val="24"/>
          <w:highlight w:val="none"/>
        </w:rPr>
      </w:pPr>
      <w:bookmarkStart w:id="557" w:name="_Toc32466"/>
      <w:bookmarkStart w:id="558" w:name="_Toc11722"/>
      <w:bookmarkStart w:id="559" w:name="_Toc3683"/>
      <w:bookmarkStart w:id="560" w:name="_Toc22546"/>
      <w:bookmarkStart w:id="561" w:name="_Toc5864"/>
      <w:bookmarkStart w:id="562" w:name="_Toc804"/>
      <w:bookmarkStart w:id="563" w:name="_Toc7845"/>
      <w:bookmarkStart w:id="564" w:name="_Toc5640"/>
      <w:bookmarkStart w:id="565" w:name="_Toc11785"/>
      <w:bookmarkStart w:id="566" w:name="_Toc15098"/>
      <w:bookmarkStart w:id="567" w:name="_Toc13854"/>
      <w:bookmarkStart w:id="568" w:name="_Toc18083"/>
      <w:r>
        <w:rPr>
          <w:rFonts w:hint="eastAsia" w:ascii="仿宋" w:hAnsi="仿宋" w:eastAsia="仿宋" w:cs="仿宋"/>
          <w:color w:val="auto"/>
          <w:sz w:val="24"/>
          <w:szCs w:val="24"/>
          <w:highlight w:val="none"/>
        </w:rPr>
        <w:t>3.3 响应文件的澄清</w:t>
      </w:r>
      <w:bookmarkEnd w:id="557"/>
      <w:bookmarkEnd w:id="558"/>
      <w:bookmarkEnd w:id="559"/>
      <w:bookmarkEnd w:id="560"/>
      <w:bookmarkEnd w:id="561"/>
      <w:bookmarkEnd w:id="562"/>
      <w:bookmarkEnd w:id="563"/>
      <w:bookmarkEnd w:id="564"/>
      <w:bookmarkEnd w:id="565"/>
      <w:bookmarkEnd w:id="566"/>
      <w:bookmarkEnd w:id="567"/>
      <w:bookmarkEnd w:id="568"/>
    </w:p>
    <w:p>
      <w:pPr>
        <w:shd w:val="clea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3.3.1 在</w:t>
      </w:r>
      <w:r>
        <w:rPr>
          <w:rFonts w:hint="eastAsia" w:ascii="仿宋" w:hAnsi="仿宋" w:eastAsia="仿宋" w:cs="仿宋"/>
          <w:color w:val="auto"/>
          <w:spacing w:val="-2"/>
          <w:kern w:val="0"/>
          <w:sz w:val="24"/>
          <w:szCs w:val="24"/>
          <w:highlight w:val="none"/>
        </w:rPr>
        <w:t>评审过</w:t>
      </w:r>
      <w:r>
        <w:rPr>
          <w:rFonts w:hint="eastAsia" w:ascii="仿宋" w:hAnsi="仿宋" w:eastAsia="仿宋" w:cs="仿宋"/>
          <w:color w:val="auto"/>
          <w:kern w:val="0"/>
          <w:sz w:val="24"/>
          <w:szCs w:val="24"/>
          <w:highlight w:val="none"/>
        </w:rPr>
        <w:t>程中</w:t>
      </w:r>
      <w:r>
        <w:rPr>
          <w:rFonts w:hint="eastAsia" w:ascii="仿宋" w:hAnsi="仿宋" w:eastAsia="仿宋" w:cs="仿宋"/>
          <w:color w:val="auto"/>
          <w:spacing w:val="-41"/>
          <w:kern w:val="0"/>
          <w:sz w:val="24"/>
          <w:szCs w:val="24"/>
          <w:highlight w:val="none"/>
        </w:rPr>
        <w:t>，</w:t>
      </w:r>
      <w:r>
        <w:rPr>
          <w:rFonts w:hint="eastAsia" w:ascii="仿宋" w:hAnsi="仿宋" w:eastAsia="仿宋" w:cs="仿宋"/>
          <w:color w:val="auto"/>
          <w:kern w:val="0"/>
          <w:sz w:val="24"/>
          <w:szCs w:val="24"/>
          <w:highlight w:val="none"/>
        </w:rPr>
        <w:t>评审小组可</w:t>
      </w:r>
      <w:r>
        <w:rPr>
          <w:rFonts w:hint="eastAsia" w:ascii="仿宋" w:hAnsi="仿宋" w:eastAsia="仿宋" w:cs="仿宋"/>
          <w:color w:val="auto"/>
          <w:spacing w:val="-2"/>
          <w:kern w:val="0"/>
          <w:sz w:val="24"/>
          <w:szCs w:val="24"/>
          <w:highlight w:val="none"/>
        </w:rPr>
        <w:t>以</w:t>
      </w:r>
      <w:r>
        <w:rPr>
          <w:rFonts w:hint="eastAsia" w:ascii="仿宋" w:hAnsi="仿宋" w:eastAsia="仿宋" w:cs="仿宋"/>
          <w:color w:val="auto"/>
          <w:kern w:val="0"/>
          <w:sz w:val="24"/>
          <w:szCs w:val="24"/>
          <w:highlight w:val="none"/>
        </w:rPr>
        <w:t>书</w:t>
      </w:r>
      <w:r>
        <w:rPr>
          <w:rFonts w:hint="eastAsia" w:ascii="仿宋" w:hAnsi="仿宋" w:eastAsia="仿宋" w:cs="仿宋"/>
          <w:color w:val="auto"/>
          <w:spacing w:val="-2"/>
          <w:kern w:val="0"/>
          <w:sz w:val="24"/>
          <w:szCs w:val="24"/>
          <w:highlight w:val="none"/>
        </w:rPr>
        <w:t>面</w:t>
      </w:r>
      <w:r>
        <w:rPr>
          <w:rFonts w:hint="eastAsia" w:ascii="仿宋" w:hAnsi="仿宋" w:eastAsia="仿宋" w:cs="仿宋"/>
          <w:color w:val="auto"/>
          <w:kern w:val="0"/>
          <w:sz w:val="24"/>
          <w:szCs w:val="24"/>
          <w:highlight w:val="none"/>
        </w:rPr>
        <w:t>形</w:t>
      </w:r>
      <w:r>
        <w:rPr>
          <w:rFonts w:hint="eastAsia" w:ascii="仿宋" w:hAnsi="仿宋" w:eastAsia="仿宋" w:cs="仿宋"/>
          <w:color w:val="auto"/>
          <w:spacing w:val="-2"/>
          <w:kern w:val="0"/>
          <w:sz w:val="24"/>
          <w:szCs w:val="24"/>
          <w:highlight w:val="none"/>
        </w:rPr>
        <w:t>式</w:t>
      </w:r>
      <w:r>
        <w:rPr>
          <w:rFonts w:hint="eastAsia" w:ascii="仿宋" w:hAnsi="仿宋" w:eastAsia="仿宋" w:cs="仿宋"/>
          <w:color w:val="auto"/>
          <w:kern w:val="0"/>
          <w:sz w:val="24"/>
          <w:szCs w:val="24"/>
          <w:highlight w:val="none"/>
        </w:rPr>
        <w:t>要</w:t>
      </w:r>
      <w:r>
        <w:rPr>
          <w:rFonts w:hint="eastAsia" w:ascii="仿宋" w:hAnsi="仿宋" w:eastAsia="仿宋" w:cs="仿宋"/>
          <w:color w:val="auto"/>
          <w:spacing w:val="-2"/>
          <w:kern w:val="0"/>
          <w:sz w:val="24"/>
          <w:szCs w:val="24"/>
          <w:highlight w:val="none"/>
        </w:rPr>
        <w:t>求</w:t>
      </w:r>
      <w:r>
        <w:rPr>
          <w:rFonts w:hint="eastAsia" w:ascii="仿宋" w:hAnsi="仿宋" w:eastAsia="仿宋" w:cs="仿宋"/>
          <w:color w:val="auto"/>
          <w:kern w:val="0"/>
          <w:sz w:val="24"/>
          <w:szCs w:val="24"/>
          <w:highlight w:val="none"/>
        </w:rPr>
        <w:t>供应商对</w:t>
      </w:r>
      <w:r>
        <w:rPr>
          <w:rFonts w:hint="eastAsia" w:ascii="仿宋" w:hAnsi="仿宋" w:eastAsia="仿宋" w:cs="仿宋"/>
          <w:color w:val="auto"/>
          <w:spacing w:val="-2"/>
          <w:kern w:val="0"/>
          <w:sz w:val="24"/>
          <w:szCs w:val="24"/>
          <w:highlight w:val="none"/>
        </w:rPr>
        <w:t>响应文件中</w:t>
      </w:r>
      <w:r>
        <w:rPr>
          <w:rFonts w:hint="eastAsia" w:ascii="仿宋" w:hAnsi="仿宋" w:eastAsia="仿宋" w:cs="仿宋"/>
          <w:color w:val="auto"/>
          <w:kern w:val="0"/>
          <w:sz w:val="24"/>
          <w:szCs w:val="24"/>
          <w:highlight w:val="none"/>
        </w:rPr>
        <w:t>含</w:t>
      </w:r>
      <w:r>
        <w:rPr>
          <w:rFonts w:hint="eastAsia" w:ascii="仿宋" w:hAnsi="仿宋" w:eastAsia="仿宋" w:cs="仿宋"/>
          <w:color w:val="auto"/>
          <w:spacing w:val="-2"/>
          <w:kern w:val="0"/>
          <w:sz w:val="24"/>
          <w:szCs w:val="24"/>
          <w:highlight w:val="none"/>
        </w:rPr>
        <w:t>义</w:t>
      </w:r>
      <w:r>
        <w:rPr>
          <w:rFonts w:hint="eastAsia" w:ascii="仿宋" w:hAnsi="仿宋" w:eastAsia="仿宋" w:cs="仿宋"/>
          <w:color w:val="auto"/>
          <w:kern w:val="0"/>
          <w:sz w:val="24"/>
          <w:szCs w:val="24"/>
          <w:highlight w:val="none"/>
        </w:rPr>
        <w:t>不明</w:t>
      </w:r>
      <w:r>
        <w:rPr>
          <w:rFonts w:hint="eastAsia" w:ascii="仿宋" w:hAnsi="仿宋" w:eastAsia="仿宋" w:cs="仿宋"/>
          <w:color w:val="auto"/>
          <w:spacing w:val="-2"/>
          <w:kern w:val="0"/>
          <w:sz w:val="24"/>
          <w:szCs w:val="24"/>
          <w:highlight w:val="none"/>
        </w:rPr>
        <w:t>确</w:t>
      </w:r>
      <w:r>
        <w:rPr>
          <w:rFonts w:hint="eastAsia" w:ascii="仿宋" w:hAnsi="仿宋" w:eastAsia="仿宋" w:cs="仿宋"/>
          <w:color w:val="auto"/>
          <w:spacing w:val="-38"/>
          <w:kern w:val="0"/>
          <w:sz w:val="24"/>
          <w:szCs w:val="24"/>
          <w:highlight w:val="none"/>
        </w:rPr>
        <w:t>、</w:t>
      </w:r>
      <w:r>
        <w:rPr>
          <w:rFonts w:hint="eastAsia" w:ascii="仿宋" w:hAnsi="仿宋" w:eastAsia="仿宋" w:cs="仿宋"/>
          <w:color w:val="auto"/>
          <w:spacing w:val="-2"/>
          <w:kern w:val="0"/>
          <w:sz w:val="24"/>
          <w:szCs w:val="24"/>
          <w:highlight w:val="none"/>
        </w:rPr>
        <w:t>对</w:t>
      </w:r>
      <w:r>
        <w:rPr>
          <w:rFonts w:hint="eastAsia" w:ascii="仿宋" w:hAnsi="仿宋" w:eastAsia="仿宋" w:cs="仿宋"/>
          <w:color w:val="auto"/>
          <w:kern w:val="0"/>
          <w:sz w:val="24"/>
          <w:szCs w:val="24"/>
          <w:highlight w:val="none"/>
        </w:rPr>
        <w:t>同类问题表述不一</w:t>
      </w:r>
      <w:r>
        <w:rPr>
          <w:rFonts w:hint="eastAsia" w:ascii="仿宋" w:hAnsi="仿宋" w:eastAsia="仿宋" w:cs="仿宋"/>
          <w:color w:val="auto"/>
          <w:spacing w:val="-2"/>
          <w:kern w:val="0"/>
          <w:sz w:val="24"/>
          <w:szCs w:val="24"/>
          <w:highlight w:val="none"/>
        </w:rPr>
        <w:t>致</w:t>
      </w:r>
      <w:r>
        <w:rPr>
          <w:rFonts w:hint="eastAsia" w:ascii="仿宋" w:hAnsi="仿宋" w:eastAsia="仿宋" w:cs="仿宋"/>
          <w:color w:val="auto"/>
          <w:kern w:val="0"/>
          <w:sz w:val="24"/>
          <w:szCs w:val="24"/>
          <w:highlight w:val="none"/>
        </w:rPr>
        <w:t>或者</w:t>
      </w:r>
      <w:r>
        <w:rPr>
          <w:rFonts w:hint="eastAsia" w:ascii="仿宋" w:hAnsi="仿宋" w:eastAsia="仿宋" w:cs="仿宋"/>
          <w:color w:val="auto"/>
          <w:spacing w:val="-2"/>
          <w:kern w:val="0"/>
          <w:sz w:val="24"/>
          <w:szCs w:val="24"/>
          <w:highlight w:val="none"/>
        </w:rPr>
        <w:t>有</w:t>
      </w:r>
      <w:r>
        <w:rPr>
          <w:rFonts w:hint="eastAsia" w:ascii="仿宋" w:hAnsi="仿宋" w:eastAsia="仿宋" w:cs="仿宋"/>
          <w:color w:val="auto"/>
          <w:kern w:val="0"/>
          <w:sz w:val="24"/>
          <w:szCs w:val="24"/>
          <w:highlight w:val="none"/>
        </w:rPr>
        <w:t>明显文字和计算</w:t>
      </w:r>
      <w:r>
        <w:rPr>
          <w:rFonts w:hint="eastAsia" w:ascii="仿宋" w:hAnsi="仿宋" w:eastAsia="仿宋" w:cs="仿宋"/>
          <w:color w:val="auto"/>
          <w:spacing w:val="-2"/>
          <w:kern w:val="0"/>
          <w:sz w:val="24"/>
          <w:szCs w:val="24"/>
          <w:highlight w:val="none"/>
        </w:rPr>
        <w:t>错</w:t>
      </w:r>
      <w:r>
        <w:rPr>
          <w:rFonts w:hint="eastAsia" w:ascii="仿宋" w:hAnsi="仿宋" w:eastAsia="仿宋" w:cs="仿宋"/>
          <w:color w:val="auto"/>
          <w:kern w:val="0"/>
          <w:sz w:val="24"/>
          <w:szCs w:val="24"/>
          <w:highlight w:val="none"/>
        </w:rPr>
        <w:t>误的</w:t>
      </w:r>
      <w:r>
        <w:rPr>
          <w:rFonts w:hint="eastAsia" w:ascii="仿宋" w:hAnsi="仿宋" w:eastAsia="仿宋" w:cs="仿宋"/>
          <w:color w:val="auto"/>
          <w:spacing w:val="-2"/>
          <w:kern w:val="0"/>
          <w:sz w:val="24"/>
          <w:szCs w:val="24"/>
          <w:highlight w:val="none"/>
        </w:rPr>
        <w:t>内</w:t>
      </w:r>
      <w:r>
        <w:rPr>
          <w:rFonts w:hint="eastAsia" w:ascii="仿宋" w:hAnsi="仿宋" w:eastAsia="仿宋" w:cs="仿宋"/>
          <w:color w:val="auto"/>
          <w:kern w:val="0"/>
          <w:sz w:val="24"/>
          <w:szCs w:val="24"/>
          <w:highlight w:val="none"/>
        </w:rPr>
        <w:t>容作必要的澄</w:t>
      </w:r>
      <w:r>
        <w:rPr>
          <w:rFonts w:hint="eastAsia" w:ascii="仿宋" w:hAnsi="仿宋" w:eastAsia="仿宋" w:cs="仿宋"/>
          <w:color w:val="auto"/>
          <w:spacing w:val="1"/>
          <w:kern w:val="0"/>
          <w:sz w:val="24"/>
          <w:szCs w:val="24"/>
          <w:highlight w:val="none"/>
        </w:rPr>
        <w:t>清</w:t>
      </w:r>
      <w:r>
        <w:rPr>
          <w:rFonts w:hint="eastAsia" w:ascii="仿宋" w:hAnsi="仿宋" w:eastAsia="仿宋" w:cs="仿宋"/>
          <w:color w:val="auto"/>
          <w:spacing w:val="-2"/>
          <w:kern w:val="0"/>
          <w:sz w:val="24"/>
          <w:szCs w:val="24"/>
          <w:highlight w:val="none"/>
        </w:rPr>
        <w:t>、</w:t>
      </w:r>
      <w:r>
        <w:rPr>
          <w:rFonts w:hint="eastAsia" w:ascii="仿宋" w:hAnsi="仿宋" w:eastAsia="仿宋" w:cs="仿宋"/>
          <w:color w:val="auto"/>
          <w:kern w:val="0"/>
          <w:sz w:val="24"/>
          <w:szCs w:val="24"/>
          <w:highlight w:val="none"/>
        </w:rPr>
        <w:t>说明</w:t>
      </w:r>
      <w:r>
        <w:rPr>
          <w:rFonts w:hint="eastAsia" w:ascii="仿宋" w:hAnsi="仿宋" w:eastAsia="仿宋" w:cs="仿宋"/>
          <w:color w:val="auto"/>
          <w:spacing w:val="-2"/>
          <w:kern w:val="0"/>
          <w:sz w:val="24"/>
          <w:szCs w:val="24"/>
          <w:highlight w:val="none"/>
        </w:rPr>
        <w:t>或</w:t>
      </w:r>
      <w:r>
        <w:rPr>
          <w:rFonts w:hint="eastAsia" w:ascii="仿宋" w:hAnsi="仿宋" w:eastAsia="仿宋" w:cs="仿宋"/>
          <w:color w:val="auto"/>
          <w:kern w:val="0"/>
          <w:sz w:val="24"/>
          <w:szCs w:val="24"/>
          <w:highlight w:val="none"/>
        </w:rPr>
        <w:t>补正。澄</w:t>
      </w:r>
      <w:r>
        <w:rPr>
          <w:rFonts w:hint="eastAsia" w:ascii="仿宋" w:hAnsi="仿宋" w:eastAsia="仿宋" w:cs="仿宋"/>
          <w:color w:val="auto"/>
          <w:spacing w:val="1"/>
          <w:kern w:val="0"/>
          <w:sz w:val="24"/>
          <w:szCs w:val="24"/>
          <w:highlight w:val="none"/>
        </w:rPr>
        <w:t>清</w:t>
      </w:r>
      <w:r>
        <w:rPr>
          <w:rFonts w:hint="eastAsia" w:ascii="仿宋" w:hAnsi="仿宋" w:eastAsia="仿宋" w:cs="仿宋"/>
          <w:color w:val="auto"/>
          <w:kern w:val="0"/>
          <w:sz w:val="24"/>
          <w:szCs w:val="24"/>
          <w:highlight w:val="none"/>
        </w:rPr>
        <w:t>、</w:t>
      </w:r>
      <w:r>
        <w:rPr>
          <w:rFonts w:hint="eastAsia" w:ascii="仿宋" w:hAnsi="仿宋" w:eastAsia="仿宋" w:cs="仿宋"/>
          <w:color w:val="auto"/>
          <w:spacing w:val="-2"/>
          <w:kern w:val="0"/>
          <w:sz w:val="24"/>
          <w:szCs w:val="24"/>
          <w:highlight w:val="none"/>
        </w:rPr>
        <w:t>说</w:t>
      </w:r>
      <w:r>
        <w:rPr>
          <w:rFonts w:hint="eastAsia" w:ascii="仿宋" w:hAnsi="仿宋" w:eastAsia="仿宋" w:cs="仿宋"/>
          <w:color w:val="auto"/>
          <w:kern w:val="0"/>
          <w:sz w:val="24"/>
          <w:szCs w:val="24"/>
          <w:highlight w:val="none"/>
        </w:rPr>
        <w:t>明或补</w:t>
      </w:r>
      <w:r>
        <w:rPr>
          <w:rFonts w:hint="eastAsia" w:ascii="仿宋" w:hAnsi="仿宋" w:eastAsia="仿宋" w:cs="仿宋"/>
          <w:color w:val="auto"/>
          <w:spacing w:val="-2"/>
          <w:kern w:val="0"/>
          <w:sz w:val="24"/>
          <w:szCs w:val="24"/>
          <w:highlight w:val="none"/>
        </w:rPr>
        <w:t>正</w:t>
      </w:r>
      <w:r>
        <w:rPr>
          <w:rFonts w:hint="eastAsia" w:ascii="仿宋" w:hAnsi="仿宋" w:eastAsia="仿宋" w:cs="仿宋"/>
          <w:color w:val="auto"/>
          <w:kern w:val="0"/>
          <w:sz w:val="24"/>
          <w:szCs w:val="24"/>
          <w:highlight w:val="none"/>
        </w:rPr>
        <w:t>应</w:t>
      </w:r>
      <w:r>
        <w:rPr>
          <w:rFonts w:hint="eastAsia" w:ascii="仿宋" w:hAnsi="仿宋" w:eastAsia="仿宋" w:cs="仿宋"/>
          <w:color w:val="auto"/>
          <w:spacing w:val="-2"/>
          <w:kern w:val="0"/>
          <w:sz w:val="24"/>
          <w:szCs w:val="24"/>
          <w:highlight w:val="none"/>
        </w:rPr>
        <w:t>以</w:t>
      </w:r>
      <w:r>
        <w:rPr>
          <w:rFonts w:hint="eastAsia" w:ascii="仿宋" w:hAnsi="仿宋" w:eastAsia="仿宋" w:cs="仿宋"/>
          <w:color w:val="auto"/>
          <w:kern w:val="0"/>
          <w:sz w:val="24"/>
          <w:szCs w:val="24"/>
          <w:highlight w:val="none"/>
        </w:rPr>
        <w:t>书</w:t>
      </w:r>
      <w:r>
        <w:rPr>
          <w:rFonts w:hint="eastAsia" w:ascii="仿宋" w:hAnsi="仿宋" w:eastAsia="仿宋" w:cs="仿宋"/>
          <w:color w:val="auto"/>
          <w:spacing w:val="-2"/>
          <w:kern w:val="0"/>
          <w:sz w:val="24"/>
          <w:szCs w:val="24"/>
          <w:highlight w:val="none"/>
        </w:rPr>
        <w:t>面</w:t>
      </w:r>
      <w:r>
        <w:rPr>
          <w:rFonts w:hint="eastAsia" w:ascii="仿宋" w:hAnsi="仿宋" w:eastAsia="仿宋" w:cs="仿宋"/>
          <w:color w:val="auto"/>
          <w:kern w:val="0"/>
          <w:sz w:val="24"/>
          <w:szCs w:val="24"/>
          <w:highlight w:val="none"/>
        </w:rPr>
        <w:t>方</w:t>
      </w:r>
      <w:r>
        <w:rPr>
          <w:rFonts w:hint="eastAsia" w:ascii="仿宋" w:hAnsi="仿宋" w:eastAsia="仿宋" w:cs="仿宋"/>
          <w:color w:val="auto"/>
          <w:spacing w:val="-2"/>
          <w:kern w:val="0"/>
          <w:sz w:val="24"/>
          <w:szCs w:val="24"/>
          <w:highlight w:val="none"/>
        </w:rPr>
        <w:t>式</w:t>
      </w:r>
      <w:r>
        <w:rPr>
          <w:rFonts w:hint="eastAsia" w:ascii="仿宋" w:hAnsi="仿宋" w:eastAsia="仿宋" w:cs="仿宋"/>
          <w:color w:val="auto"/>
          <w:kern w:val="0"/>
          <w:sz w:val="24"/>
          <w:szCs w:val="24"/>
          <w:highlight w:val="none"/>
        </w:rPr>
        <w:t>进</w:t>
      </w:r>
      <w:r>
        <w:rPr>
          <w:rFonts w:hint="eastAsia" w:ascii="仿宋" w:hAnsi="仿宋" w:eastAsia="仿宋" w:cs="仿宋"/>
          <w:color w:val="auto"/>
          <w:spacing w:val="-2"/>
          <w:kern w:val="0"/>
          <w:sz w:val="24"/>
          <w:szCs w:val="24"/>
          <w:highlight w:val="none"/>
        </w:rPr>
        <w:t>行</w:t>
      </w:r>
      <w:r>
        <w:rPr>
          <w:rFonts w:hint="eastAsia" w:ascii="仿宋" w:hAnsi="仿宋" w:eastAsia="仿宋" w:cs="仿宋"/>
          <w:color w:val="auto"/>
          <w:sz w:val="24"/>
          <w:szCs w:val="24"/>
          <w:highlight w:val="none"/>
        </w:rPr>
        <w:t>，并加盖公章，或者由法定代表人或其授权的代表签字</w:t>
      </w:r>
      <w:r>
        <w:rPr>
          <w:rFonts w:hint="eastAsia" w:ascii="仿宋" w:hAnsi="仿宋" w:eastAsia="仿宋" w:cs="仿宋"/>
          <w:color w:val="auto"/>
          <w:kern w:val="0"/>
          <w:sz w:val="24"/>
          <w:szCs w:val="24"/>
          <w:highlight w:val="none"/>
        </w:rPr>
        <w:t>。评审小组</w:t>
      </w:r>
      <w:r>
        <w:rPr>
          <w:rFonts w:hint="eastAsia" w:ascii="仿宋" w:hAnsi="仿宋" w:eastAsia="仿宋" w:cs="仿宋"/>
          <w:color w:val="auto"/>
          <w:spacing w:val="-2"/>
          <w:kern w:val="0"/>
          <w:sz w:val="24"/>
          <w:szCs w:val="24"/>
          <w:highlight w:val="none"/>
        </w:rPr>
        <w:t>不</w:t>
      </w:r>
      <w:r>
        <w:rPr>
          <w:rFonts w:hint="eastAsia" w:ascii="仿宋" w:hAnsi="仿宋" w:eastAsia="仿宋" w:cs="仿宋"/>
          <w:color w:val="auto"/>
          <w:kern w:val="0"/>
          <w:sz w:val="24"/>
          <w:szCs w:val="24"/>
          <w:highlight w:val="none"/>
        </w:rPr>
        <w:t>接</w:t>
      </w:r>
      <w:r>
        <w:rPr>
          <w:rFonts w:hint="eastAsia" w:ascii="仿宋" w:hAnsi="仿宋" w:eastAsia="仿宋" w:cs="仿宋"/>
          <w:color w:val="auto"/>
          <w:spacing w:val="-2"/>
          <w:kern w:val="0"/>
          <w:sz w:val="24"/>
          <w:szCs w:val="24"/>
          <w:highlight w:val="none"/>
        </w:rPr>
        <w:t>受</w:t>
      </w:r>
      <w:r>
        <w:rPr>
          <w:rFonts w:hint="eastAsia" w:ascii="仿宋" w:hAnsi="仿宋" w:eastAsia="仿宋" w:cs="仿宋"/>
          <w:color w:val="auto"/>
          <w:kern w:val="0"/>
          <w:sz w:val="24"/>
          <w:szCs w:val="24"/>
          <w:highlight w:val="none"/>
        </w:rPr>
        <w:t>供应商主</w:t>
      </w:r>
      <w:r>
        <w:rPr>
          <w:rFonts w:hint="eastAsia" w:ascii="仿宋" w:hAnsi="仿宋" w:eastAsia="仿宋" w:cs="仿宋"/>
          <w:color w:val="auto"/>
          <w:spacing w:val="-2"/>
          <w:kern w:val="0"/>
          <w:sz w:val="24"/>
          <w:szCs w:val="24"/>
          <w:highlight w:val="none"/>
        </w:rPr>
        <w:t>动</w:t>
      </w:r>
      <w:r>
        <w:rPr>
          <w:rFonts w:hint="eastAsia" w:ascii="仿宋" w:hAnsi="仿宋" w:eastAsia="仿宋" w:cs="仿宋"/>
          <w:color w:val="auto"/>
          <w:kern w:val="0"/>
          <w:sz w:val="24"/>
          <w:szCs w:val="24"/>
          <w:highlight w:val="none"/>
        </w:rPr>
        <w:t>提</w:t>
      </w:r>
      <w:r>
        <w:rPr>
          <w:rFonts w:hint="eastAsia" w:ascii="仿宋" w:hAnsi="仿宋" w:eastAsia="仿宋" w:cs="仿宋"/>
          <w:color w:val="auto"/>
          <w:spacing w:val="-2"/>
          <w:kern w:val="0"/>
          <w:sz w:val="24"/>
          <w:szCs w:val="24"/>
          <w:highlight w:val="none"/>
        </w:rPr>
        <w:t>出</w:t>
      </w:r>
      <w:r>
        <w:rPr>
          <w:rFonts w:hint="eastAsia" w:ascii="仿宋" w:hAnsi="仿宋" w:eastAsia="仿宋" w:cs="仿宋"/>
          <w:color w:val="auto"/>
          <w:kern w:val="0"/>
          <w:sz w:val="24"/>
          <w:szCs w:val="24"/>
          <w:highlight w:val="none"/>
        </w:rPr>
        <w:t>的</w:t>
      </w:r>
      <w:r>
        <w:rPr>
          <w:rFonts w:hint="eastAsia" w:ascii="仿宋" w:hAnsi="仿宋" w:eastAsia="仿宋" w:cs="仿宋"/>
          <w:color w:val="auto"/>
          <w:spacing w:val="-2"/>
          <w:kern w:val="0"/>
          <w:sz w:val="24"/>
          <w:szCs w:val="24"/>
          <w:highlight w:val="none"/>
        </w:rPr>
        <w:t>澄</w:t>
      </w:r>
      <w:r>
        <w:rPr>
          <w:rFonts w:hint="eastAsia" w:ascii="仿宋" w:hAnsi="仿宋" w:eastAsia="仿宋" w:cs="仿宋"/>
          <w:color w:val="auto"/>
          <w:kern w:val="0"/>
          <w:sz w:val="24"/>
          <w:szCs w:val="24"/>
          <w:highlight w:val="none"/>
        </w:rPr>
        <w:t>清</w:t>
      </w:r>
      <w:r>
        <w:rPr>
          <w:rFonts w:hint="eastAsia" w:ascii="仿宋" w:hAnsi="仿宋" w:eastAsia="仿宋" w:cs="仿宋"/>
          <w:color w:val="auto"/>
          <w:spacing w:val="-2"/>
          <w:kern w:val="0"/>
          <w:sz w:val="24"/>
          <w:szCs w:val="24"/>
          <w:highlight w:val="none"/>
        </w:rPr>
        <w:t>、</w:t>
      </w:r>
      <w:r>
        <w:rPr>
          <w:rFonts w:hint="eastAsia" w:ascii="仿宋" w:hAnsi="仿宋" w:eastAsia="仿宋" w:cs="仿宋"/>
          <w:color w:val="auto"/>
          <w:kern w:val="0"/>
          <w:sz w:val="24"/>
          <w:szCs w:val="24"/>
          <w:highlight w:val="none"/>
        </w:rPr>
        <w:t>说</w:t>
      </w:r>
      <w:r>
        <w:rPr>
          <w:rFonts w:hint="eastAsia" w:ascii="仿宋" w:hAnsi="仿宋" w:eastAsia="仿宋" w:cs="仿宋"/>
          <w:color w:val="auto"/>
          <w:spacing w:val="-2"/>
          <w:kern w:val="0"/>
          <w:sz w:val="24"/>
          <w:szCs w:val="24"/>
          <w:highlight w:val="none"/>
        </w:rPr>
        <w:t>明</w:t>
      </w:r>
      <w:r>
        <w:rPr>
          <w:rFonts w:hint="eastAsia" w:ascii="仿宋" w:hAnsi="仿宋" w:eastAsia="仿宋" w:cs="仿宋"/>
          <w:color w:val="auto"/>
          <w:kern w:val="0"/>
          <w:sz w:val="24"/>
          <w:szCs w:val="24"/>
          <w:highlight w:val="none"/>
        </w:rPr>
        <w:t>或补</w:t>
      </w:r>
      <w:r>
        <w:rPr>
          <w:rFonts w:hint="eastAsia" w:ascii="仿宋" w:hAnsi="仿宋" w:eastAsia="仿宋" w:cs="仿宋"/>
          <w:color w:val="auto"/>
          <w:spacing w:val="-2"/>
          <w:kern w:val="0"/>
          <w:sz w:val="24"/>
          <w:szCs w:val="24"/>
          <w:highlight w:val="none"/>
        </w:rPr>
        <w:t>正</w:t>
      </w:r>
      <w:r>
        <w:rPr>
          <w:rFonts w:hint="eastAsia" w:ascii="仿宋" w:hAnsi="仿宋" w:eastAsia="仿宋" w:cs="仿宋"/>
          <w:color w:val="auto"/>
          <w:kern w:val="0"/>
          <w:sz w:val="24"/>
          <w:szCs w:val="24"/>
          <w:highlight w:val="none"/>
        </w:rPr>
        <w:t>。</w:t>
      </w:r>
    </w:p>
    <w:p>
      <w:pPr>
        <w:shd w:val="clea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3.3.2 澄清</w:t>
      </w:r>
      <w:r>
        <w:rPr>
          <w:rFonts w:hint="eastAsia" w:ascii="仿宋" w:hAnsi="仿宋" w:eastAsia="仿宋" w:cs="仿宋"/>
          <w:color w:val="auto"/>
          <w:spacing w:val="-41"/>
          <w:kern w:val="0"/>
          <w:sz w:val="24"/>
          <w:szCs w:val="24"/>
          <w:highlight w:val="none"/>
        </w:rPr>
        <w:t>、</w:t>
      </w:r>
      <w:r>
        <w:rPr>
          <w:rFonts w:hint="eastAsia" w:ascii="仿宋" w:hAnsi="仿宋" w:eastAsia="仿宋" w:cs="仿宋"/>
          <w:color w:val="auto"/>
          <w:kern w:val="0"/>
          <w:sz w:val="24"/>
          <w:szCs w:val="24"/>
          <w:highlight w:val="none"/>
        </w:rPr>
        <w:t>说</w:t>
      </w:r>
      <w:r>
        <w:rPr>
          <w:rFonts w:hint="eastAsia" w:ascii="仿宋" w:hAnsi="仿宋" w:eastAsia="仿宋" w:cs="仿宋"/>
          <w:color w:val="auto"/>
          <w:spacing w:val="-2"/>
          <w:kern w:val="0"/>
          <w:sz w:val="24"/>
          <w:szCs w:val="24"/>
          <w:highlight w:val="none"/>
        </w:rPr>
        <w:t>明</w:t>
      </w:r>
      <w:r>
        <w:rPr>
          <w:rFonts w:hint="eastAsia" w:ascii="仿宋" w:hAnsi="仿宋" w:eastAsia="仿宋" w:cs="仿宋"/>
          <w:color w:val="auto"/>
          <w:kern w:val="0"/>
          <w:sz w:val="24"/>
          <w:szCs w:val="24"/>
          <w:highlight w:val="none"/>
        </w:rPr>
        <w:t>或</w:t>
      </w:r>
      <w:r>
        <w:rPr>
          <w:rFonts w:hint="eastAsia" w:ascii="仿宋" w:hAnsi="仿宋" w:eastAsia="仿宋" w:cs="仿宋"/>
          <w:color w:val="auto"/>
          <w:spacing w:val="-2"/>
          <w:kern w:val="0"/>
          <w:sz w:val="24"/>
          <w:szCs w:val="24"/>
          <w:highlight w:val="none"/>
        </w:rPr>
        <w:t>补</w:t>
      </w:r>
      <w:r>
        <w:rPr>
          <w:rFonts w:hint="eastAsia" w:ascii="仿宋" w:hAnsi="仿宋" w:eastAsia="仿宋" w:cs="仿宋"/>
          <w:color w:val="auto"/>
          <w:kern w:val="0"/>
          <w:sz w:val="24"/>
          <w:szCs w:val="24"/>
          <w:highlight w:val="none"/>
        </w:rPr>
        <w:t>正</w:t>
      </w:r>
      <w:r>
        <w:rPr>
          <w:rFonts w:hint="eastAsia" w:ascii="仿宋" w:hAnsi="仿宋" w:eastAsia="仿宋" w:cs="仿宋"/>
          <w:color w:val="auto"/>
          <w:spacing w:val="-2"/>
          <w:kern w:val="0"/>
          <w:sz w:val="24"/>
          <w:szCs w:val="24"/>
          <w:highlight w:val="none"/>
        </w:rPr>
        <w:t>不</w:t>
      </w:r>
      <w:r>
        <w:rPr>
          <w:rFonts w:hint="eastAsia" w:ascii="仿宋" w:hAnsi="仿宋" w:eastAsia="仿宋" w:cs="仿宋"/>
          <w:color w:val="auto"/>
          <w:kern w:val="0"/>
          <w:sz w:val="24"/>
          <w:szCs w:val="24"/>
          <w:highlight w:val="none"/>
        </w:rPr>
        <w:t>得超</w:t>
      </w:r>
      <w:r>
        <w:rPr>
          <w:rFonts w:hint="eastAsia" w:ascii="仿宋" w:hAnsi="仿宋" w:eastAsia="仿宋" w:cs="仿宋"/>
          <w:color w:val="auto"/>
          <w:spacing w:val="-2"/>
          <w:kern w:val="0"/>
          <w:sz w:val="24"/>
          <w:szCs w:val="24"/>
          <w:highlight w:val="none"/>
        </w:rPr>
        <w:t>出</w:t>
      </w:r>
      <w:r>
        <w:rPr>
          <w:rFonts w:hint="eastAsia" w:ascii="仿宋" w:hAnsi="仿宋" w:eastAsia="仿宋" w:cs="仿宋"/>
          <w:color w:val="auto"/>
          <w:kern w:val="0"/>
          <w:sz w:val="24"/>
          <w:szCs w:val="24"/>
          <w:highlight w:val="none"/>
        </w:rPr>
        <w:t>响应文件的</w:t>
      </w:r>
      <w:r>
        <w:rPr>
          <w:rFonts w:hint="eastAsia" w:ascii="仿宋" w:hAnsi="仿宋" w:eastAsia="仿宋" w:cs="仿宋"/>
          <w:color w:val="auto"/>
          <w:spacing w:val="-2"/>
          <w:kern w:val="0"/>
          <w:sz w:val="24"/>
          <w:szCs w:val="24"/>
          <w:highlight w:val="none"/>
        </w:rPr>
        <w:t>范</w:t>
      </w:r>
      <w:r>
        <w:rPr>
          <w:rFonts w:hint="eastAsia" w:ascii="仿宋" w:hAnsi="仿宋" w:eastAsia="仿宋" w:cs="仿宋"/>
          <w:color w:val="auto"/>
          <w:kern w:val="0"/>
          <w:sz w:val="24"/>
          <w:szCs w:val="24"/>
          <w:highlight w:val="none"/>
        </w:rPr>
        <w:t>围</w:t>
      </w:r>
      <w:r>
        <w:rPr>
          <w:rFonts w:hint="eastAsia" w:ascii="仿宋" w:hAnsi="仿宋" w:eastAsia="仿宋" w:cs="仿宋"/>
          <w:color w:val="auto"/>
          <w:spacing w:val="-2"/>
          <w:kern w:val="0"/>
          <w:sz w:val="24"/>
          <w:szCs w:val="24"/>
          <w:highlight w:val="none"/>
        </w:rPr>
        <w:t>且</w:t>
      </w:r>
      <w:r>
        <w:rPr>
          <w:rFonts w:hint="eastAsia" w:ascii="仿宋" w:hAnsi="仿宋" w:eastAsia="仿宋" w:cs="仿宋"/>
          <w:color w:val="auto"/>
          <w:kern w:val="0"/>
          <w:sz w:val="24"/>
          <w:szCs w:val="24"/>
          <w:highlight w:val="none"/>
        </w:rPr>
        <w:t>不得</w:t>
      </w:r>
      <w:r>
        <w:rPr>
          <w:rFonts w:hint="eastAsia" w:ascii="仿宋" w:hAnsi="仿宋" w:eastAsia="仿宋" w:cs="仿宋"/>
          <w:color w:val="auto"/>
          <w:spacing w:val="-2"/>
          <w:kern w:val="0"/>
          <w:sz w:val="24"/>
          <w:szCs w:val="24"/>
          <w:highlight w:val="none"/>
        </w:rPr>
        <w:t>改</w:t>
      </w:r>
      <w:r>
        <w:rPr>
          <w:rFonts w:hint="eastAsia" w:ascii="仿宋" w:hAnsi="仿宋" w:eastAsia="仿宋" w:cs="仿宋"/>
          <w:color w:val="auto"/>
          <w:kern w:val="0"/>
          <w:sz w:val="24"/>
          <w:szCs w:val="24"/>
          <w:highlight w:val="none"/>
        </w:rPr>
        <w:t>变</w:t>
      </w:r>
      <w:r>
        <w:rPr>
          <w:rFonts w:hint="eastAsia" w:ascii="仿宋" w:hAnsi="仿宋" w:eastAsia="仿宋" w:cs="仿宋"/>
          <w:color w:val="auto"/>
          <w:spacing w:val="-2"/>
          <w:kern w:val="0"/>
          <w:sz w:val="24"/>
          <w:szCs w:val="24"/>
          <w:highlight w:val="none"/>
        </w:rPr>
        <w:t>响应文件的</w:t>
      </w:r>
      <w:r>
        <w:rPr>
          <w:rFonts w:hint="eastAsia" w:ascii="仿宋" w:hAnsi="仿宋" w:eastAsia="仿宋" w:cs="仿宋"/>
          <w:color w:val="auto"/>
          <w:kern w:val="0"/>
          <w:sz w:val="24"/>
          <w:szCs w:val="24"/>
          <w:highlight w:val="none"/>
        </w:rPr>
        <w:t>实</w:t>
      </w:r>
      <w:r>
        <w:rPr>
          <w:rFonts w:hint="eastAsia" w:ascii="仿宋" w:hAnsi="仿宋" w:eastAsia="仿宋" w:cs="仿宋"/>
          <w:color w:val="auto"/>
          <w:spacing w:val="-2"/>
          <w:kern w:val="0"/>
          <w:sz w:val="24"/>
          <w:szCs w:val="24"/>
          <w:highlight w:val="none"/>
        </w:rPr>
        <w:t>质</w:t>
      </w:r>
      <w:r>
        <w:rPr>
          <w:rFonts w:hint="eastAsia" w:ascii="仿宋" w:hAnsi="仿宋" w:eastAsia="仿宋" w:cs="仿宋"/>
          <w:color w:val="auto"/>
          <w:kern w:val="0"/>
          <w:sz w:val="24"/>
          <w:szCs w:val="24"/>
          <w:highlight w:val="none"/>
        </w:rPr>
        <w:t>性内</w:t>
      </w:r>
      <w:r>
        <w:rPr>
          <w:rFonts w:hint="eastAsia" w:ascii="仿宋" w:hAnsi="仿宋" w:eastAsia="仿宋" w:cs="仿宋"/>
          <w:color w:val="auto"/>
          <w:spacing w:val="-2"/>
          <w:kern w:val="0"/>
          <w:sz w:val="24"/>
          <w:szCs w:val="24"/>
          <w:highlight w:val="none"/>
        </w:rPr>
        <w:t>容</w:t>
      </w:r>
      <w:r>
        <w:rPr>
          <w:rFonts w:hint="eastAsia" w:ascii="仿宋" w:hAnsi="仿宋" w:eastAsia="仿宋" w:cs="仿宋"/>
          <w:color w:val="auto"/>
          <w:spacing w:val="-38"/>
          <w:kern w:val="0"/>
          <w:sz w:val="24"/>
          <w:szCs w:val="24"/>
          <w:highlight w:val="none"/>
        </w:rPr>
        <w:t>，</w:t>
      </w:r>
      <w:r>
        <w:rPr>
          <w:rFonts w:hint="eastAsia" w:ascii="仿宋" w:hAnsi="仿宋" w:eastAsia="仿宋" w:cs="仿宋"/>
          <w:color w:val="auto"/>
          <w:spacing w:val="-2"/>
          <w:kern w:val="0"/>
          <w:sz w:val="24"/>
          <w:szCs w:val="24"/>
          <w:highlight w:val="none"/>
        </w:rPr>
        <w:t>并</w:t>
      </w:r>
      <w:r>
        <w:rPr>
          <w:rFonts w:hint="eastAsia" w:ascii="仿宋" w:hAnsi="仿宋" w:eastAsia="仿宋" w:cs="仿宋"/>
          <w:color w:val="auto"/>
          <w:kern w:val="0"/>
          <w:sz w:val="24"/>
          <w:szCs w:val="24"/>
          <w:highlight w:val="none"/>
        </w:rPr>
        <w:t>构成响应文件的</w:t>
      </w:r>
      <w:r>
        <w:rPr>
          <w:rFonts w:hint="eastAsia" w:ascii="仿宋" w:hAnsi="仿宋" w:eastAsia="仿宋" w:cs="仿宋"/>
          <w:color w:val="auto"/>
          <w:spacing w:val="-2"/>
          <w:kern w:val="0"/>
          <w:sz w:val="24"/>
          <w:szCs w:val="24"/>
          <w:highlight w:val="none"/>
        </w:rPr>
        <w:t>组</w:t>
      </w:r>
      <w:r>
        <w:rPr>
          <w:rFonts w:hint="eastAsia" w:ascii="仿宋" w:hAnsi="仿宋" w:eastAsia="仿宋" w:cs="仿宋"/>
          <w:color w:val="auto"/>
          <w:kern w:val="0"/>
          <w:sz w:val="24"/>
          <w:szCs w:val="24"/>
          <w:highlight w:val="none"/>
        </w:rPr>
        <w:t>成</w:t>
      </w:r>
      <w:r>
        <w:rPr>
          <w:rFonts w:hint="eastAsia" w:ascii="仿宋" w:hAnsi="仿宋" w:eastAsia="仿宋" w:cs="仿宋"/>
          <w:color w:val="auto"/>
          <w:spacing w:val="-2"/>
          <w:kern w:val="0"/>
          <w:sz w:val="24"/>
          <w:szCs w:val="24"/>
          <w:highlight w:val="none"/>
        </w:rPr>
        <w:t>部</w:t>
      </w:r>
      <w:r>
        <w:rPr>
          <w:rFonts w:hint="eastAsia" w:ascii="仿宋" w:hAnsi="仿宋" w:eastAsia="仿宋" w:cs="仿宋"/>
          <w:color w:val="auto"/>
          <w:kern w:val="0"/>
          <w:sz w:val="24"/>
          <w:szCs w:val="24"/>
          <w:highlight w:val="none"/>
        </w:rPr>
        <w:t>分。</w:t>
      </w:r>
    </w:p>
    <w:p>
      <w:pPr>
        <w:shd w:val="clea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3.3.3 评审小组</w:t>
      </w:r>
      <w:r>
        <w:rPr>
          <w:rFonts w:hint="eastAsia" w:ascii="仿宋" w:hAnsi="仿宋" w:eastAsia="仿宋" w:cs="仿宋"/>
          <w:color w:val="auto"/>
          <w:spacing w:val="-2"/>
          <w:kern w:val="0"/>
          <w:sz w:val="24"/>
          <w:szCs w:val="24"/>
          <w:highlight w:val="none"/>
        </w:rPr>
        <w:t>对</w:t>
      </w:r>
      <w:r>
        <w:rPr>
          <w:rFonts w:hint="eastAsia" w:ascii="仿宋" w:hAnsi="仿宋" w:eastAsia="仿宋" w:cs="仿宋"/>
          <w:color w:val="auto"/>
          <w:kern w:val="0"/>
          <w:sz w:val="24"/>
          <w:szCs w:val="24"/>
          <w:highlight w:val="none"/>
        </w:rPr>
        <w:t>供应商提交</w:t>
      </w:r>
      <w:r>
        <w:rPr>
          <w:rFonts w:hint="eastAsia" w:ascii="仿宋" w:hAnsi="仿宋" w:eastAsia="仿宋" w:cs="仿宋"/>
          <w:color w:val="auto"/>
          <w:spacing w:val="-2"/>
          <w:kern w:val="0"/>
          <w:sz w:val="24"/>
          <w:szCs w:val="24"/>
          <w:highlight w:val="none"/>
        </w:rPr>
        <w:t>的</w:t>
      </w:r>
      <w:r>
        <w:rPr>
          <w:rFonts w:hint="eastAsia" w:ascii="仿宋" w:hAnsi="仿宋" w:eastAsia="仿宋" w:cs="仿宋"/>
          <w:color w:val="auto"/>
          <w:kern w:val="0"/>
          <w:sz w:val="24"/>
          <w:szCs w:val="24"/>
          <w:highlight w:val="none"/>
        </w:rPr>
        <w:t>澄清</w:t>
      </w:r>
      <w:r>
        <w:rPr>
          <w:rFonts w:hint="eastAsia" w:ascii="仿宋" w:hAnsi="仿宋" w:eastAsia="仿宋" w:cs="仿宋"/>
          <w:color w:val="auto"/>
          <w:spacing w:val="-94"/>
          <w:kern w:val="0"/>
          <w:sz w:val="24"/>
          <w:szCs w:val="24"/>
          <w:highlight w:val="none"/>
        </w:rPr>
        <w:t>、</w:t>
      </w:r>
      <w:r>
        <w:rPr>
          <w:rFonts w:hint="eastAsia" w:ascii="仿宋" w:hAnsi="仿宋" w:eastAsia="仿宋" w:cs="仿宋"/>
          <w:color w:val="auto"/>
          <w:kern w:val="0"/>
          <w:sz w:val="24"/>
          <w:szCs w:val="24"/>
          <w:highlight w:val="none"/>
        </w:rPr>
        <w:t>说</w:t>
      </w:r>
      <w:r>
        <w:rPr>
          <w:rFonts w:hint="eastAsia" w:ascii="仿宋" w:hAnsi="仿宋" w:eastAsia="仿宋" w:cs="仿宋"/>
          <w:color w:val="auto"/>
          <w:spacing w:val="-2"/>
          <w:kern w:val="0"/>
          <w:sz w:val="24"/>
          <w:szCs w:val="24"/>
          <w:highlight w:val="none"/>
        </w:rPr>
        <w:t>明</w:t>
      </w:r>
      <w:r>
        <w:rPr>
          <w:rFonts w:hint="eastAsia" w:ascii="仿宋" w:hAnsi="仿宋" w:eastAsia="仿宋" w:cs="仿宋"/>
          <w:color w:val="auto"/>
          <w:kern w:val="0"/>
          <w:sz w:val="24"/>
          <w:szCs w:val="24"/>
          <w:highlight w:val="none"/>
        </w:rPr>
        <w:t>或</w:t>
      </w:r>
      <w:r>
        <w:rPr>
          <w:rFonts w:hint="eastAsia" w:ascii="仿宋" w:hAnsi="仿宋" w:eastAsia="仿宋" w:cs="仿宋"/>
          <w:color w:val="auto"/>
          <w:spacing w:val="-2"/>
          <w:kern w:val="0"/>
          <w:sz w:val="24"/>
          <w:szCs w:val="24"/>
          <w:highlight w:val="none"/>
        </w:rPr>
        <w:t>补</w:t>
      </w:r>
      <w:r>
        <w:rPr>
          <w:rFonts w:hint="eastAsia" w:ascii="仿宋" w:hAnsi="仿宋" w:eastAsia="仿宋" w:cs="仿宋"/>
          <w:color w:val="auto"/>
          <w:kern w:val="0"/>
          <w:sz w:val="24"/>
          <w:szCs w:val="24"/>
          <w:highlight w:val="none"/>
        </w:rPr>
        <w:t>正</w:t>
      </w:r>
      <w:r>
        <w:rPr>
          <w:rFonts w:hint="eastAsia" w:ascii="仿宋" w:hAnsi="仿宋" w:eastAsia="仿宋" w:cs="仿宋"/>
          <w:color w:val="auto"/>
          <w:spacing w:val="-2"/>
          <w:kern w:val="0"/>
          <w:sz w:val="24"/>
          <w:szCs w:val="24"/>
          <w:highlight w:val="none"/>
        </w:rPr>
        <w:t>有</w:t>
      </w:r>
      <w:r>
        <w:rPr>
          <w:rFonts w:hint="eastAsia" w:ascii="仿宋" w:hAnsi="仿宋" w:eastAsia="仿宋" w:cs="仿宋"/>
          <w:color w:val="auto"/>
          <w:kern w:val="0"/>
          <w:sz w:val="24"/>
          <w:szCs w:val="24"/>
          <w:highlight w:val="none"/>
        </w:rPr>
        <w:t>疑问的</w:t>
      </w:r>
      <w:r>
        <w:rPr>
          <w:rFonts w:hint="eastAsia" w:ascii="仿宋" w:hAnsi="仿宋" w:eastAsia="仿宋" w:cs="仿宋"/>
          <w:color w:val="auto"/>
          <w:spacing w:val="-94"/>
          <w:kern w:val="0"/>
          <w:sz w:val="24"/>
          <w:szCs w:val="24"/>
          <w:highlight w:val="none"/>
        </w:rPr>
        <w:t>，</w:t>
      </w:r>
      <w:r>
        <w:rPr>
          <w:rFonts w:hint="eastAsia" w:ascii="仿宋" w:hAnsi="仿宋" w:eastAsia="仿宋" w:cs="仿宋"/>
          <w:color w:val="auto"/>
          <w:kern w:val="0"/>
          <w:sz w:val="24"/>
          <w:szCs w:val="24"/>
          <w:highlight w:val="none"/>
        </w:rPr>
        <w:t>可</w:t>
      </w:r>
      <w:r>
        <w:rPr>
          <w:rFonts w:hint="eastAsia" w:ascii="仿宋" w:hAnsi="仿宋" w:eastAsia="仿宋" w:cs="仿宋"/>
          <w:color w:val="auto"/>
          <w:spacing w:val="-2"/>
          <w:kern w:val="0"/>
          <w:sz w:val="24"/>
          <w:szCs w:val="24"/>
          <w:highlight w:val="none"/>
        </w:rPr>
        <w:t>以</w:t>
      </w:r>
      <w:r>
        <w:rPr>
          <w:rFonts w:hint="eastAsia" w:ascii="仿宋" w:hAnsi="仿宋" w:eastAsia="仿宋" w:cs="仿宋"/>
          <w:color w:val="auto"/>
          <w:kern w:val="0"/>
          <w:sz w:val="24"/>
          <w:szCs w:val="24"/>
          <w:highlight w:val="none"/>
        </w:rPr>
        <w:t>要</w:t>
      </w:r>
      <w:r>
        <w:rPr>
          <w:rFonts w:hint="eastAsia" w:ascii="仿宋" w:hAnsi="仿宋" w:eastAsia="仿宋" w:cs="仿宋"/>
          <w:color w:val="auto"/>
          <w:spacing w:val="-2"/>
          <w:kern w:val="0"/>
          <w:sz w:val="24"/>
          <w:szCs w:val="24"/>
          <w:highlight w:val="none"/>
        </w:rPr>
        <w:t>求</w:t>
      </w:r>
      <w:r>
        <w:rPr>
          <w:rFonts w:hint="eastAsia" w:ascii="仿宋" w:hAnsi="仿宋" w:eastAsia="仿宋" w:cs="仿宋"/>
          <w:color w:val="auto"/>
          <w:kern w:val="0"/>
          <w:sz w:val="24"/>
          <w:szCs w:val="24"/>
          <w:highlight w:val="none"/>
        </w:rPr>
        <w:t>供应商</w:t>
      </w:r>
      <w:r>
        <w:rPr>
          <w:rFonts w:hint="eastAsia" w:ascii="仿宋" w:hAnsi="仿宋" w:eastAsia="仿宋" w:cs="仿宋"/>
          <w:color w:val="auto"/>
          <w:spacing w:val="-2"/>
          <w:kern w:val="0"/>
          <w:sz w:val="24"/>
          <w:szCs w:val="24"/>
          <w:highlight w:val="none"/>
        </w:rPr>
        <w:t>进</w:t>
      </w:r>
      <w:r>
        <w:rPr>
          <w:rFonts w:hint="eastAsia" w:ascii="仿宋" w:hAnsi="仿宋" w:eastAsia="仿宋" w:cs="仿宋"/>
          <w:color w:val="auto"/>
          <w:kern w:val="0"/>
          <w:sz w:val="24"/>
          <w:szCs w:val="24"/>
          <w:highlight w:val="none"/>
        </w:rPr>
        <w:t>一步</w:t>
      </w:r>
      <w:r>
        <w:rPr>
          <w:rFonts w:hint="eastAsia" w:ascii="仿宋" w:hAnsi="仿宋" w:eastAsia="仿宋" w:cs="仿宋"/>
          <w:color w:val="auto"/>
          <w:spacing w:val="-2"/>
          <w:kern w:val="0"/>
          <w:sz w:val="24"/>
          <w:szCs w:val="24"/>
          <w:highlight w:val="none"/>
        </w:rPr>
        <w:t>澄</w:t>
      </w:r>
      <w:r>
        <w:rPr>
          <w:rFonts w:hint="eastAsia" w:ascii="仿宋" w:hAnsi="仿宋" w:eastAsia="仿宋" w:cs="仿宋"/>
          <w:color w:val="auto"/>
          <w:kern w:val="0"/>
          <w:sz w:val="24"/>
          <w:szCs w:val="24"/>
          <w:highlight w:val="none"/>
        </w:rPr>
        <w:t>清、说明</w:t>
      </w:r>
      <w:r>
        <w:rPr>
          <w:rFonts w:hint="eastAsia" w:ascii="仿宋" w:hAnsi="仿宋" w:eastAsia="仿宋" w:cs="仿宋"/>
          <w:color w:val="auto"/>
          <w:spacing w:val="-2"/>
          <w:kern w:val="0"/>
          <w:sz w:val="24"/>
          <w:szCs w:val="24"/>
          <w:highlight w:val="none"/>
        </w:rPr>
        <w:t>或</w:t>
      </w:r>
      <w:r>
        <w:rPr>
          <w:rFonts w:hint="eastAsia" w:ascii="仿宋" w:hAnsi="仿宋" w:eastAsia="仿宋" w:cs="仿宋"/>
          <w:color w:val="auto"/>
          <w:kern w:val="0"/>
          <w:sz w:val="24"/>
          <w:szCs w:val="24"/>
          <w:highlight w:val="none"/>
        </w:rPr>
        <w:t>补</w:t>
      </w:r>
      <w:r>
        <w:rPr>
          <w:rFonts w:hint="eastAsia" w:ascii="仿宋" w:hAnsi="仿宋" w:eastAsia="仿宋" w:cs="仿宋"/>
          <w:color w:val="auto"/>
          <w:spacing w:val="-3"/>
          <w:kern w:val="0"/>
          <w:sz w:val="24"/>
          <w:szCs w:val="24"/>
          <w:highlight w:val="none"/>
        </w:rPr>
        <w:t>正</w:t>
      </w:r>
      <w:r>
        <w:rPr>
          <w:rFonts w:hint="eastAsia" w:ascii="仿宋" w:hAnsi="仿宋" w:eastAsia="仿宋" w:cs="仿宋"/>
          <w:color w:val="auto"/>
          <w:kern w:val="0"/>
          <w:sz w:val="24"/>
          <w:szCs w:val="24"/>
          <w:highlight w:val="none"/>
        </w:rPr>
        <w:t>，</w:t>
      </w:r>
      <w:r>
        <w:rPr>
          <w:rFonts w:hint="eastAsia" w:ascii="仿宋" w:hAnsi="仿宋" w:eastAsia="仿宋" w:cs="仿宋"/>
          <w:color w:val="auto"/>
          <w:spacing w:val="-2"/>
          <w:kern w:val="0"/>
          <w:sz w:val="24"/>
          <w:szCs w:val="24"/>
          <w:highlight w:val="none"/>
        </w:rPr>
        <w:t>直</w:t>
      </w:r>
      <w:r>
        <w:rPr>
          <w:rFonts w:hint="eastAsia" w:ascii="仿宋" w:hAnsi="仿宋" w:eastAsia="仿宋" w:cs="仿宋"/>
          <w:color w:val="auto"/>
          <w:kern w:val="0"/>
          <w:sz w:val="24"/>
          <w:szCs w:val="24"/>
          <w:highlight w:val="none"/>
        </w:rPr>
        <w:t>至</w:t>
      </w:r>
      <w:r>
        <w:rPr>
          <w:rFonts w:hint="eastAsia" w:ascii="仿宋" w:hAnsi="仿宋" w:eastAsia="仿宋" w:cs="仿宋"/>
          <w:color w:val="auto"/>
          <w:spacing w:val="-2"/>
          <w:kern w:val="0"/>
          <w:sz w:val="24"/>
          <w:szCs w:val="24"/>
          <w:highlight w:val="none"/>
        </w:rPr>
        <w:t>满</w:t>
      </w:r>
      <w:r>
        <w:rPr>
          <w:rFonts w:hint="eastAsia" w:ascii="仿宋" w:hAnsi="仿宋" w:eastAsia="仿宋" w:cs="仿宋"/>
          <w:color w:val="auto"/>
          <w:kern w:val="0"/>
          <w:sz w:val="24"/>
          <w:szCs w:val="24"/>
          <w:highlight w:val="none"/>
        </w:rPr>
        <w:t>足</w:t>
      </w:r>
      <w:r>
        <w:rPr>
          <w:rFonts w:hint="eastAsia" w:ascii="仿宋" w:hAnsi="仿宋" w:eastAsia="仿宋" w:cs="仿宋"/>
          <w:color w:val="auto"/>
          <w:spacing w:val="-2"/>
          <w:kern w:val="0"/>
          <w:sz w:val="24"/>
          <w:szCs w:val="24"/>
          <w:highlight w:val="none"/>
        </w:rPr>
        <w:t>评审小组的</w:t>
      </w:r>
      <w:r>
        <w:rPr>
          <w:rFonts w:hint="eastAsia" w:ascii="仿宋" w:hAnsi="仿宋" w:eastAsia="仿宋" w:cs="仿宋"/>
          <w:color w:val="auto"/>
          <w:kern w:val="0"/>
          <w:sz w:val="24"/>
          <w:szCs w:val="24"/>
          <w:highlight w:val="none"/>
        </w:rPr>
        <w:t>要</w:t>
      </w:r>
      <w:r>
        <w:rPr>
          <w:rFonts w:hint="eastAsia" w:ascii="仿宋" w:hAnsi="仿宋" w:eastAsia="仿宋" w:cs="仿宋"/>
          <w:color w:val="auto"/>
          <w:spacing w:val="-2"/>
          <w:kern w:val="0"/>
          <w:sz w:val="24"/>
          <w:szCs w:val="24"/>
          <w:highlight w:val="none"/>
        </w:rPr>
        <w:t>求</w:t>
      </w:r>
      <w:r>
        <w:rPr>
          <w:rFonts w:hint="eastAsia" w:ascii="仿宋" w:hAnsi="仿宋" w:eastAsia="仿宋" w:cs="仿宋"/>
          <w:color w:val="auto"/>
          <w:kern w:val="0"/>
          <w:sz w:val="24"/>
          <w:szCs w:val="24"/>
          <w:highlight w:val="none"/>
        </w:rPr>
        <w:t>。</w:t>
      </w:r>
    </w:p>
    <w:p>
      <w:pPr>
        <w:pStyle w:val="6"/>
        <w:shd w:val="clear"/>
        <w:spacing w:before="0" w:after="0" w:line="360" w:lineRule="auto"/>
        <w:ind w:firstLine="482" w:firstLineChars="200"/>
        <w:rPr>
          <w:rFonts w:ascii="仿宋" w:hAnsi="仿宋" w:eastAsia="仿宋" w:cs="仿宋"/>
          <w:color w:val="auto"/>
          <w:sz w:val="24"/>
          <w:szCs w:val="24"/>
          <w:highlight w:val="none"/>
        </w:rPr>
      </w:pPr>
      <w:bookmarkStart w:id="569" w:name="_Toc12108"/>
      <w:bookmarkStart w:id="570" w:name="_Toc26739"/>
      <w:bookmarkStart w:id="571" w:name="_Toc25857"/>
      <w:bookmarkStart w:id="572" w:name="_Toc16597"/>
      <w:bookmarkStart w:id="573" w:name="_Toc21267"/>
      <w:bookmarkStart w:id="574" w:name="_Toc9486"/>
      <w:bookmarkStart w:id="575" w:name="_Toc23476"/>
      <w:bookmarkStart w:id="576" w:name="_Toc11695"/>
      <w:bookmarkStart w:id="577" w:name="_Toc10336"/>
      <w:bookmarkStart w:id="578" w:name="_Toc27845"/>
      <w:bookmarkStart w:id="579" w:name="_Toc19426"/>
      <w:bookmarkStart w:id="580" w:name="_Toc8318"/>
      <w:r>
        <w:rPr>
          <w:rFonts w:hint="eastAsia" w:ascii="仿宋" w:hAnsi="仿宋" w:eastAsia="仿宋" w:cs="仿宋"/>
          <w:color w:val="auto"/>
          <w:sz w:val="24"/>
          <w:szCs w:val="24"/>
          <w:highlight w:val="none"/>
        </w:rPr>
        <w:t>3.4 评审结果</w:t>
      </w:r>
      <w:bookmarkEnd w:id="569"/>
      <w:bookmarkEnd w:id="570"/>
      <w:bookmarkEnd w:id="571"/>
      <w:bookmarkEnd w:id="572"/>
      <w:bookmarkEnd w:id="573"/>
      <w:bookmarkEnd w:id="574"/>
      <w:bookmarkEnd w:id="575"/>
      <w:bookmarkEnd w:id="576"/>
      <w:bookmarkEnd w:id="577"/>
      <w:bookmarkEnd w:id="578"/>
      <w:bookmarkEnd w:id="579"/>
      <w:bookmarkEnd w:id="580"/>
    </w:p>
    <w:p>
      <w:pPr>
        <w:shd w:val="clea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3.4.1 </w:t>
      </w:r>
      <w:r>
        <w:rPr>
          <w:rFonts w:hint="eastAsia" w:ascii="仿宋" w:hAnsi="仿宋" w:eastAsia="仿宋" w:cs="仿宋"/>
          <w:color w:val="auto"/>
          <w:sz w:val="24"/>
          <w:szCs w:val="24"/>
          <w:highlight w:val="none"/>
        </w:rPr>
        <w:t>评审小组按照各评审专家质量评分的算术平均值得分由高到低的顺序推荐入围供应商，质量评分相同的，由评审小组随机抽取。</w:t>
      </w:r>
    </w:p>
    <w:p>
      <w:pPr>
        <w:shd w:val="clea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3.4.2评审小组完成评审后，应当根据征集文件规定的淘汰率或者入围供应商数量上限，确定入围供应商并向采购人提交书面评审报告。</w:t>
      </w:r>
    </w:p>
    <w:p>
      <w:pPr>
        <w:shd w:val="clea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br w:type="page"/>
      </w:r>
    </w:p>
    <w:p>
      <w:pPr>
        <w:shd w:val="clear"/>
        <w:rPr>
          <w:rStyle w:val="47"/>
          <w:rFonts w:ascii="仿宋" w:hAnsi="仿宋" w:eastAsia="仿宋" w:cs="仿宋"/>
          <w:color w:val="auto"/>
          <w:szCs w:val="22"/>
          <w:highlight w:val="none"/>
        </w:rPr>
      </w:pPr>
      <w:bookmarkStart w:id="581" w:name="_Toc312133549"/>
    </w:p>
    <w:p>
      <w:pPr>
        <w:pStyle w:val="4"/>
        <w:shd w:val="clear"/>
        <w:rPr>
          <w:rStyle w:val="47"/>
          <w:rFonts w:ascii="仿宋" w:hAnsi="仿宋" w:eastAsia="仿宋" w:cs="仿宋"/>
          <w:b/>
          <w:color w:val="auto"/>
          <w:szCs w:val="22"/>
          <w:highlight w:val="none"/>
        </w:rPr>
      </w:pPr>
      <w:bookmarkStart w:id="582" w:name="_Toc23290"/>
      <w:r>
        <w:rPr>
          <w:rStyle w:val="47"/>
          <w:rFonts w:hint="eastAsia" w:ascii="仿宋" w:hAnsi="仿宋" w:eastAsia="仿宋" w:cs="仿宋"/>
          <w:b/>
          <w:color w:val="auto"/>
          <w:szCs w:val="22"/>
          <w:highlight w:val="none"/>
        </w:rPr>
        <w:t>第四章 政府采购框架协议文本</w:t>
      </w:r>
      <w:bookmarkEnd w:id="582"/>
    </w:p>
    <w:bookmarkEnd w:id="581"/>
    <w:p>
      <w:pPr>
        <w:pStyle w:val="5"/>
        <w:numPr>
          <w:ilvl w:val="1"/>
          <w:numId w:val="0"/>
        </w:numPr>
        <w:shd w:val="clear"/>
        <w:tabs>
          <w:tab w:val="clear" w:pos="567"/>
        </w:tabs>
        <w:spacing w:before="0" w:after="0" w:line="360" w:lineRule="auto"/>
        <w:rPr>
          <w:rFonts w:ascii="仿宋" w:hAnsi="仿宋" w:eastAsia="仿宋" w:cs="仿宋"/>
          <w:color w:val="auto"/>
          <w:sz w:val="28"/>
          <w:szCs w:val="28"/>
          <w:highlight w:val="none"/>
        </w:rPr>
      </w:pPr>
      <w:bookmarkStart w:id="583" w:name="_Toc19783"/>
      <w:bookmarkStart w:id="584" w:name="_Toc1552"/>
      <w:r>
        <w:rPr>
          <w:rFonts w:hint="eastAsia" w:ascii="仿宋" w:hAnsi="仿宋" w:eastAsia="仿宋" w:cs="仿宋"/>
          <w:color w:val="auto"/>
          <w:sz w:val="28"/>
          <w:szCs w:val="28"/>
          <w:highlight w:val="none"/>
        </w:rPr>
        <w:t>第一阶段框架协议文本</w:t>
      </w:r>
      <w:bookmarkEnd w:id="583"/>
      <w:bookmarkEnd w:id="584"/>
    </w:p>
    <w:p>
      <w:pPr>
        <w:shd w:val="clear"/>
        <w:rPr>
          <w:color w:val="auto"/>
          <w:highlight w:val="none"/>
        </w:rPr>
      </w:pP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甲方：</w:t>
      </w:r>
      <w:r>
        <w:rPr>
          <w:rFonts w:hint="eastAsia" w:ascii="仿宋" w:hAnsi="仿宋" w:eastAsia="仿宋" w:cs="仿宋"/>
          <w:color w:val="auto"/>
          <w:kern w:val="0"/>
          <w:sz w:val="24"/>
          <w:highlight w:val="none"/>
          <w:u w:val="single"/>
        </w:rPr>
        <w:t>郑州市中原区审计局</w:t>
      </w:r>
      <w:r>
        <w:rPr>
          <w:rFonts w:hint="eastAsia" w:ascii="仿宋" w:hAnsi="仿宋" w:eastAsia="仿宋" w:cs="仿宋"/>
          <w:color w:val="auto"/>
          <w:kern w:val="0"/>
          <w:sz w:val="24"/>
          <w:highlight w:val="none"/>
        </w:rPr>
        <w:t>（采购人）</w:t>
      </w: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地址：</w:t>
      </w: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联系方式：</w:t>
      </w: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乙方：（入围供应商）</w:t>
      </w: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地址：</w:t>
      </w:r>
    </w:p>
    <w:p>
      <w:pPr>
        <w:shd w:val="clear"/>
        <w:spacing w:line="360" w:lineRule="auto"/>
        <w:ind w:firstLine="480" w:firstLineChars="200"/>
        <w:jc w:val="left"/>
        <w:rPr>
          <w:rFonts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联系方式：</w:t>
      </w: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签订时间：</w:t>
      </w:r>
    </w:p>
    <w:p>
      <w:pPr>
        <w:shd w:val="clear"/>
        <w:spacing w:line="360" w:lineRule="auto"/>
        <w:ind w:firstLine="480" w:firstLineChars="20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签订地点：</w:t>
      </w:r>
      <w:r>
        <w:rPr>
          <w:rFonts w:hint="eastAsia" w:ascii="仿宋" w:hAnsi="仿宋" w:eastAsia="仿宋" w:cs="仿宋"/>
          <w:color w:val="auto"/>
          <w:sz w:val="24"/>
          <w:highlight w:val="none"/>
          <w:u w:val="single"/>
        </w:rPr>
        <w:t>郑州市中原区</w:t>
      </w: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根据《中华人民共和国民法典》、《中华人民共和国政府采购法》、《中华人民共和国采购法实施条例》、《政府采购框架协议采购方式管理暂行办法》及国家的有关法律、行政法规和本项目征集文件，甲乙双方遵循平等、自愿、公平和诚实信用的原则，就</w:t>
      </w:r>
      <w:r>
        <w:rPr>
          <w:rFonts w:hint="eastAsia" w:ascii="仿宋" w:hAnsi="仿宋" w:eastAsia="仿宋" w:cs="仿宋"/>
          <w:color w:val="auto"/>
          <w:sz w:val="24"/>
          <w:highlight w:val="none"/>
          <w:u w:val="single"/>
        </w:rPr>
        <w:t>郑州市中原区审计局2023年审计服务中介机构框架协议采购</w:t>
      </w:r>
      <w:r>
        <w:rPr>
          <w:rFonts w:hint="eastAsia" w:ascii="仿宋" w:hAnsi="仿宋" w:eastAsia="仿宋" w:cs="仿宋"/>
          <w:color w:val="auto"/>
          <w:sz w:val="24"/>
          <w:highlight w:val="none"/>
          <w:u w:val="single"/>
        </w:rPr>
        <w:t>项目</w:t>
      </w:r>
      <w:r>
        <w:rPr>
          <w:rFonts w:hint="eastAsia" w:ascii="仿宋" w:hAnsi="仿宋" w:eastAsia="仿宋" w:cs="仿宋"/>
          <w:color w:val="auto"/>
          <w:sz w:val="24"/>
          <w:highlight w:val="none"/>
        </w:rPr>
        <w:t>公开征集入围供应商事宜协商一致，订立本框架协议。</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一、甲方通过公开征集确定乙方为甲方委托项目范围的入围供应商，承担具体委托项目的服务工作。</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二、项目基本情况</w:t>
      </w:r>
    </w:p>
    <w:p>
      <w:pPr>
        <w:numPr>
          <w:ilvl w:val="0"/>
          <w:numId w:val="7"/>
        </w:numPr>
        <w:shd w:val="clear"/>
        <w:autoSpaceDE w:val="0"/>
        <w:autoSpaceDN w:val="0"/>
        <w:adjustRightInd w:val="0"/>
        <w:spacing w:line="360" w:lineRule="auto"/>
        <w:ind w:firstLine="480" w:firstLineChars="20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郑州市中原区审计局2023年审计服务中介机构框架协议采购项目</w:t>
      </w:r>
    </w:p>
    <w:p>
      <w:pPr>
        <w:numPr>
          <w:ilvl w:val="0"/>
          <w:numId w:val="7"/>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项目编号：</w:t>
      </w:r>
    </w:p>
    <w:p>
      <w:pPr>
        <w:numPr>
          <w:ilvl w:val="0"/>
          <w:numId w:val="7"/>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包号：</w:t>
      </w:r>
    </w:p>
    <w:p>
      <w:pPr>
        <w:numPr>
          <w:ilvl w:val="0"/>
          <w:numId w:val="7"/>
        </w:numPr>
        <w:shd w:val="clear"/>
        <w:autoSpaceDE w:val="0"/>
        <w:autoSpaceDN w:val="0"/>
        <w:adjustRightInd w:val="0"/>
        <w:spacing w:line="360" w:lineRule="auto"/>
        <w:ind w:firstLine="480" w:firstLineChars="20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采购需求：</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A包：郑州市中原区审计局1个年度内委托的工程审计任务。</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B包：郑州市中原区审计局1个年度内委托的财务审计任务。</w:t>
      </w:r>
    </w:p>
    <w:p>
      <w:pPr>
        <w:numPr>
          <w:ilvl w:val="0"/>
          <w:numId w:val="7"/>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框架协议期限：</w:t>
      </w:r>
      <w:r>
        <w:rPr>
          <w:rFonts w:hint="eastAsia" w:ascii="仿宋" w:hAnsi="仿宋" w:eastAsia="仿宋" w:cs="仿宋"/>
          <w:color w:val="auto"/>
          <w:sz w:val="24"/>
          <w:highlight w:val="none"/>
          <w:u w:val="single"/>
        </w:rPr>
        <w:t>从框架协议签订生效之日起1年。</w:t>
      </w:r>
    </w:p>
    <w:p>
      <w:pPr>
        <w:numPr>
          <w:ilvl w:val="0"/>
          <w:numId w:val="7"/>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适用框架协议的服务对象范围：</w:t>
      </w:r>
      <w:r>
        <w:rPr>
          <w:rFonts w:hint="eastAsia" w:ascii="仿宋" w:hAnsi="仿宋" w:eastAsia="仿宋" w:cs="仿宋"/>
          <w:color w:val="auto"/>
          <w:sz w:val="24"/>
          <w:highlight w:val="none"/>
          <w:u w:val="single"/>
        </w:rPr>
        <w:t>郑州市中原区审计局</w:t>
      </w:r>
    </w:p>
    <w:p>
      <w:pPr>
        <w:numPr>
          <w:ilvl w:val="0"/>
          <w:numId w:val="7"/>
        </w:numPr>
        <w:shd w:val="clear"/>
        <w:autoSpaceDE w:val="0"/>
        <w:autoSpaceDN w:val="0"/>
        <w:adjustRightInd w:val="0"/>
        <w:spacing w:line="360" w:lineRule="auto"/>
        <w:ind w:firstLine="480" w:firstLineChars="20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履行合同的地域范围：</w:t>
      </w:r>
      <w:r>
        <w:rPr>
          <w:rFonts w:hint="eastAsia" w:ascii="仿宋" w:hAnsi="仿宋" w:eastAsia="仿宋" w:cs="仿宋"/>
          <w:color w:val="auto"/>
          <w:sz w:val="24"/>
          <w:highlight w:val="none"/>
          <w:u w:val="single"/>
          <w:lang w:eastAsia="zh-CN"/>
        </w:rPr>
        <w:t>郑州市</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三、双方的权利义务</w:t>
      </w:r>
    </w:p>
    <w:p>
      <w:pPr>
        <w:shd w:val="clear"/>
        <w:spacing w:line="360" w:lineRule="auto"/>
        <w:ind w:firstLine="482" w:firstLineChars="200"/>
        <w:jc w:val="left"/>
        <w:rPr>
          <w:rFonts w:ascii="仿宋" w:hAnsi="仿宋" w:eastAsia="仿宋" w:cs="仿宋"/>
          <w:color w:val="auto"/>
          <w:sz w:val="24"/>
          <w:highlight w:val="none"/>
        </w:rPr>
      </w:pPr>
      <w:r>
        <w:rPr>
          <w:rFonts w:hint="eastAsia" w:ascii="仿宋" w:hAnsi="仿宋" w:eastAsia="仿宋" w:cs="仿宋"/>
          <w:b/>
          <w:bCs/>
          <w:color w:val="auto"/>
          <w:sz w:val="24"/>
          <w:highlight w:val="none"/>
        </w:rPr>
        <w:t>（一）甲方的权利与义务</w:t>
      </w:r>
    </w:p>
    <w:p>
      <w:pPr>
        <w:numPr>
          <w:ilvl w:val="0"/>
          <w:numId w:val="8"/>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甲方为第二阶段合同授予提供工作便利。</w:t>
      </w:r>
    </w:p>
    <w:p>
      <w:pPr>
        <w:numPr>
          <w:ilvl w:val="0"/>
          <w:numId w:val="8"/>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甲方对第二阶段需求标准执行情况进行管理。</w:t>
      </w:r>
    </w:p>
    <w:p>
      <w:pPr>
        <w:numPr>
          <w:ilvl w:val="0"/>
          <w:numId w:val="8"/>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甲方对第二阶段成交供应商的情况进行管理。</w:t>
      </w:r>
    </w:p>
    <w:p>
      <w:pPr>
        <w:numPr>
          <w:ilvl w:val="0"/>
          <w:numId w:val="8"/>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甲方根据框架协议约定，</w:t>
      </w:r>
      <w:r>
        <w:rPr>
          <w:rFonts w:hint="eastAsia" w:ascii="仿宋" w:hAnsi="仿宋" w:eastAsia="仿宋" w:cs="仿宋"/>
          <w:color w:val="auto"/>
          <w:sz w:val="24"/>
          <w:highlight w:val="none"/>
        </w:rPr>
        <w:t>在质量不降低、价格不提高的前提下，对入围供应商因产品升级换代、用新产品代替原产品的情形进行审核。</w:t>
      </w:r>
    </w:p>
    <w:p>
      <w:pPr>
        <w:numPr>
          <w:ilvl w:val="0"/>
          <w:numId w:val="8"/>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建立用户反馈和评价机制，接受服务对象对入围供应商履行框架协议和采购合同情况的反馈与评价，并将用户反馈和评价情况向服务对象公开，作为第二阶段直接选定成交供应商的参考。</w:t>
      </w:r>
    </w:p>
    <w:p>
      <w:pPr>
        <w:numPr>
          <w:ilvl w:val="0"/>
          <w:numId w:val="8"/>
        </w:numPr>
        <w:shd w:val="clear"/>
        <w:autoSpaceDE w:val="0"/>
        <w:autoSpaceDN w:val="0"/>
        <w:adjustRightIn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公开第二阶段成交结果。</w:t>
      </w:r>
    </w:p>
    <w:p>
      <w:pPr>
        <w:numPr>
          <w:ilvl w:val="0"/>
          <w:numId w:val="8"/>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办理入围供应商清退和补充相关事宜。</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（二）乙方的权利与义务</w:t>
      </w:r>
    </w:p>
    <w:p>
      <w:pPr>
        <w:numPr>
          <w:ilvl w:val="0"/>
          <w:numId w:val="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被服务对象确定为成交供应商后，乙方在入围范围内取得向服务对象提供入围的服务的资格。如果成为第二阶段供应商，有签订</w:t>
      </w:r>
      <w:r>
        <w:rPr>
          <w:rFonts w:hint="eastAsia" w:ascii="仿宋" w:hAnsi="仿宋" w:eastAsia="仿宋" w:cs="仿宋"/>
          <w:color w:val="auto"/>
          <w:sz w:val="24"/>
          <w:highlight w:val="none"/>
        </w:rPr>
        <w:t>《×××服务委托合同》</w:t>
      </w:r>
      <w:r>
        <w:rPr>
          <w:rFonts w:hint="eastAsia" w:ascii="仿宋" w:hAnsi="仿宋" w:eastAsia="仿宋" w:cs="仿宋"/>
          <w:color w:val="auto"/>
          <w:sz w:val="24"/>
          <w:highlight w:val="none"/>
        </w:rPr>
        <w:t>的义务。</w:t>
      </w:r>
    </w:p>
    <w:p>
      <w:pPr>
        <w:numPr>
          <w:ilvl w:val="0"/>
          <w:numId w:val="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乙方保证，在质量不降低、价格不提高的前提下，对入围产品进行升级换代，用新产品代替原产品。</w:t>
      </w:r>
    </w:p>
    <w:p>
      <w:pPr>
        <w:numPr>
          <w:ilvl w:val="0"/>
          <w:numId w:val="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同意甲方为实施政府采购工作的需要，可以在相关政府采购网站和相关文件上公布乙方服务价格等相关信息，且无需事先经过乙方审查同意，任何在官方媒体的信息公布均属于或均被视为符合法律程序的信息公布，均不属于对有关保密义务的违反。</w:t>
      </w:r>
    </w:p>
    <w:p>
      <w:pPr>
        <w:numPr>
          <w:ilvl w:val="0"/>
          <w:numId w:val="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承诺在本项目项下的任何行为均将严格遵守法律、法规的规定，包括但不限于应当符合有关依法纳税、环境保护、知识产权、童工禁用、劳动保护、劳动保险与待遇等各方面的规定。尽管乙方已做出上述保证，若一旦发生违反法律、法规、承诺之任何情形，均属乙方单方面之因素、原因、责任，任何情况下乙方均应当承担相应的法律责任。</w:t>
      </w:r>
    </w:p>
    <w:p>
      <w:pPr>
        <w:numPr>
          <w:ilvl w:val="0"/>
          <w:numId w:val="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乙方承诺接受甲方的考评与管理，全面履行工作义务、廉政承诺和义务。</w:t>
      </w:r>
    </w:p>
    <w:p>
      <w:pPr>
        <w:numPr>
          <w:ilvl w:val="0"/>
          <w:numId w:val="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乙方未经甲方同意，不得分包或转让本框架协议的任何权利和义务。</w:t>
      </w:r>
    </w:p>
    <w:p>
      <w:pPr>
        <w:numPr>
          <w:ilvl w:val="0"/>
          <w:numId w:val="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乙方承诺不接受被审计对象的礼品、宴请和任何其它好处，不泄露服务过程中依法需要保密的内容。框架协议终止后，未经甲方同意，不泄漏与甲方有关的任何资料和情况。</w:t>
      </w:r>
    </w:p>
    <w:p>
      <w:pPr>
        <w:numPr>
          <w:ilvl w:val="0"/>
          <w:numId w:val="10"/>
        </w:num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shd w:val="clear" w:color="auto" w:fill="FFFFFF"/>
        </w:rPr>
        <w:t>第一阶段的入围服务内容、服务标准及协议价格</w:t>
      </w:r>
    </w:p>
    <w:p>
      <w:pPr>
        <w:numPr>
          <w:ilvl w:val="0"/>
          <w:numId w:val="11"/>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服务内容：</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A包：郑州市中原区审计局1个年度内委托的工程审计任务。</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B包：郑州市中原区审计局1个年度内委托的财务审计任务。</w:t>
      </w:r>
    </w:p>
    <w:p>
      <w:pPr>
        <w:numPr>
          <w:ilvl w:val="0"/>
          <w:numId w:val="11"/>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服务标准：</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A包：符合国家、省、市、区有关工程审计的相关规定，严格执行《郑州市中原区审计局聘请中介机构和外部人员参与审计工作管理暂行办法》（中原审〔</w:t>
      </w:r>
      <w:r>
        <w:rPr>
          <w:rFonts w:ascii="仿宋" w:hAnsi="仿宋" w:eastAsia="仿宋" w:cs="仿宋"/>
          <w:color w:val="auto"/>
          <w:sz w:val="24"/>
          <w:highlight w:val="none"/>
        </w:rPr>
        <w:t>2023〕4号</w:t>
      </w:r>
      <w:r>
        <w:rPr>
          <w:rFonts w:hint="eastAsia" w:ascii="仿宋" w:hAnsi="仿宋" w:eastAsia="仿宋" w:cs="仿宋"/>
          <w:color w:val="auto"/>
          <w:sz w:val="24"/>
          <w:highlight w:val="none"/>
        </w:rPr>
        <w:t>）的规定及合同履行期内郑州市中原区审计部门下发的最新文件，确保审计质量与时限。</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B包：符合国家、省、市、区有关财务审计的相关规定，严格执行《郑州市中原区审计局聘请中介机构和外部人员参与审计工作管理暂行办法》（中原审〔</w:t>
      </w:r>
      <w:r>
        <w:rPr>
          <w:rFonts w:ascii="仿宋" w:hAnsi="仿宋" w:eastAsia="仿宋" w:cs="仿宋"/>
          <w:color w:val="auto"/>
          <w:sz w:val="24"/>
          <w:highlight w:val="none"/>
        </w:rPr>
        <w:t>2023〕4号</w:t>
      </w:r>
      <w:r>
        <w:rPr>
          <w:rFonts w:hint="eastAsia" w:ascii="仿宋" w:hAnsi="仿宋" w:eastAsia="仿宋" w:cs="仿宋"/>
          <w:color w:val="auto"/>
          <w:sz w:val="24"/>
          <w:highlight w:val="none"/>
        </w:rPr>
        <w:t>）的规定及合同履行期内郑州市中原区审计部门下发的最新文件，确保审计质量与时限。</w:t>
      </w:r>
    </w:p>
    <w:p>
      <w:pPr>
        <w:numPr>
          <w:ilvl w:val="0"/>
          <w:numId w:val="11"/>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审计费用结算标准：</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按照《郑州市中原区审计局聘请中介机构和外部人员参与审计工作管理暂行办法》（中原审〔</w:t>
      </w:r>
      <w:r>
        <w:rPr>
          <w:rFonts w:ascii="仿宋" w:hAnsi="仿宋" w:eastAsia="仿宋" w:cs="仿宋"/>
          <w:color w:val="auto"/>
          <w:sz w:val="24"/>
          <w:highlight w:val="none"/>
        </w:rPr>
        <w:t>2023〕4号</w:t>
      </w:r>
      <w:r>
        <w:rPr>
          <w:rFonts w:hint="eastAsia" w:ascii="仿宋" w:hAnsi="仿宋" w:eastAsia="仿宋" w:cs="仿宋"/>
          <w:color w:val="auto"/>
          <w:sz w:val="24"/>
          <w:highlight w:val="none"/>
        </w:rPr>
        <w:t>）规定进行结算。</w:t>
      </w:r>
    </w:p>
    <w:p>
      <w:pPr>
        <w:numPr>
          <w:ilvl w:val="0"/>
          <w:numId w:val="10"/>
        </w:num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确定第二阶段成交供应商的方式</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u w:val="single"/>
        </w:rPr>
        <w:t>直接选定方式。</w:t>
      </w:r>
    </w:p>
    <w:p>
      <w:pPr>
        <w:numPr>
          <w:ilvl w:val="0"/>
          <w:numId w:val="10"/>
        </w:num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资金支付方式和条件</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u w:val="single"/>
        </w:rPr>
        <w:t>供应商提交单项成果文件</w:t>
      </w:r>
      <w:r>
        <w:rPr>
          <w:rFonts w:hint="eastAsia" w:ascii="仿宋" w:hAnsi="仿宋" w:eastAsia="仿宋" w:cs="仿宋"/>
          <w:color w:val="auto"/>
          <w:sz w:val="24"/>
          <w:highlight w:val="none"/>
          <w:u w:val="single"/>
        </w:rPr>
        <w:t>材料</w:t>
      </w:r>
      <w:r>
        <w:rPr>
          <w:rFonts w:hint="eastAsia" w:ascii="仿宋" w:hAnsi="仿宋" w:eastAsia="仿宋" w:cs="仿宋"/>
          <w:color w:val="auto"/>
          <w:sz w:val="24"/>
          <w:highlight w:val="none"/>
          <w:u w:val="single"/>
        </w:rPr>
        <w:t>，验收合格并接收后，采购人支付单项合同价款。</w:t>
      </w:r>
    </w:p>
    <w:p>
      <w:pPr>
        <w:numPr>
          <w:ilvl w:val="0"/>
          <w:numId w:val="10"/>
        </w:num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入围供应商清退和补充规则</w:t>
      </w:r>
    </w:p>
    <w:p>
      <w:pPr>
        <w:numPr>
          <w:ilvl w:val="0"/>
          <w:numId w:val="12"/>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入围供应商无正当理由，不得主动放弃入围资格或者退出框架协议。</w:t>
      </w: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如发现乙方以下情况，甲方有权要求乙方退出框架协议：</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（一）恶意串通谋取入围或者合同成交的；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（二）提供虚假材料谋取入围或者合同成交的；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（三）无正当理由拒不接受合同授予的；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（四）不履行合同义务或者履行合同义务不符合约定，经采购人请求履行后仍不履行或者仍未按约定履行的；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（五）框架协议有效期内，因违法行为被禁止或限制参加政府采购活动的；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六）服务期内，与单项审计项目中的被审计单位或与单项审计项目直接有关的建设、施工、监理等单位存在控股、管理等关联关系，或在被审计单位或在单项审计项目直接有关的建设、施工、监理等单位有任职高管，未主动提出回避而承接该项目审计服务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lang w:eastAsia="zh-CN"/>
        </w:rPr>
        <w:t>）不遵守保密规定，向被审计单位、个人和无关人员透露审计情况的；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lang w:eastAsia="zh-CN"/>
        </w:rPr>
        <w:t>）与被审计单位之间以不正当形式交流、私下串通的；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九</w:t>
      </w:r>
      <w:r>
        <w:rPr>
          <w:rFonts w:hint="eastAsia" w:ascii="仿宋" w:hAnsi="仿宋" w:eastAsia="仿宋" w:cs="仿宋"/>
          <w:color w:val="auto"/>
          <w:sz w:val="24"/>
          <w:szCs w:val="24"/>
          <w:highlight w:val="none"/>
          <w:lang w:eastAsia="zh-CN"/>
        </w:rPr>
        <w:t>）有社会投诉并经查证属实等违法违规行为的；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十</w:t>
      </w:r>
      <w:r>
        <w:rPr>
          <w:rFonts w:hint="eastAsia" w:ascii="仿宋" w:hAnsi="仿宋" w:eastAsia="仿宋" w:cs="仿宋"/>
          <w:color w:val="auto"/>
          <w:sz w:val="24"/>
          <w:szCs w:val="24"/>
          <w:highlight w:val="none"/>
          <w:lang w:eastAsia="zh-CN"/>
        </w:rPr>
        <w:t>）存在泄密等问题，导致重大项目受到影响的；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十一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其他情形。</w:t>
      </w:r>
    </w:p>
    <w:p>
      <w:pPr>
        <w:numPr>
          <w:ilvl w:val="0"/>
          <w:numId w:val="12"/>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除剩余入围供应商不足入围供应商总数70%且影响框架协议执行的情形外，框架协议有效期内，征集人不得补充征集供应商。</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八、违约责任</w:t>
      </w: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入围供应商无正当理由放弃入围资格或者退出封闭式框架协议的，依照政府采购法等有关法律、行政法规追究法律责任。</w:t>
      </w: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甲乙双方应遵守法律法规和本合同规定，否则，将承担相应的法律责任。因违约造成经济损失的，由违约方承担。</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九、其他</w:t>
      </w:r>
    </w:p>
    <w:p>
      <w:pPr>
        <w:numPr>
          <w:ilvl w:val="0"/>
          <w:numId w:val="13"/>
        </w:numPr>
        <w:shd w:val="clear"/>
        <w:autoSpaceDE w:val="0"/>
        <w:autoSpaceDN w:val="0"/>
        <w:adjustRightIn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本框架协议一式</w:t>
      </w:r>
      <w:r>
        <w:rPr>
          <w:rFonts w:hint="eastAsia" w:ascii="仿宋" w:hAnsi="仿宋" w:eastAsia="仿宋" w:cs="仿宋"/>
          <w:color w:val="auto"/>
          <w:sz w:val="24"/>
          <w:highlight w:val="none"/>
          <w:u w:val="single"/>
          <w:lang w:val="en-US" w:eastAsia="zh-CN"/>
        </w:rPr>
        <w:t>肆</w:t>
      </w:r>
      <w:r>
        <w:rPr>
          <w:rFonts w:hint="eastAsia" w:ascii="仿宋" w:hAnsi="仿宋" w:eastAsia="仿宋" w:cs="仿宋"/>
          <w:color w:val="auto"/>
          <w:sz w:val="24"/>
          <w:highlight w:val="none"/>
          <w:u w:val="single"/>
        </w:rPr>
        <w:t>份</w:t>
      </w:r>
      <w:r>
        <w:rPr>
          <w:rFonts w:hint="eastAsia" w:ascii="仿宋" w:hAnsi="仿宋" w:eastAsia="仿宋" w:cs="仿宋"/>
          <w:color w:val="auto"/>
          <w:sz w:val="24"/>
          <w:highlight w:val="none"/>
        </w:rPr>
        <w:t>，其中，甲方</w:t>
      </w:r>
      <w:r>
        <w:rPr>
          <w:rFonts w:hint="eastAsia" w:ascii="仿宋" w:hAnsi="仿宋" w:eastAsia="仿宋" w:cs="仿宋"/>
          <w:color w:val="auto"/>
          <w:sz w:val="24"/>
          <w:highlight w:val="none"/>
          <w:u w:val="single"/>
          <w:lang w:val="en-US" w:eastAsia="zh-CN"/>
        </w:rPr>
        <w:t>贰</w:t>
      </w:r>
      <w:r>
        <w:rPr>
          <w:rFonts w:hint="eastAsia" w:ascii="仿宋" w:hAnsi="仿宋" w:eastAsia="仿宋" w:cs="仿宋"/>
          <w:color w:val="auto"/>
          <w:sz w:val="24"/>
          <w:highlight w:val="none"/>
        </w:rPr>
        <w:t>份，乙方</w:t>
      </w:r>
      <w:r>
        <w:rPr>
          <w:rFonts w:hint="eastAsia" w:ascii="仿宋" w:hAnsi="仿宋" w:eastAsia="仿宋" w:cs="仿宋"/>
          <w:color w:val="auto"/>
          <w:sz w:val="24"/>
          <w:highlight w:val="none"/>
          <w:u w:val="single"/>
          <w:lang w:val="en-US" w:eastAsia="zh-CN"/>
        </w:rPr>
        <w:t>贰</w:t>
      </w:r>
      <w:r>
        <w:rPr>
          <w:rFonts w:hint="eastAsia" w:ascii="仿宋" w:hAnsi="仿宋" w:eastAsia="仿宋" w:cs="仿宋"/>
          <w:color w:val="auto"/>
          <w:sz w:val="24"/>
          <w:highlight w:val="none"/>
        </w:rPr>
        <w:t>份。甲方和乙方履行框架协议时发生争议，由双方友好协商解决。协商不成的，任何一方均可向合同签订地人民法院提起诉讼。</w:t>
      </w:r>
    </w:p>
    <w:p>
      <w:pPr>
        <w:numPr>
          <w:ilvl w:val="0"/>
          <w:numId w:val="13"/>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本框架协议有效期为</w:t>
      </w:r>
      <w:r>
        <w:rPr>
          <w:rFonts w:hint="eastAsia" w:ascii="仿宋" w:hAnsi="仿宋" w:eastAsia="仿宋" w:cs="仿宋"/>
          <w:color w:val="auto"/>
          <w:sz w:val="24"/>
          <w:highlight w:val="none"/>
          <w:u w:val="single"/>
        </w:rPr>
        <w:t xml:space="preserve">    年  月  日至    年  月  日</w:t>
      </w:r>
      <w:r>
        <w:rPr>
          <w:rFonts w:hint="eastAsia" w:ascii="仿宋" w:hAnsi="仿宋" w:eastAsia="仿宋" w:cs="仿宋"/>
          <w:color w:val="auto"/>
          <w:sz w:val="24"/>
          <w:highlight w:val="none"/>
        </w:rPr>
        <w:t>，双方签字盖章后生效。</w:t>
      </w:r>
    </w:p>
    <w:p>
      <w:pPr>
        <w:numPr>
          <w:ilvl w:val="0"/>
          <w:numId w:val="13"/>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未尽事宜，按国家有关规定执行。</w:t>
      </w:r>
    </w:p>
    <w:p>
      <w:pPr>
        <w:shd w:val="clear"/>
        <w:spacing w:line="360" w:lineRule="auto"/>
        <w:ind w:firstLine="480" w:firstLineChars="200"/>
        <w:jc w:val="left"/>
        <w:rPr>
          <w:rFonts w:ascii="仿宋" w:hAnsi="仿宋" w:eastAsia="仿宋" w:cs="仿宋"/>
          <w:color w:val="auto"/>
          <w:sz w:val="24"/>
          <w:highlight w:val="none"/>
        </w:rPr>
      </w:pP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甲方（盖章）：                        乙方（盖章）：</w:t>
      </w:r>
    </w:p>
    <w:p>
      <w:pPr>
        <w:pStyle w:val="45"/>
        <w:shd w:val="clear"/>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法定代表人或授权代理人                法定代表人或授权代理人</w:t>
      </w:r>
    </w:p>
    <w:p>
      <w:pPr>
        <w:pStyle w:val="45"/>
        <w:shd w:val="clear"/>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（签字或盖章）：                     （签字或盖章）：</w:t>
      </w:r>
    </w:p>
    <w:p>
      <w:pPr>
        <w:shd w:val="clear"/>
        <w:spacing w:line="360" w:lineRule="auto"/>
        <w:ind w:firstLine="1200" w:firstLineChars="500"/>
        <w:jc w:val="left"/>
        <w:rPr>
          <w:rFonts w:ascii="仿宋" w:hAnsi="仿宋" w:eastAsia="仿宋" w:cs="仿宋"/>
          <w:color w:val="auto"/>
          <w:sz w:val="24"/>
          <w:highlight w:val="none"/>
        </w:rPr>
      </w:pPr>
      <w:r>
        <w:rPr>
          <w:rFonts w:hint="eastAsia" w:ascii="仿宋" w:hAnsi="仿宋" w:eastAsia="仿宋" w:cs="仿宋"/>
          <w:color w:val="auto"/>
          <w:sz w:val="24"/>
          <w:highlight w:val="none"/>
        </w:rPr>
        <w:t>年  月  日                           年  月  日</w:t>
      </w:r>
    </w:p>
    <w:p>
      <w:pPr>
        <w:shd w:val="clear"/>
        <w:rPr>
          <w:rFonts w:ascii="仿宋" w:hAnsi="仿宋" w:eastAsia="仿宋" w:cs="仿宋"/>
          <w:color w:val="auto"/>
          <w:szCs w:val="21"/>
          <w:highlight w:val="none"/>
        </w:rPr>
      </w:pPr>
      <w:r>
        <w:rPr>
          <w:rFonts w:hint="eastAsia" w:ascii="仿宋" w:hAnsi="仿宋" w:eastAsia="仿宋" w:cs="仿宋"/>
          <w:color w:val="auto"/>
          <w:szCs w:val="21"/>
          <w:highlight w:val="none"/>
        </w:rPr>
        <w:br w:type="page"/>
      </w:r>
    </w:p>
    <w:p>
      <w:pPr>
        <w:shd w:val="clear"/>
        <w:rPr>
          <w:rFonts w:ascii="仿宋" w:hAnsi="仿宋" w:eastAsia="仿宋" w:cs="仿宋"/>
          <w:color w:val="auto"/>
          <w:szCs w:val="21"/>
          <w:highlight w:val="none"/>
        </w:rPr>
      </w:pPr>
    </w:p>
    <w:p>
      <w:pPr>
        <w:pStyle w:val="5"/>
        <w:numPr>
          <w:ilvl w:val="1"/>
          <w:numId w:val="0"/>
        </w:numPr>
        <w:shd w:val="clear"/>
        <w:tabs>
          <w:tab w:val="clear" w:pos="567"/>
        </w:tabs>
        <w:spacing w:before="0" w:after="0" w:line="360" w:lineRule="auto"/>
        <w:jc w:val="left"/>
        <w:rPr>
          <w:rFonts w:ascii="仿宋" w:hAnsi="仿宋" w:eastAsia="仿宋" w:cs="仿宋"/>
          <w:color w:val="auto"/>
          <w:sz w:val="28"/>
          <w:szCs w:val="28"/>
          <w:highlight w:val="none"/>
        </w:rPr>
      </w:pPr>
      <w:bookmarkStart w:id="585" w:name="_Toc19992"/>
      <w:bookmarkStart w:id="586" w:name="_Toc14240"/>
      <w:bookmarkStart w:id="587" w:name="_Toc17670"/>
      <w:r>
        <w:rPr>
          <w:rFonts w:hint="eastAsia" w:ascii="仿宋" w:hAnsi="仿宋" w:eastAsia="仿宋" w:cs="仿宋"/>
          <w:color w:val="auto"/>
          <w:sz w:val="28"/>
          <w:szCs w:val="28"/>
          <w:highlight w:val="none"/>
        </w:rPr>
        <w:t>附件1：反商业贿赂承诺书</w:t>
      </w:r>
      <w:bookmarkEnd w:id="585"/>
      <w:bookmarkEnd w:id="586"/>
      <w:bookmarkEnd w:id="587"/>
    </w:p>
    <w:p>
      <w:pPr>
        <w:shd w:val="clear"/>
        <w:rPr>
          <w:rFonts w:ascii="仿宋" w:hAnsi="仿宋" w:eastAsia="仿宋" w:cs="仿宋"/>
          <w:color w:val="auto"/>
          <w:highlight w:val="none"/>
        </w:rPr>
      </w:pPr>
    </w:p>
    <w:p>
      <w:pPr>
        <w:shd w:val="clear"/>
        <w:spacing w:line="360" w:lineRule="auto"/>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反商业贿赂承诺书</w:t>
      </w:r>
    </w:p>
    <w:p>
      <w:pPr>
        <w:shd w:val="clear"/>
        <w:rPr>
          <w:rFonts w:ascii="仿宋" w:hAnsi="仿宋" w:eastAsia="仿宋" w:cs="仿宋"/>
          <w:color w:val="auto"/>
          <w:highlight w:val="none"/>
        </w:rPr>
      </w:pPr>
    </w:p>
    <w:p>
      <w:pPr>
        <w:shd w:val="clea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招标活动中，我单位郑重承诺：</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一、公平竞争参加本次招标活动。</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二、杜绝任何形式的商业贿赂行为。不向国家工作人员、政府采购代理机构工作人员、评审专家及其亲属提供礼品、有价证券、购物券、回扣、佣金、咨询费、劳务费、赞助费、宣传费、宴请；不为其报销各种消费凭证，不支付其旅游、娱乐等费用。</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三、若出现上述行为，我单位及参与投标的工作人员愿意接受按照国家法律法规等有关规定给予的处罚。</w:t>
      </w:r>
    </w:p>
    <w:p>
      <w:pPr>
        <w:shd w:val="clear"/>
        <w:spacing w:line="360" w:lineRule="auto"/>
        <w:ind w:firstLine="480" w:firstLineChars="200"/>
        <w:rPr>
          <w:rFonts w:ascii="仿宋" w:hAnsi="仿宋" w:eastAsia="仿宋" w:cs="仿宋"/>
          <w:color w:val="auto"/>
          <w:sz w:val="24"/>
          <w:highlight w:val="none"/>
        </w:rPr>
      </w:pPr>
    </w:p>
    <w:p>
      <w:pPr>
        <w:shd w:val="clear"/>
        <w:spacing w:line="360" w:lineRule="auto"/>
        <w:ind w:firstLine="480" w:firstLineChars="200"/>
        <w:rPr>
          <w:rFonts w:ascii="仿宋" w:hAnsi="仿宋" w:eastAsia="仿宋" w:cs="仿宋"/>
          <w:color w:val="auto"/>
          <w:sz w:val="24"/>
          <w:highlight w:val="none"/>
        </w:rPr>
      </w:pP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承诺人：单位名称（公章）</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法定代表人（或负责人）或委托代理人：（签字或盖章）</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年   月   日</w:t>
      </w:r>
    </w:p>
    <w:p>
      <w:pPr>
        <w:shd w:val="clear"/>
        <w:rPr>
          <w:rFonts w:ascii="仿宋" w:hAnsi="仿宋" w:eastAsia="仿宋" w:cs="仿宋"/>
          <w:color w:val="auto"/>
          <w:szCs w:val="21"/>
          <w:highlight w:val="none"/>
        </w:rPr>
      </w:pPr>
      <w:r>
        <w:rPr>
          <w:rFonts w:hint="eastAsia" w:ascii="仿宋" w:hAnsi="仿宋" w:eastAsia="仿宋" w:cs="仿宋"/>
          <w:color w:val="auto"/>
          <w:szCs w:val="21"/>
          <w:highlight w:val="none"/>
        </w:rPr>
        <w:br w:type="page"/>
      </w:r>
    </w:p>
    <w:p>
      <w:pPr>
        <w:pStyle w:val="5"/>
        <w:numPr>
          <w:ilvl w:val="1"/>
          <w:numId w:val="0"/>
        </w:numPr>
        <w:shd w:val="clear"/>
        <w:tabs>
          <w:tab w:val="clear" w:pos="567"/>
        </w:tabs>
        <w:spacing w:before="0" w:after="0" w:line="360" w:lineRule="auto"/>
        <w:jc w:val="left"/>
        <w:rPr>
          <w:rFonts w:ascii="仿宋" w:hAnsi="仿宋" w:eastAsia="仿宋" w:cs="仿宋"/>
          <w:color w:val="auto"/>
          <w:sz w:val="28"/>
          <w:szCs w:val="28"/>
          <w:highlight w:val="none"/>
        </w:rPr>
      </w:pPr>
      <w:bookmarkStart w:id="588" w:name="_Toc16845"/>
      <w:bookmarkStart w:id="589" w:name="_Toc31299"/>
      <w:r>
        <w:rPr>
          <w:rFonts w:hint="eastAsia" w:ascii="仿宋" w:hAnsi="仿宋" w:eastAsia="仿宋" w:cs="仿宋"/>
          <w:color w:val="auto"/>
          <w:sz w:val="28"/>
          <w:szCs w:val="28"/>
          <w:highlight w:val="none"/>
        </w:rPr>
        <w:t>附件2：政府采购廉政合同</w:t>
      </w:r>
      <w:bookmarkEnd w:id="588"/>
      <w:bookmarkEnd w:id="589"/>
    </w:p>
    <w:p>
      <w:pPr>
        <w:shd w:val="clear"/>
        <w:rPr>
          <w:rFonts w:ascii="仿宋" w:hAnsi="仿宋" w:eastAsia="仿宋" w:cs="仿宋"/>
          <w:color w:val="auto"/>
          <w:highlight w:val="none"/>
        </w:rPr>
      </w:pPr>
    </w:p>
    <w:p>
      <w:pPr>
        <w:shd w:val="clear"/>
        <w:spacing w:line="360" w:lineRule="auto"/>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政府采购廉政合同</w:t>
      </w:r>
    </w:p>
    <w:p>
      <w:pPr>
        <w:shd w:val="clear"/>
        <w:rPr>
          <w:rFonts w:ascii="仿宋" w:hAnsi="仿宋" w:eastAsia="仿宋" w:cs="仿宋"/>
          <w:color w:val="auto"/>
          <w:szCs w:val="21"/>
          <w:highlight w:val="none"/>
        </w:rPr>
      </w:pP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甲方（咨询方）：</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乙方（委托方）：</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为促进甲乙双方廉洁高效合作，促使甲乙双方工作人员廉洁从业，不断推动党风廉政建设工作，按照《中华人民共和国民法典》和国家其他有关法律法规、廉政规定，经甲乙双方协商一致，自愿签订以下廉政合同。</w:t>
      </w:r>
    </w:p>
    <w:p>
      <w:pPr>
        <w:shd w:val="clear"/>
        <w:spacing w:line="360" w:lineRule="auto"/>
        <w:ind w:firstLine="422" w:firstLineChars="200"/>
        <w:rPr>
          <w:rFonts w:ascii="仿宋" w:hAnsi="仿宋" w:eastAsia="仿宋" w:cs="仿宋"/>
          <w:b/>
          <w:bCs/>
          <w:color w:val="auto"/>
          <w:szCs w:val="21"/>
          <w:highlight w:val="none"/>
        </w:rPr>
      </w:pPr>
      <w:r>
        <w:rPr>
          <w:rFonts w:hint="eastAsia" w:ascii="仿宋" w:hAnsi="仿宋" w:eastAsia="仿宋" w:cs="仿宋"/>
          <w:b/>
          <w:bCs/>
          <w:color w:val="auto"/>
          <w:szCs w:val="21"/>
          <w:highlight w:val="none"/>
        </w:rPr>
        <w:t>第一条：甲乙双方的权利和义务</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（一）严格遵守党和国家有关法律法规及党风廉政建设各项规定。</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（二）严格履行《中华人民共和国反不正当竞争法》、《关于禁止商业贿赂行为的暂行规定》各项约定，杜绝违约行为的发生。</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（三）双方的业务活动坚持公开、公平、公正、诚信的原则（除法律认定的商业秘密和合同文件另有规定之外），严禁损害国家和集体利益，违反法律法规及规章制度。</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（四）建立健全党风廉政建设各项制度，开展党风廉政建设宣传教育，加强对本方工作人员的监督检查。</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（五）发现对方在业务活动中有违反廉政规定和本合同约定的行为时，有及时提醒和督促对方纠正的权利和义务。</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（六）发现对方在业务活动中有违反廉政规定和本合同约定的行为时，有权向对方主管部门或有关机构检举、揭发。</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（七）经济合同变更时廉政合同内容也应做相应调整，并履行有关手续。</w:t>
      </w:r>
    </w:p>
    <w:p>
      <w:pPr>
        <w:shd w:val="clear"/>
        <w:spacing w:line="360" w:lineRule="auto"/>
        <w:ind w:firstLine="422" w:firstLineChars="200"/>
        <w:rPr>
          <w:rFonts w:ascii="仿宋" w:hAnsi="仿宋" w:eastAsia="仿宋" w:cs="仿宋"/>
          <w:b/>
          <w:bCs/>
          <w:color w:val="auto"/>
          <w:szCs w:val="21"/>
          <w:highlight w:val="none"/>
        </w:rPr>
      </w:pPr>
      <w:r>
        <w:rPr>
          <w:rFonts w:hint="eastAsia" w:ascii="仿宋" w:hAnsi="仿宋" w:eastAsia="仿宋" w:cs="仿宋"/>
          <w:b/>
          <w:bCs/>
          <w:color w:val="auto"/>
          <w:szCs w:val="21"/>
          <w:highlight w:val="none"/>
        </w:rPr>
        <w:t>第二条：乙方在廉政建设方面义务</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（一）乙方不准以任何形式向甲方及其工作人员馈赠礼金、礼品、有价证券、支付凭证、贵重物品等财物；</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（二）乙方不准以任何名义为甲方及其工作人员报销应由甲方或个人支付的任何费用。</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（三）乙方不准以任何理由邀请甲方工作人员参加有影响合作业务的宴请及娱乐活动；不准为其提供通讯工具、交通工具、高档办公用品等。</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（四）乙方不准为甲方工作人员在住房装修、婚丧嫁娶、配偶、子女、亲友出国（境）旅游提供方便；不准为甲方工作人员的配偶、子女及有利害关系的人员安排工作或劳务。</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（五）乙方及其工作人员不准与监管单位串通，违反有关规定和程序，损害甲方利益。</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（六）不得有其他违反法律法规、党纪政纪行为。</w:t>
      </w:r>
    </w:p>
    <w:p>
      <w:pPr>
        <w:shd w:val="clear"/>
        <w:spacing w:line="360" w:lineRule="auto"/>
        <w:ind w:firstLine="422" w:firstLineChars="200"/>
        <w:rPr>
          <w:rFonts w:ascii="仿宋" w:hAnsi="仿宋" w:eastAsia="仿宋" w:cs="仿宋"/>
          <w:b/>
          <w:bCs/>
          <w:color w:val="auto"/>
          <w:szCs w:val="21"/>
          <w:highlight w:val="none"/>
        </w:rPr>
      </w:pPr>
      <w:r>
        <w:rPr>
          <w:rFonts w:hint="eastAsia" w:ascii="仿宋" w:hAnsi="仿宋" w:eastAsia="仿宋" w:cs="仿宋"/>
          <w:b/>
          <w:bCs/>
          <w:color w:val="auto"/>
          <w:szCs w:val="21"/>
          <w:highlight w:val="none"/>
        </w:rPr>
        <w:t>第三条：甲方在廉政建设方面的义务</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（一）甲方及其工作人员不得干扰乙方正常的生产经营活动，不得以任何理由要挟乙方从事不属于乙方义务的工作。</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（二）甲方及其工作人员不得索要或接受乙方的礼金，有价证券、支付凭证、贵重物品等财物。</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（三）甲方及其工作人员不得在乙方报销应由甲方或个人支付的任何费用。</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（四）甲方工作人员不得参加乙方提供的宴请、娱乐活动、高档消费；不得要求乙方提供交通工具、通讯工具、高档办公用品等。</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（五）甲方及其工作人员不得要求或者接受乙方为其住房装修、婚丧嫁娶、配偶、子女、亲友出国（境）旅游等违反规定的相关活动提供方便。</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（六）甲方及其工作人员不得要求乙方为其配偶、子女及有利害关系的人员安排工作或劳务；不得违反规定从事与乙方项目有关的供应、分包等经济活动。</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（七）甲方应根据经济合同约定进度付款，不得以不正当理由拖欠款项，不得超进度拨付款。</w:t>
      </w:r>
    </w:p>
    <w:p>
      <w:pPr>
        <w:shd w:val="clear"/>
        <w:spacing w:line="360" w:lineRule="auto"/>
        <w:ind w:firstLine="422" w:firstLineChars="200"/>
        <w:rPr>
          <w:rFonts w:ascii="仿宋" w:hAnsi="仿宋" w:eastAsia="仿宋" w:cs="仿宋"/>
          <w:b/>
          <w:bCs/>
          <w:color w:val="auto"/>
          <w:szCs w:val="21"/>
          <w:highlight w:val="none"/>
        </w:rPr>
      </w:pPr>
      <w:r>
        <w:rPr>
          <w:rFonts w:hint="eastAsia" w:ascii="仿宋" w:hAnsi="仿宋" w:eastAsia="仿宋" w:cs="仿宋"/>
          <w:b/>
          <w:bCs/>
          <w:color w:val="auto"/>
          <w:szCs w:val="21"/>
          <w:highlight w:val="none"/>
        </w:rPr>
        <w:t>第四条：违约责任</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（一）乙方违反本《廉政合同》规定义务的，须向甲方承担经济合同总额3%的经济违约责任。</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（二）乙方发生多次违反廉政合同约定内容，甲方有权将乙方列入黑名单，禁止3-5年内进入甲方作业市场；给甲方造成经济损失、社会影响较大的，甲方有权终止履行合同。</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（三）甲方若违反本《廉政合同》有关规定的，对违法违纪人员，由甲方主管部门依据有关规定查处，给乙方造成的损失，按有关规定予以赔偿。</w:t>
      </w:r>
    </w:p>
    <w:p>
      <w:pPr>
        <w:shd w:val="clear"/>
        <w:spacing w:line="360" w:lineRule="auto"/>
        <w:ind w:firstLine="422" w:firstLineChars="200"/>
        <w:rPr>
          <w:rFonts w:ascii="仿宋" w:hAnsi="仿宋" w:eastAsia="仿宋" w:cs="仿宋"/>
          <w:b/>
          <w:bCs/>
          <w:color w:val="auto"/>
          <w:szCs w:val="21"/>
          <w:highlight w:val="none"/>
        </w:rPr>
      </w:pPr>
      <w:r>
        <w:rPr>
          <w:rFonts w:hint="eastAsia" w:ascii="仿宋" w:hAnsi="仿宋" w:eastAsia="仿宋" w:cs="仿宋"/>
          <w:b/>
          <w:bCs/>
          <w:color w:val="auto"/>
          <w:szCs w:val="21"/>
          <w:highlight w:val="none"/>
        </w:rPr>
        <w:t>第五条：检查方式</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本合同的履约情况由甲乙双方共同派员监督，检查方式为座谈、问卷调查、查看资料或由双方约定的其他方式等。检查时间、次数、方式、检查结论等由双方协商确定。</w:t>
      </w:r>
    </w:p>
    <w:p>
      <w:pPr>
        <w:shd w:val="clear"/>
        <w:spacing w:line="360" w:lineRule="auto"/>
        <w:ind w:firstLine="422" w:firstLineChars="200"/>
        <w:rPr>
          <w:rFonts w:ascii="仿宋" w:hAnsi="仿宋" w:eastAsia="仿宋" w:cs="仿宋"/>
          <w:b/>
          <w:bCs/>
          <w:color w:val="auto"/>
          <w:szCs w:val="21"/>
          <w:highlight w:val="none"/>
        </w:rPr>
      </w:pPr>
      <w:r>
        <w:rPr>
          <w:rFonts w:hint="eastAsia" w:ascii="仿宋" w:hAnsi="仿宋" w:eastAsia="仿宋" w:cs="仿宋"/>
          <w:b/>
          <w:bCs/>
          <w:color w:val="auto"/>
          <w:szCs w:val="21"/>
          <w:highlight w:val="none"/>
        </w:rPr>
        <w:t>第六条：本合同有效期同经济合同期限。</w:t>
      </w:r>
    </w:p>
    <w:p>
      <w:pPr>
        <w:shd w:val="clear"/>
        <w:spacing w:line="360" w:lineRule="auto"/>
        <w:ind w:firstLine="422" w:firstLineChars="200"/>
        <w:rPr>
          <w:rFonts w:ascii="仿宋" w:hAnsi="仿宋" w:eastAsia="仿宋" w:cs="仿宋"/>
          <w:b/>
          <w:bCs/>
          <w:color w:val="auto"/>
          <w:szCs w:val="21"/>
          <w:highlight w:val="none"/>
        </w:rPr>
      </w:pPr>
      <w:r>
        <w:rPr>
          <w:rFonts w:hint="eastAsia" w:ascii="仿宋" w:hAnsi="仿宋" w:eastAsia="仿宋" w:cs="仿宋"/>
          <w:b/>
          <w:bCs/>
          <w:color w:val="auto"/>
          <w:szCs w:val="21"/>
          <w:highlight w:val="none"/>
        </w:rPr>
        <w:t>第七条：本合同为经济合同附件，与主合同具有同等法律效力，甲、乙双方签署后生效。</w:t>
      </w:r>
    </w:p>
    <w:p>
      <w:pPr>
        <w:shd w:val="clear"/>
        <w:spacing w:line="360" w:lineRule="auto"/>
        <w:ind w:firstLine="422" w:firstLineChars="200"/>
        <w:rPr>
          <w:rFonts w:ascii="仿宋" w:hAnsi="仿宋" w:eastAsia="仿宋" w:cs="仿宋"/>
          <w:b/>
          <w:bCs/>
          <w:color w:val="auto"/>
          <w:szCs w:val="21"/>
          <w:highlight w:val="none"/>
        </w:rPr>
      </w:pPr>
      <w:r>
        <w:rPr>
          <w:rFonts w:hint="eastAsia" w:ascii="仿宋" w:hAnsi="仿宋" w:eastAsia="仿宋" w:cs="仿宋"/>
          <w:b/>
          <w:bCs/>
          <w:color w:val="auto"/>
          <w:szCs w:val="21"/>
          <w:highlight w:val="none"/>
        </w:rPr>
        <w:t>第八条：本合同一式</w:t>
      </w:r>
      <w:r>
        <w:rPr>
          <w:rFonts w:hint="eastAsia" w:ascii="仿宋" w:hAnsi="仿宋" w:eastAsia="仿宋" w:cs="仿宋"/>
          <w:b/>
          <w:bCs/>
          <w:color w:val="auto"/>
          <w:szCs w:val="21"/>
          <w:highlight w:val="none"/>
          <w:lang w:val="en-US" w:eastAsia="zh-CN"/>
        </w:rPr>
        <w:t>肆</w:t>
      </w:r>
      <w:r>
        <w:rPr>
          <w:rFonts w:hint="eastAsia" w:ascii="仿宋" w:hAnsi="仿宋" w:eastAsia="仿宋" w:cs="仿宋"/>
          <w:b/>
          <w:bCs/>
          <w:color w:val="auto"/>
          <w:szCs w:val="21"/>
          <w:highlight w:val="none"/>
        </w:rPr>
        <w:t>份，甲</w:t>
      </w:r>
      <w:r>
        <w:rPr>
          <w:rFonts w:hint="eastAsia" w:ascii="仿宋" w:hAnsi="仿宋" w:eastAsia="仿宋" w:cs="仿宋"/>
          <w:b/>
          <w:bCs/>
          <w:color w:val="auto"/>
          <w:szCs w:val="21"/>
          <w:highlight w:val="none"/>
          <w:lang w:val="en-US" w:eastAsia="zh-CN"/>
        </w:rPr>
        <w:t>方</w:t>
      </w:r>
      <w:r>
        <w:rPr>
          <w:rFonts w:hint="eastAsia" w:ascii="仿宋" w:hAnsi="仿宋" w:eastAsia="仿宋" w:cs="仿宋"/>
          <w:b/>
          <w:bCs/>
          <w:color w:val="auto"/>
          <w:szCs w:val="21"/>
          <w:highlight w:val="none"/>
          <w:lang w:val="en-US" w:eastAsia="zh-CN"/>
        </w:rPr>
        <w:t>贰</w:t>
      </w:r>
      <w:r>
        <w:rPr>
          <w:rFonts w:hint="eastAsia" w:ascii="仿宋" w:hAnsi="仿宋" w:eastAsia="仿宋" w:cs="仿宋"/>
          <w:b/>
          <w:bCs/>
          <w:color w:val="auto"/>
          <w:szCs w:val="21"/>
          <w:highlight w:val="none"/>
          <w:lang w:val="en-US" w:eastAsia="zh-CN"/>
        </w:rPr>
        <w:t>份，</w:t>
      </w:r>
      <w:r>
        <w:rPr>
          <w:rFonts w:hint="eastAsia" w:ascii="仿宋" w:hAnsi="仿宋" w:eastAsia="仿宋" w:cs="仿宋"/>
          <w:b/>
          <w:bCs/>
          <w:color w:val="auto"/>
          <w:szCs w:val="21"/>
          <w:highlight w:val="none"/>
        </w:rPr>
        <w:t>乙双</w:t>
      </w:r>
      <w:r>
        <w:rPr>
          <w:rFonts w:hint="eastAsia" w:ascii="仿宋" w:hAnsi="仿宋" w:eastAsia="仿宋" w:cs="仿宋"/>
          <w:b/>
          <w:bCs/>
          <w:color w:val="auto"/>
          <w:szCs w:val="21"/>
          <w:highlight w:val="none"/>
          <w:lang w:val="en-US" w:eastAsia="zh-CN"/>
        </w:rPr>
        <w:t>贰</w:t>
      </w:r>
      <w:r>
        <w:rPr>
          <w:rFonts w:hint="eastAsia" w:ascii="仿宋" w:hAnsi="仿宋" w:eastAsia="仿宋" w:cs="仿宋"/>
          <w:b/>
          <w:bCs/>
          <w:color w:val="auto"/>
          <w:szCs w:val="21"/>
          <w:highlight w:val="none"/>
          <w:lang w:val="en-US" w:eastAsia="zh-CN"/>
        </w:rPr>
        <w:t>份</w:t>
      </w:r>
      <w:r>
        <w:rPr>
          <w:rFonts w:hint="eastAsia" w:ascii="仿宋" w:hAnsi="仿宋" w:eastAsia="仿宋" w:cs="仿宋"/>
          <w:b/>
          <w:bCs/>
          <w:color w:val="auto"/>
          <w:szCs w:val="21"/>
          <w:highlight w:val="none"/>
        </w:rPr>
        <w:t>。</w:t>
      </w:r>
    </w:p>
    <w:p>
      <w:pPr>
        <w:shd w:val="clear"/>
        <w:spacing w:line="360" w:lineRule="auto"/>
        <w:ind w:firstLine="420" w:firstLineChars="200"/>
        <w:rPr>
          <w:rFonts w:ascii="仿宋" w:hAnsi="仿宋" w:eastAsia="仿宋" w:cs="仿宋"/>
          <w:color w:val="auto"/>
          <w:szCs w:val="21"/>
          <w:highlight w:val="none"/>
        </w:rPr>
      </w:pP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甲方单位：（盖章）                乙方单位：（盖章）</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法定代表人                        法定代表人</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（或授权代理人）签字：            （或授权代理人）签字：</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单位地址：                        单位地址：</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联系电话：                        联系电话：</w:t>
      </w:r>
    </w:p>
    <w:p>
      <w:pPr>
        <w:shd w:val="clear"/>
        <w:rPr>
          <w:rFonts w:ascii="仿宋" w:hAnsi="仿宋" w:eastAsia="仿宋" w:cs="仿宋"/>
          <w:color w:val="auto"/>
          <w:szCs w:val="21"/>
          <w:highlight w:val="none"/>
        </w:rPr>
      </w:pPr>
      <w:r>
        <w:rPr>
          <w:rFonts w:ascii="仿宋" w:hAnsi="仿宋" w:eastAsia="仿宋" w:cs="仿宋"/>
          <w:color w:val="auto"/>
          <w:szCs w:val="21"/>
          <w:highlight w:val="none"/>
        </w:rPr>
        <w:br w:type="page"/>
      </w:r>
    </w:p>
    <w:p>
      <w:pPr>
        <w:shd w:val="clear"/>
        <w:rPr>
          <w:rFonts w:ascii="仿宋" w:hAnsi="仿宋" w:eastAsia="仿宋" w:cs="仿宋"/>
          <w:color w:val="auto"/>
          <w:szCs w:val="21"/>
          <w:highlight w:val="none"/>
        </w:rPr>
      </w:pPr>
    </w:p>
    <w:p>
      <w:pPr>
        <w:pStyle w:val="5"/>
        <w:numPr>
          <w:ilvl w:val="1"/>
          <w:numId w:val="0"/>
        </w:numPr>
        <w:shd w:val="clear"/>
        <w:tabs>
          <w:tab w:val="clear" w:pos="567"/>
        </w:tabs>
        <w:spacing w:before="0" w:after="0" w:line="360" w:lineRule="auto"/>
        <w:rPr>
          <w:rFonts w:ascii="仿宋" w:hAnsi="仿宋" w:eastAsia="仿宋" w:cs="仿宋"/>
          <w:color w:val="auto"/>
          <w:sz w:val="28"/>
          <w:szCs w:val="28"/>
          <w:highlight w:val="none"/>
        </w:rPr>
      </w:pPr>
      <w:bookmarkStart w:id="590" w:name="_Toc11215"/>
      <w:r>
        <w:rPr>
          <w:rFonts w:hint="eastAsia" w:ascii="仿宋" w:hAnsi="仿宋" w:eastAsia="仿宋" w:cs="仿宋"/>
          <w:color w:val="auto"/>
          <w:sz w:val="28"/>
          <w:szCs w:val="28"/>
          <w:highlight w:val="none"/>
        </w:rPr>
        <w:t>第二阶段×××服务委托合同(A包)</w:t>
      </w:r>
      <w:bookmarkEnd w:id="590"/>
    </w:p>
    <w:p>
      <w:pPr>
        <w:shd w:val="clear"/>
        <w:rPr>
          <w:color w:val="auto"/>
          <w:highlight w:val="none"/>
        </w:rPr>
      </w:pP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甲方：</w:t>
      </w:r>
      <w:r>
        <w:rPr>
          <w:rFonts w:hint="eastAsia" w:ascii="仿宋" w:hAnsi="仿宋" w:eastAsia="仿宋" w:cs="仿宋"/>
          <w:color w:val="auto"/>
          <w:kern w:val="0"/>
          <w:sz w:val="24"/>
          <w:highlight w:val="none"/>
          <w:u w:val="single"/>
        </w:rPr>
        <w:t>郑州市中原区审计局</w:t>
      </w:r>
      <w:r>
        <w:rPr>
          <w:rFonts w:hint="eastAsia" w:ascii="仿宋" w:hAnsi="仿宋" w:eastAsia="仿宋" w:cs="仿宋"/>
          <w:color w:val="auto"/>
          <w:kern w:val="0"/>
          <w:sz w:val="24"/>
          <w:highlight w:val="none"/>
        </w:rPr>
        <w:t>（采购人）</w:t>
      </w: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地址：</w:t>
      </w: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联系方式：</w:t>
      </w:r>
    </w:p>
    <w:p>
      <w:pPr>
        <w:widowControl/>
        <w:shd w:val="clear"/>
        <w:spacing w:line="360" w:lineRule="auto"/>
        <w:ind w:firstLine="480" w:firstLineChars="200"/>
        <w:jc w:val="left"/>
        <w:rPr>
          <w:rFonts w:ascii="仿宋" w:hAnsi="仿宋" w:eastAsia="仿宋" w:cs="仿宋"/>
          <w:color w:val="auto"/>
          <w:kern w:val="0"/>
          <w:sz w:val="24"/>
          <w:highlight w:val="none"/>
        </w:rPr>
      </w:pP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乙方：</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（入围供应商）</w:t>
      </w: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地址：</w:t>
      </w:r>
    </w:p>
    <w:p>
      <w:pPr>
        <w:shd w:val="clear"/>
        <w:spacing w:line="360" w:lineRule="auto"/>
        <w:ind w:firstLine="480" w:firstLineChars="200"/>
        <w:jc w:val="left"/>
        <w:rPr>
          <w:rFonts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联系方式：</w:t>
      </w:r>
    </w:p>
    <w:p>
      <w:pPr>
        <w:shd w:val="clear"/>
        <w:spacing w:line="360" w:lineRule="auto"/>
        <w:ind w:firstLine="480" w:firstLineChars="200"/>
        <w:jc w:val="left"/>
        <w:rPr>
          <w:rFonts w:ascii="仿宋" w:hAnsi="仿宋" w:eastAsia="仿宋" w:cs="仿宋"/>
          <w:color w:val="auto"/>
          <w:sz w:val="24"/>
          <w:highlight w:val="none"/>
        </w:rPr>
      </w:pP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签订时间：</w:t>
      </w:r>
    </w:p>
    <w:p>
      <w:pPr>
        <w:shd w:val="clear"/>
        <w:spacing w:line="360" w:lineRule="auto"/>
        <w:ind w:firstLine="480" w:firstLineChars="20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签订地点：</w:t>
      </w:r>
      <w:r>
        <w:rPr>
          <w:rFonts w:hint="eastAsia" w:ascii="仿宋" w:hAnsi="仿宋" w:eastAsia="仿宋" w:cs="仿宋"/>
          <w:color w:val="auto"/>
          <w:sz w:val="24"/>
          <w:highlight w:val="none"/>
          <w:u w:val="single"/>
        </w:rPr>
        <w:t>郑州市中原区</w:t>
      </w:r>
    </w:p>
    <w:p>
      <w:pPr>
        <w:shd w:val="clear"/>
        <w:spacing w:line="360" w:lineRule="auto"/>
        <w:ind w:firstLine="480" w:firstLineChars="200"/>
        <w:rPr>
          <w:rFonts w:ascii="仿宋" w:hAnsi="仿宋" w:eastAsia="仿宋" w:cs="仿宋"/>
          <w:color w:val="auto"/>
          <w:sz w:val="24"/>
          <w:highlight w:val="none"/>
        </w:rPr>
      </w:pP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根据</w:t>
      </w:r>
      <w:r>
        <w:rPr>
          <w:rFonts w:hint="eastAsia" w:ascii="仿宋" w:hAnsi="仿宋" w:eastAsia="仿宋" w:cs="仿宋"/>
          <w:color w:val="auto"/>
          <w:sz w:val="24"/>
          <w:highlight w:val="none"/>
          <w:u w:val="single"/>
        </w:rPr>
        <w:t>郑州市中原区审计局2023年审计服务中介机构框架协议采购项目</w:t>
      </w:r>
      <w:r>
        <w:rPr>
          <w:rFonts w:hint="eastAsia" w:ascii="仿宋" w:hAnsi="仿宋" w:eastAsia="仿宋" w:cs="仿宋"/>
          <w:color w:val="auto"/>
          <w:sz w:val="24"/>
          <w:highlight w:val="none"/>
        </w:rPr>
        <w:t>征集入围结果，甲乙双方依据《中华人民共和国民法典》 、《中华人民共和国政府采购法》 、《政府采购框架协议采购方式管理暂行办法》的有关规定，经双方平等友好协商，达成以下合同条款。</w:t>
      </w:r>
    </w:p>
    <w:p>
      <w:pPr>
        <w:shd w:val="clear"/>
        <w:spacing w:line="360" w:lineRule="auto"/>
        <w:ind w:firstLine="482" w:firstLineChars="200"/>
        <w:rPr>
          <w:rFonts w:ascii="仿宋" w:hAnsi="仿宋" w:eastAsia="仿宋" w:cs="仿宋"/>
          <w:b/>
          <w:bCs/>
          <w:color w:val="auto"/>
          <w:sz w:val="24"/>
          <w:highlight w:val="none"/>
        </w:rPr>
      </w:pPr>
      <w:r>
        <w:rPr>
          <w:rFonts w:hint="eastAsia" w:ascii="仿宋" w:hAnsi="仿宋" w:eastAsia="仿宋" w:cs="仿宋"/>
          <w:b/>
          <w:bCs/>
          <w:color w:val="auto"/>
          <w:sz w:val="24"/>
          <w:highlight w:val="none"/>
        </w:rPr>
        <w:t>一、委托事项</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甲方委托乙方对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项目进行</w:t>
      </w:r>
      <w:r>
        <w:rPr>
          <w:rFonts w:hint="eastAsia" w:ascii="仿宋" w:hAnsi="仿宋" w:eastAsia="仿宋" w:cs="仿宋"/>
          <w:color w:val="auto"/>
          <w:sz w:val="24"/>
          <w:highlight w:val="none"/>
        </w:rPr>
        <w:t>工程审计服务</w:t>
      </w:r>
      <w:r>
        <w:rPr>
          <w:rFonts w:hint="eastAsia" w:ascii="仿宋" w:hAnsi="仿宋" w:eastAsia="仿宋" w:cs="仿宋"/>
          <w:color w:val="auto"/>
          <w:sz w:val="24"/>
          <w:highlight w:val="none"/>
        </w:rPr>
        <w:t>，乙方同意接受甲方的委托，指派专人负责项目实施，依照相关规定的程序、规范，完成委托事项，出具相应审计服务成果文件材料。</w:t>
      </w:r>
    </w:p>
    <w:p>
      <w:pPr>
        <w:shd w:val="clear"/>
        <w:spacing w:line="360" w:lineRule="auto"/>
        <w:ind w:firstLine="482" w:firstLineChars="200"/>
        <w:rPr>
          <w:rFonts w:ascii="仿宋" w:hAnsi="仿宋" w:eastAsia="仿宋" w:cs="仿宋"/>
          <w:b/>
          <w:bCs/>
          <w:color w:val="auto"/>
          <w:sz w:val="24"/>
          <w:highlight w:val="none"/>
        </w:rPr>
      </w:pPr>
      <w:r>
        <w:rPr>
          <w:rFonts w:hint="eastAsia" w:ascii="仿宋" w:hAnsi="仿宋" w:eastAsia="仿宋" w:cs="仿宋"/>
          <w:b/>
          <w:bCs/>
          <w:color w:val="auto"/>
          <w:sz w:val="24"/>
          <w:highlight w:val="none"/>
        </w:rPr>
        <w:t>二、项目基本情况</w:t>
      </w:r>
    </w:p>
    <w:p>
      <w:pPr>
        <w:numPr>
          <w:ilvl w:val="0"/>
          <w:numId w:val="14"/>
        </w:numPr>
        <w:shd w:val="clear"/>
        <w:autoSpaceDE w:val="0"/>
        <w:autoSpaceDN w:val="0"/>
        <w:adjustRightInd w:val="0"/>
        <w:spacing w:line="360" w:lineRule="auto"/>
        <w:ind w:firstLine="480" w:firstLineChars="20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p>
    <w:p>
      <w:pPr>
        <w:numPr>
          <w:ilvl w:val="0"/>
          <w:numId w:val="14"/>
        </w:numPr>
        <w:shd w:val="clear"/>
        <w:autoSpaceDE w:val="0"/>
        <w:autoSpaceDN w:val="0"/>
        <w:adjustRightInd w:val="0"/>
        <w:spacing w:line="360" w:lineRule="auto"/>
        <w:ind w:firstLine="480" w:firstLineChars="20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服务内容：</w:t>
      </w:r>
      <w:r>
        <w:rPr>
          <w:rFonts w:hint="eastAsia" w:ascii="仿宋" w:hAnsi="仿宋" w:eastAsia="仿宋" w:cs="仿宋"/>
          <w:color w:val="auto"/>
          <w:sz w:val="24"/>
          <w:highlight w:val="none"/>
          <w:u w:val="single"/>
        </w:rPr>
        <w:t xml:space="preserve">                                  </w:t>
      </w:r>
    </w:p>
    <w:p>
      <w:pPr>
        <w:numPr>
          <w:ilvl w:val="0"/>
          <w:numId w:val="14"/>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服务期限：</w:t>
      </w:r>
      <w:r>
        <w:rPr>
          <w:rFonts w:hint="eastAsia" w:ascii="仿宋" w:hAnsi="仿宋" w:eastAsia="仿宋" w:cs="仿宋"/>
          <w:color w:val="auto"/>
          <w:sz w:val="24"/>
          <w:highlight w:val="none"/>
          <w:u w:val="single"/>
        </w:rPr>
        <w:t xml:space="preserve">                                  </w:t>
      </w:r>
    </w:p>
    <w:p>
      <w:pPr>
        <w:numPr>
          <w:ilvl w:val="0"/>
          <w:numId w:val="14"/>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项目投资金额：</w:t>
      </w:r>
      <w:r>
        <w:rPr>
          <w:rFonts w:hint="eastAsia" w:ascii="仿宋" w:hAnsi="仿宋" w:eastAsia="仿宋" w:cs="仿宋"/>
          <w:color w:val="auto"/>
          <w:sz w:val="24"/>
          <w:highlight w:val="none"/>
          <w:u w:val="single"/>
        </w:rPr>
        <w:t xml:space="preserve">                              </w:t>
      </w:r>
    </w:p>
    <w:p>
      <w:pPr>
        <w:numPr>
          <w:ilvl w:val="0"/>
          <w:numId w:val="14"/>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质量要求：</w:t>
      </w:r>
      <w:r>
        <w:rPr>
          <w:rFonts w:hint="eastAsia" w:ascii="仿宋" w:hAnsi="仿宋" w:eastAsia="仿宋" w:cs="仿宋"/>
          <w:color w:val="auto"/>
          <w:sz w:val="24"/>
          <w:highlight w:val="none"/>
          <w:u w:val="single"/>
        </w:rPr>
        <w:t xml:space="preserve">                                  </w:t>
      </w:r>
    </w:p>
    <w:p>
      <w:pPr>
        <w:numPr>
          <w:ilvl w:val="0"/>
          <w:numId w:val="14"/>
        </w:numPr>
        <w:shd w:val="clear"/>
        <w:autoSpaceDE w:val="0"/>
        <w:autoSpaceDN w:val="0"/>
        <w:adjustRightInd w:val="0"/>
        <w:spacing w:line="360" w:lineRule="auto"/>
        <w:ind w:firstLine="480" w:firstLineChars="20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履行合同的地域范围：</w:t>
      </w:r>
      <w:r>
        <w:rPr>
          <w:rFonts w:hint="eastAsia" w:ascii="仿宋" w:hAnsi="仿宋" w:eastAsia="仿宋" w:cs="仿宋"/>
          <w:color w:val="auto"/>
          <w:sz w:val="24"/>
          <w:highlight w:val="none"/>
          <w:u w:val="single"/>
          <w:lang w:eastAsia="zh-CN"/>
        </w:rPr>
        <w:t>郑州市</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三、双方的权利义务</w:t>
      </w:r>
    </w:p>
    <w:p>
      <w:pPr>
        <w:shd w:val="clear"/>
        <w:spacing w:line="360" w:lineRule="auto"/>
        <w:ind w:firstLine="482" w:firstLineChars="200"/>
        <w:jc w:val="left"/>
        <w:rPr>
          <w:rFonts w:ascii="仿宋" w:hAnsi="仿宋" w:eastAsia="仿宋" w:cs="仿宋"/>
          <w:color w:val="auto"/>
          <w:sz w:val="24"/>
          <w:highlight w:val="none"/>
        </w:rPr>
      </w:pPr>
      <w:r>
        <w:rPr>
          <w:rFonts w:hint="eastAsia" w:ascii="仿宋" w:hAnsi="仿宋" w:eastAsia="仿宋" w:cs="仿宋"/>
          <w:b/>
          <w:bCs/>
          <w:color w:val="auto"/>
          <w:sz w:val="24"/>
          <w:highlight w:val="none"/>
        </w:rPr>
        <w:t>（一）甲方的权利与义务</w:t>
      </w:r>
    </w:p>
    <w:p>
      <w:pPr>
        <w:numPr>
          <w:ilvl w:val="0"/>
          <w:numId w:val="15"/>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按合同约定，接收并审核项目成果材料。</w:t>
      </w:r>
    </w:p>
    <w:p>
      <w:pPr>
        <w:numPr>
          <w:ilvl w:val="0"/>
          <w:numId w:val="15"/>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对合同规定范围内乙方的服务行为进行监督和检查。</w:t>
      </w:r>
    </w:p>
    <w:p>
      <w:pPr>
        <w:numPr>
          <w:ilvl w:val="0"/>
          <w:numId w:val="15"/>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向乙方询问履行合同工作进展情况和相关内容。</w:t>
      </w:r>
    </w:p>
    <w:p>
      <w:pPr>
        <w:numPr>
          <w:ilvl w:val="0"/>
          <w:numId w:val="15"/>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根据项目实际情况，在合同履约中，与乙方协商对本合同的服务范围和工作内容进行适当调整。</w:t>
      </w:r>
    </w:p>
    <w:p>
      <w:pPr>
        <w:numPr>
          <w:ilvl w:val="0"/>
          <w:numId w:val="15"/>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与乙方协商，建议更换其不称职的工作人员。</w:t>
      </w:r>
    </w:p>
    <w:p>
      <w:pPr>
        <w:numPr>
          <w:ilvl w:val="0"/>
          <w:numId w:val="15"/>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甲方根据框架协议约定，在质量不降低、价格不提高的前提下，对入围供应商因产品升级换代、用新产品代替原产品的情形进行审核。</w:t>
      </w:r>
    </w:p>
    <w:p>
      <w:pPr>
        <w:numPr>
          <w:ilvl w:val="0"/>
          <w:numId w:val="15"/>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甲方应及时督促并协助向乙方提供保证履行合同所需的全部资料。</w:t>
      </w:r>
    </w:p>
    <w:p>
      <w:pPr>
        <w:numPr>
          <w:ilvl w:val="0"/>
          <w:numId w:val="15"/>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甲方应及时为乙方的审计工作提供必要的工作场所。</w:t>
      </w:r>
    </w:p>
    <w:p>
      <w:pPr>
        <w:numPr>
          <w:ilvl w:val="0"/>
          <w:numId w:val="15"/>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甲方应按约定及时足额支付审计费用。</w:t>
      </w:r>
    </w:p>
    <w:p>
      <w:pPr>
        <w:numPr>
          <w:ilvl w:val="0"/>
          <w:numId w:val="15"/>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甲方应当为乙方完成其审计服务工作，设定合理的工作时限。</w:t>
      </w:r>
    </w:p>
    <w:p>
      <w:pPr>
        <w:numPr>
          <w:ilvl w:val="0"/>
          <w:numId w:val="15"/>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甲方对合同执行情况进行反馈与评价。</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（二）乙方的权利与义务</w:t>
      </w:r>
    </w:p>
    <w:p>
      <w:pPr>
        <w:numPr>
          <w:ilvl w:val="0"/>
          <w:numId w:val="16"/>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按照合同约定收取报酬。</w:t>
      </w:r>
    </w:p>
    <w:p>
      <w:pPr>
        <w:numPr>
          <w:ilvl w:val="0"/>
          <w:numId w:val="16"/>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当通过甲方接收到的该项目资料不足时，有权要求甲方督促建设单位及时补足资料。</w:t>
      </w:r>
    </w:p>
    <w:p>
      <w:pPr>
        <w:numPr>
          <w:ilvl w:val="0"/>
          <w:numId w:val="16"/>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认真履行协议约定的工作内容，接受甲方的监督检查；严格依据国家、省、市有关法律法规，行业相关规定以及通过甲方接收到的该项目全部资料，如期提交项目成果材料，提交的项目成果材料应符合本合同约定的质量标准并经甲方审核通过。</w:t>
      </w:r>
    </w:p>
    <w:p>
      <w:pPr>
        <w:numPr>
          <w:ilvl w:val="0"/>
          <w:numId w:val="16"/>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保守在本合同约定的审计服务过程中知悉的各项秘密及内容。</w:t>
      </w:r>
    </w:p>
    <w:p>
      <w:pPr>
        <w:numPr>
          <w:ilvl w:val="0"/>
          <w:numId w:val="16"/>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应组建由专业人员组成的专业配比合理的项目团队，由具有良好职业道德、高度责任感和敬业精神的专业人员担任项目负责人。项目负责人全面负责整个小组工作，与甲方沟通联络。在本合同履行过程中，项目团队人员应保持相对稳定，以保证审计服务工作正常进行。项目负责人原则上不予更换，如需更换必须取得甲方同意。</w:t>
      </w:r>
    </w:p>
    <w:p>
      <w:pPr>
        <w:numPr>
          <w:ilvl w:val="0"/>
          <w:numId w:val="16"/>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bookmarkStart w:id="591" w:name="_Hlk135293743"/>
      <w:r>
        <w:rPr>
          <w:rFonts w:hint="eastAsia" w:ascii="仿宋" w:hAnsi="仿宋" w:eastAsia="仿宋" w:cs="仿宋"/>
          <w:color w:val="auto"/>
          <w:sz w:val="24"/>
          <w:highlight w:val="none"/>
        </w:rPr>
        <w:t>存在应当回避情形时，乙方及其项目团队人员应当主动告知甲方，并予以回避。</w:t>
      </w:r>
    </w:p>
    <w:bookmarkEnd w:id="591"/>
    <w:p>
      <w:pPr>
        <w:numPr>
          <w:ilvl w:val="0"/>
          <w:numId w:val="16"/>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在开展项目审计服务过程中严格遵守审计“八不准”工作纪律、审计“四严禁”工作要求，不得向该项目相关单位及任何第三方收取任何报酬或取得其他利益，否则由乙方承担法律和经济责任。</w:t>
      </w:r>
    </w:p>
    <w:p>
      <w:pPr>
        <w:numPr>
          <w:ilvl w:val="0"/>
          <w:numId w:val="16"/>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对其出具的项目成果材料的真实性、合法性负责，并独立承担全部法律责任。</w:t>
      </w:r>
    </w:p>
    <w:p>
      <w:pPr>
        <w:numPr>
          <w:ilvl w:val="0"/>
          <w:numId w:val="16"/>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对承办事项及工作结果有义务参加甲方组织的听证、复议、裁决或诉讼等工作，负责相关审计事项的解释、答疑和澄清。</w:t>
      </w:r>
    </w:p>
    <w:p>
      <w:pPr>
        <w:numPr>
          <w:ilvl w:val="0"/>
          <w:numId w:val="16"/>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乙方保证在质量不降低、价格不提高的前提下，对入围产品进行升级换代，用新产品代替原产品。</w:t>
      </w:r>
    </w:p>
    <w:p>
      <w:pPr>
        <w:numPr>
          <w:ilvl w:val="0"/>
          <w:numId w:val="16"/>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同意甲方为实施政府采购工作的需要，可以在相关政府采购网站和相关文件上公布乙方服务价格等相关信息，且无需事先经过乙方审查同意，任何在官方媒体的信息公布均属于或均被视为符合法律程序的信息公布，均不属于对有关保密义务的违反。</w:t>
      </w:r>
    </w:p>
    <w:p>
      <w:pPr>
        <w:numPr>
          <w:ilvl w:val="0"/>
          <w:numId w:val="16"/>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承诺在本项目项下的任何行为均将严格遵守法律、法规的规定，包括但不限于应当符合有关依法纳税、环境保护、知识产权、童工禁用、劳动保护、劳动保险与待遇等各方面的规定。尽管乙方已做出上述保证，若一旦发生违反法律、法规、承诺之任何情形，均属乙方单方面之因素、原因、责任，任何情况下乙方均应当承担相应的法律责任。</w:t>
      </w:r>
    </w:p>
    <w:p>
      <w:pPr>
        <w:numPr>
          <w:ilvl w:val="0"/>
          <w:numId w:val="16"/>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国家法律、法规所规定由乙方承担的其它责任。</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四、违约责任</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甲方与乙方双方必须遵守本合同并执行合同中的各项规定，保证本合同的正常履行。</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五、合同价款</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本项目合同价款按照《郑州市中原区审计局聘请中介机构和外部人员参与审计工作管理暂行办法》（中原审〔2023〕4号）规定进行结算。</w:t>
      </w:r>
    </w:p>
    <w:p>
      <w:pPr>
        <w:shd w:val="clear"/>
        <w:spacing w:line="360" w:lineRule="auto"/>
        <w:ind w:firstLine="482" w:firstLineChars="200"/>
        <w:rPr>
          <w:rFonts w:ascii="仿宋" w:hAnsi="仿宋" w:eastAsia="仿宋" w:cs="仿宋"/>
          <w:b/>
          <w:bCs/>
          <w:color w:val="auto"/>
          <w:sz w:val="24"/>
          <w:highlight w:val="none"/>
        </w:rPr>
      </w:pPr>
      <w:r>
        <w:rPr>
          <w:rFonts w:hint="eastAsia" w:ascii="仿宋" w:hAnsi="仿宋" w:eastAsia="仿宋" w:cs="仿宋"/>
          <w:b/>
          <w:bCs/>
          <w:color w:val="auto"/>
          <w:sz w:val="24"/>
          <w:highlight w:val="none"/>
        </w:rPr>
        <w:t>六、资金支付</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乙方完成</w:t>
      </w:r>
      <w:bookmarkStart w:id="592" w:name="_Hlk135064099"/>
      <w:r>
        <w:rPr>
          <w:rFonts w:hint="eastAsia" w:ascii="仿宋" w:hAnsi="仿宋" w:eastAsia="仿宋" w:cs="仿宋"/>
          <w:color w:val="auto"/>
          <w:sz w:val="24"/>
          <w:highlight w:val="none"/>
        </w:rPr>
        <w:t>甲方委托的本合同审计服务内容，并提交相应审计服务成果文件</w:t>
      </w:r>
      <w:bookmarkEnd w:id="592"/>
      <w:r>
        <w:rPr>
          <w:rFonts w:hint="eastAsia" w:ascii="仿宋" w:hAnsi="仿宋" w:eastAsia="仿宋" w:cs="仿宋"/>
          <w:color w:val="auto"/>
          <w:sz w:val="24"/>
          <w:highlight w:val="none"/>
        </w:rPr>
        <w:t>材料，经验收合格后，甲方于90日内支付本合同价款。</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七、合同纠纷处理</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因本合同或与本合同有关的一切事项发生争议，由双方友好协商解决。协商不成的，任何一方均可向合同签订地人民法院提起诉讼。</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八、违约解除合同</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（一）本合同范围的服务乙方不得以任何方式和形式进行转包和分包。乙方如有转包和分包的行为，甲方有权给予终止合同。</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（二）乙方未能履行合同规定的主要义务。</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九、其他法律责任</w:t>
      </w:r>
    </w:p>
    <w:p>
      <w:pPr>
        <w:shd w:val="clear"/>
        <w:autoSpaceDE w:val="0"/>
        <w:autoSpaceDN w:val="0"/>
        <w:adjustRightIn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乙方有下列情况之一的，甲方有权停止乙方承担的工作、扣减审计服务费用、单方解除合同，依法向乙方追索经济赔偿，并根据需要移送有关部门处理；涉嫌犯罪的，移送司法机关追究刑事责任。</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（一）乙方及其派出人员过错导致有关审计结论错误。</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（二）乙方及其派出人员违反国家有关的法律、法规，违反审计“八不准”工作纪律、审计“四严禁”工作要求。</w:t>
      </w:r>
    </w:p>
    <w:p>
      <w:pPr>
        <w:shd w:val="clear"/>
        <w:autoSpaceDE w:val="0"/>
        <w:autoSpaceDN w:val="0"/>
        <w:adjustRightInd w:val="0"/>
        <w:spacing w:line="360" w:lineRule="auto"/>
        <w:ind w:firstLine="420" w:firstLineChars="200"/>
        <w:jc w:val="left"/>
        <w:rPr>
          <w:rFonts w:ascii="仿宋" w:hAnsi="仿宋" w:eastAsia="仿宋" w:cs="仿宋"/>
          <w:color w:val="auto"/>
          <w:sz w:val="24"/>
          <w:highlight w:val="none"/>
        </w:rPr>
      </w:pPr>
      <w:r>
        <w:rPr>
          <w:rFonts w:hint="eastAsia"/>
          <w:color w:val="auto"/>
          <w:highlight w:val="none"/>
        </w:rPr>
        <w:t xml:space="preserve"> </w:t>
      </w:r>
      <w:r>
        <w:rPr>
          <w:rFonts w:hint="eastAsia" w:ascii="仿宋" w:hAnsi="仿宋" w:eastAsia="仿宋" w:cs="仿宋"/>
          <w:color w:val="auto"/>
          <w:sz w:val="24"/>
          <w:highlight w:val="none"/>
        </w:rPr>
        <w:t>（三）乙方及其派出人员在本合同履行过程中有腐败和欺诈行为的。</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十、其他约定</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（一）本合同未尽事宜，双方另行补充。</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（二）本合同字签字、盖章后生效；本合同一式</w:t>
      </w:r>
      <w:r>
        <w:rPr>
          <w:rFonts w:hint="eastAsia" w:ascii="仿宋" w:hAnsi="仿宋" w:eastAsia="仿宋" w:cs="仿宋"/>
          <w:color w:val="auto"/>
          <w:sz w:val="24"/>
          <w:highlight w:val="none"/>
          <w:u w:val="single"/>
        </w:rPr>
        <w:t xml:space="preserve">  肆  </w:t>
      </w:r>
      <w:r>
        <w:rPr>
          <w:rFonts w:hint="eastAsia" w:ascii="仿宋" w:hAnsi="仿宋" w:eastAsia="仿宋" w:cs="仿宋"/>
          <w:color w:val="auto"/>
          <w:sz w:val="24"/>
          <w:highlight w:val="none"/>
        </w:rPr>
        <w:t>份，具有同等法律效力，其中甲方、乙方各执</w:t>
      </w:r>
      <w:r>
        <w:rPr>
          <w:rFonts w:hint="eastAsia" w:ascii="仿宋" w:hAnsi="仿宋" w:eastAsia="仿宋" w:cs="仿宋"/>
          <w:color w:val="auto"/>
          <w:sz w:val="24"/>
          <w:highlight w:val="none"/>
          <w:u w:val="single"/>
        </w:rPr>
        <w:t xml:space="preserve">  贰  </w:t>
      </w:r>
      <w:r>
        <w:rPr>
          <w:rFonts w:hint="eastAsia" w:ascii="仿宋" w:hAnsi="仿宋" w:eastAsia="仿宋" w:cs="仿宋"/>
          <w:color w:val="auto"/>
          <w:sz w:val="24"/>
          <w:highlight w:val="none"/>
        </w:rPr>
        <w:t>份。</w:t>
      </w:r>
    </w:p>
    <w:p>
      <w:pPr>
        <w:pStyle w:val="2"/>
        <w:shd w:val="clear"/>
        <w:ind w:firstLine="0"/>
        <w:rPr>
          <w:color w:val="auto"/>
          <w:highlight w:val="none"/>
        </w:rPr>
      </w:pP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甲方（盖章）：                        乙方（盖章）：</w:t>
      </w:r>
    </w:p>
    <w:p>
      <w:pPr>
        <w:pStyle w:val="45"/>
        <w:shd w:val="clear"/>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法定代表人或授权的代理人             法定代表人或授权的代理人</w:t>
      </w:r>
    </w:p>
    <w:p>
      <w:pPr>
        <w:pStyle w:val="45"/>
        <w:shd w:val="clear"/>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（签字或盖章）：                     （签字或盖章）：</w:t>
      </w: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纳税人识别码：                       纳税人识别码：</w:t>
      </w: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账    号：                           账    号：</w:t>
      </w: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开户银行：                           开户银行：</w:t>
      </w: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电    话：                           电    话：</w:t>
      </w:r>
    </w:p>
    <w:p>
      <w:pPr>
        <w:shd w:val="clear"/>
        <w:spacing w:line="360" w:lineRule="auto"/>
        <w:ind w:firstLine="1200" w:firstLineChars="500"/>
        <w:jc w:val="left"/>
        <w:rPr>
          <w:rFonts w:ascii="仿宋" w:hAnsi="仿宋" w:eastAsia="仿宋" w:cs="仿宋"/>
          <w:color w:val="auto"/>
          <w:sz w:val="24"/>
          <w:highlight w:val="none"/>
        </w:rPr>
      </w:pPr>
      <w:r>
        <w:rPr>
          <w:rFonts w:hint="eastAsia" w:ascii="仿宋" w:hAnsi="仿宋" w:eastAsia="仿宋" w:cs="仿宋"/>
          <w:color w:val="auto"/>
          <w:sz w:val="24"/>
          <w:highlight w:val="none"/>
        </w:rPr>
        <w:t>年  月  日                      年  月  日</w:t>
      </w:r>
    </w:p>
    <w:p>
      <w:pPr>
        <w:shd w:val="clear"/>
        <w:rPr>
          <w:rFonts w:ascii="仿宋" w:hAnsi="仿宋" w:eastAsia="仿宋" w:cs="仿宋"/>
          <w:color w:val="auto"/>
          <w:szCs w:val="21"/>
          <w:highlight w:val="none"/>
        </w:rPr>
      </w:pPr>
    </w:p>
    <w:p>
      <w:pPr>
        <w:shd w:val="clear"/>
        <w:rPr>
          <w:color w:val="auto"/>
          <w:highlight w:val="none"/>
        </w:rPr>
      </w:pPr>
      <w:r>
        <w:rPr>
          <w:color w:val="auto"/>
          <w:highlight w:val="none"/>
        </w:rPr>
        <w:br w:type="page"/>
      </w:r>
    </w:p>
    <w:p>
      <w:pPr>
        <w:shd w:val="clear"/>
        <w:rPr>
          <w:rFonts w:ascii="仿宋" w:hAnsi="仿宋" w:eastAsia="仿宋" w:cs="仿宋"/>
          <w:color w:val="auto"/>
          <w:szCs w:val="21"/>
          <w:highlight w:val="none"/>
        </w:rPr>
      </w:pPr>
    </w:p>
    <w:p>
      <w:pPr>
        <w:pStyle w:val="5"/>
        <w:numPr>
          <w:ilvl w:val="1"/>
          <w:numId w:val="0"/>
        </w:numPr>
        <w:shd w:val="clear"/>
        <w:tabs>
          <w:tab w:val="clear" w:pos="567"/>
        </w:tabs>
        <w:spacing w:before="0" w:after="0" w:line="360" w:lineRule="auto"/>
        <w:rPr>
          <w:rFonts w:ascii="仿宋" w:hAnsi="仿宋" w:eastAsia="仿宋" w:cs="仿宋"/>
          <w:color w:val="auto"/>
          <w:sz w:val="28"/>
          <w:szCs w:val="28"/>
          <w:highlight w:val="none"/>
        </w:rPr>
      </w:pPr>
      <w:bookmarkStart w:id="593" w:name="_Toc28499"/>
      <w:r>
        <w:rPr>
          <w:rFonts w:hint="eastAsia" w:ascii="仿宋" w:hAnsi="仿宋" w:eastAsia="仿宋" w:cs="仿宋"/>
          <w:color w:val="auto"/>
          <w:sz w:val="28"/>
          <w:szCs w:val="28"/>
          <w:highlight w:val="none"/>
        </w:rPr>
        <w:t>第二阶段×××服务委托合同(B包)</w:t>
      </w:r>
      <w:bookmarkEnd w:id="593"/>
    </w:p>
    <w:p>
      <w:pPr>
        <w:shd w:val="clear"/>
        <w:rPr>
          <w:color w:val="auto"/>
          <w:highlight w:val="none"/>
        </w:rPr>
      </w:pP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甲方：</w:t>
      </w:r>
      <w:r>
        <w:rPr>
          <w:rFonts w:hint="eastAsia" w:ascii="仿宋" w:hAnsi="仿宋" w:eastAsia="仿宋" w:cs="仿宋"/>
          <w:color w:val="auto"/>
          <w:kern w:val="0"/>
          <w:sz w:val="24"/>
          <w:highlight w:val="none"/>
          <w:u w:val="single"/>
        </w:rPr>
        <w:t>郑州市中原区审计局</w:t>
      </w:r>
      <w:r>
        <w:rPr>
          <w:rFonts w:hint="eastAsia" w:ascii="仿宋" w:hAnsi="仿宋" w:eastAsia="仿宋" w:cs="仿宋"/>
          <w:color w:val="auto"/>
          <w:kern w:val="0"/>
          <w:sz w:val="24"/>
          <w:highlight w:val="none"/>
        </w:rPr>
        <w:t>（采购人）</w:t>
      </w: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地址：</w:t>
      </w: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联系方式：</w:t>
      </w:r>
    </w:p>
    <w:p>
      <w:pPr>
        <w:widowControl/>
        <w:shd w:val="clear"/>
        <w:spacing w:line="360" w:lineRule="auto"/>
        <w:ind w:firstLine="480" w:firstLineChars="200"/>
        <w:jc w:val="left"/>
        <w:rPr>
          <w:rFonts w:ascii="仿宋" w:hAnsi="仿宋" w:eastAsia="仿宋" w:cs="仿宋"/>
          <w:color w:val="auto"/>
          <w:kern w:val="0"/>
          <w:sz w:val="24"/>
          <w:highlight w:val="none"/>
        </w:rPr>
      </w:pP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乙方：</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（入围供应商）</w:t>
      </w:r>
    </w:p>
    <w:p>
      <w:pPr>
        <w:widowControl/>
        <w:shd w:val="clear"/>
        <w:spacing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地址：</w:t>
      </w:r>
    </w:p>
    <w:p>
      <w:pPr>
        <w:shd w:val="clear"/>
        <w:spacing w:line="360" w:lineRule="auto"/>
        <w:ind w:firstLine="480" w:firstLineChars="200"/>
        <w:jc w:val="left"/>
        <w:rPr>
          <w:rFonts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联系方式：</w:t>
      </w:r>
    </w:p>
    <w:p>
      <w:pPr>
        <w:shd w:val="clear"/>
        <w:spacing w:line="360" w:lineRule="auto"/>
        <w:ind w:firstLine="480" w:firstLineChars="200"/>
        <w:jc w:val="left"/>
        <w:rPr>
          <w:rFonts w:ascii="仿宋" w:hAnsi="仿宋" w:eastAsia="仿宋" w:cs="仿宋"/>
          <w:color w:val="auto"/>
          <w:sz w:val="24"/>
          <w:highlight w:val="none"/>
        </w:rPr>
      </w:pP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签订时间：</w:t>
      </w:r>
    </w:p>
    <w:p>
      <w:pPr>
        <w:shd w:val="clear"/>
        <w:spacing w:line="360" w:lineRule="auto"/>
        <w:ind w:firstLine="480" w:firstLineChars="20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签订地点：</w:t>
      </w:r>
      <w:r>
        <w:rPr>
          <w:rFonts w:hint="eastAsia" w:ascii="仿宋" w:hAnsi="仿宋" w:eastAsia="仿宋" w:cs="仿宋"/>
          <w:color w:val="auto"/>
          <w:sz w:val="24"/>
          <w:highlight w:val="none"/>
          <w:u w:val="single"/>
        </w:rPr>
        <w:t>郑州市中原区</w:t>
      </w:r>
    </w:p>
    <w:p>
      <w:pPr>
        <w:shd w:val="clear"/>
        <w:spacing w:line="360" w:lineRule="auto"/>
        <w:ind w:firstLine="480" w:firstLineChars="200"/>
        <w:rPr>
          <w:rFonts w:ascii="仿宋" w:hAnsi="仿宋" w:eastAsia="仿宋" w:cs="仿宋"/>
          <w:color w:val="auto"/>
          <w:sz w:val="24"/>
          <w:highlight w:val="none"/>
        </w:rPr>
      </w:pP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根据</w:t>
      </w:r>
      <w:r>
        <w:rPr>
          <w:rFonts w:hint="eastAsia" w:ascii="仿宋" w:hAnsi="仿宋" w:eastAsia="仿宋" w:cs="仿宋"/>
          <w:color w:val="auto"/>
          <w:sz w:val="24"/>
          <w:highlight w:val="none"/>
          <w:u w:val="single"/>
        </w:rPr>
        <w:t>郑州市中原区审计局2023年审计服务中介机构框架协议采购项目</w:t>
      </w:r>
      <w:r>
        <w:rPr>
          <w:rFonts w:hint="eastAsia" w:ascii="仿宋" w:hAnsi="仿宋" w:eastAsia="仿宋" w:cs="仿宋"/>
          <w:color w:val="auto"/>
          <w:sz w:val="24"/>
          <w:highlight w:val="none"/>
        </w:rPr>
        <w:t>征集入围结果，甲乙双方依据《中华人民共和国民法典》 、《中华人民共和国政府采购法》 、《政府采购框架协议采购方式管理暂行办法》的有关规定，经双方平等友好协商，达成以下合同条款。</w:t>
      </w:r>
    </w:p>
    <w:p>
      <w:pPr>
        <w:shd w:val="clear"/>
        <w:spacing w:line="360" w:lineRule="auto"/>
        <w:ind w:firstLine="482" w:firstLineChars="200"/>
        <w:rPr>
          <w:rFonts w:ascii="仿宋" w:hAnsi="仿宋" w:eastAsia="仿宋" w:cs="仿宋"/>
          <w:b/>
          <w:bCs/>
          <w:color w:val="auto"/>
          <w:sz w:val="24"/>
          <w:highlight w:val="none"/>
        </w:rPr>
      </w:pPr>
      <w:r>
        <w:rPr>
          <w:rFonts w:hint="eastAsia" w:ascii="仿宋" w:hAnsi="仿宋" w:eastAsia="仿宋" w:cs="仿宋"/>
          <w:b/>
          <w:bCs/>
          <w:color w:val="auto"/>
          <w:sz w:val="24"/>
          <w:highlight w:val="none"/>
        </w:rPr>
        <w:t>一、委托事项</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甲方委托乙方对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项目进行财务审计服务，乙方同意接受甲方的委托，指派专人负责项目实施，依照相关规定的程序、规范，完成委托事项，提交相应审计服务文件材料。</w:t>
      </w:r>
    </w:p>
    <w:p>
      <w:pPr>
        <w:shd w:val="clear"/>
        <w:spacing w:line="360" w:lineRule="auto"/>
        <w:ind w:firstLine="482" w:firstLineChars="200"/>
        <w:rPr>
          <w:rFonts w:ascii="仿宋" w:hAnsi="仿宋" w:eastAsia="仿宋" w:cs="仿宋"/>
          <w:b/>
          <w:bCs/>
          <w:color w:val="auto"/>
          <w:sz w:val="24"/>
          <w:highlight w:val="none"/>
        </w:rPr>
      </w:pPr>
      <w:r>
        <w:rPr>
          <w:rFonts w:hint="eastAsia" w:ascii="仿宋" w:hAnsi="仿宋" w:eastAsia="仿宋" w:cs="仿宋"/>
          <w:b/>
          <w:bCs/>
          <w:color w:val="auto"/>
          <w:sz w:val="24"/>
          <w:highlight w:val="none"/>
        </w:rPr>
        <w:t>二、项目基本情况</w:t>
      </w:r>
    </w:p>
    <w:p>
      <w:pPr>
        <w:numPr>
          <w:ilvl w:val="0"/>
          <w:numId w:val="17"/>
        </w:numPr>
        <w:shd w:val="clear"/>
        <w:autoSpaceDE w:val="0"/>
        <w:autoSpaceDN w:val="0"/>
        <w:adjustRightInd w:val="0"/>
        <w:spacing w:line="360" w:lineRule="auto"/>
        <w:ind w:firstLine="480" w:firstLineChars="20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p>
    <w:p>
      <w:pPr>
        <w:numPr>
          <w:ilvl w:val="0"/>
          <w:numId w:val="17"/>
        </w:numPr>
        <w:shd w:val="clear"/>
        <w:autoSpaceDE w:val="0"/>
        <w:autoSpaceDN w:val="0"/>
        <w:adjustRightInd w:val="0"/>
        <w:spacing w:line="360" w:lineRule="auto"/>
        <w:ind w:firstLine="480" w:firstLineChars="20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服务内容：</w:t>
      </w:r>
      <w:r>
        <w:rPr>
          <w:rFonts w:hint="eastAsia" w:ascii="仿宋" w:hAnsi="仿宋" w:eastAsia="仿宋" w:cs="仿宋"/>
          <w:color w:val="auto"/>
          <w:sz w:val="24"/>
          <w:highlight w:val="none"/>
          <w:u w:val="single"/>
        </w:rPr>
        <w:t xml:space="preserve">                                  </w:t>
      </w:r>
    </w:p>
    <w:p>
      <w:pPr>
        <w:numPr>
          <w:ilvl w:val="0"/>
          <w:numId w:val="17"/>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服务期限：</w:t>
      </w:r>
      <w:r>
        <w:rPr>
          <w:rFonts w:hint="eastAsia" w:ascii="仿宋" w:hAnsi="仿宋" w:eastAsia="仿宋" w:cs="仿宋"/>
          <w:color w:val="auto"/>
          <w:sz w:val="24"/>
          <w:highlight w:val="none"/>
          <w:u w:val="single"/>
        </w:rPr>
        <w:t xml:space="preserve">                                  </w:t>
      </w:r>
    </w:p>
    <w:p>
      <w:pPr>
        <w:numPr>
          <w:ilvl w:val="0"/>
          <w:numId w:val="17"/>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质量要求：</w:t>
      </w:r>
      <w:r>
        <w:rPr>
          <w:rFonts w:hint="eastAsia" w:ascii="仿宋" w:hAnsi="仿宋" w:eastAsia="仿宋" w:cs="仿宋"/>
          <w:color w:val="auto"/>
          <w:sz w:val="24"/>
          <w:highlight w:val="none"/>
          <w:u w:val="single"/>
        </w:rPr>
        <w:t xml:space="preserve">                                  </w:t>
      </w:r>
    </w:p>
    <w:p>
      <w:pPr>
        <w:numPr>
          <w:ilvl w:val="0"/>
          <w:numId w:val="17"/>
        </w:numPr>
        <w:shd w:val="clear"/>
        <w:autoSpaceDE w:val="0"/>
        <w:autoSpaceDN w:val="0"/>
        <w:adjustRightInd w:val="0"/>
        <w:spacing w:line="360" w:lineRule="auto"/>
        <w:ind w:firstLine="480" w:firstLineChars="20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履行合同的地域范围：</w:t>
      </w:r>
      <w:r>
        <w:rPr>
          <w:rFonts w:hint="eastAsia" w:ascii="仿宋" w:hAnsi="仿宋" w:eastAsia="仿宋" w:cs="仿宋"/>
          <w:color w:val="auto"/>
          <w:sz w:val="24"/>
          <w:highlight w:val="none"/>
          <w:u w:val="single"/>
          <w:lang w:eastAsia="zh-CN"/>
        </w:rPr>
        <w:t>郑州市</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三、双方的权利义务</w:t>
      </w:r>
    </w:p>
    <w:p>
      <w:pPr>
        <w:shd w:val="clear"/>
        <w:spacing w:line="360" w:lineRule="auto"/>
        <w:ind w:firstLine="482" w:firstLineChars="200"/>
        <w:jc w:val="left"/>
        <w:rPr>
          <w:rFonts w:ascii="仿宋" w:hAnsi="仿宋" w:eastAsia="仿宋" w:cs="仿宋"/>
          <w:color w:val="auto"/>
          <w:sz w:val="24"/>
          <w:highlight w:val="none"/>
        </w:rPr>
      </w:pPr>
      <w:r>
        <w:rPr>
          <w:rFonts w:hint="eastAsia" w:ascii="仿宋" w:hAnsi="仿宋" w:eastAsia="仿宋" w:cs="仿宋"/>
          <w:b/>
          <w:bCs/>
          <w:color w:val="auto"/>
          <w:sz w:val="24"/>
          <w:highlight w:val="none"/>
        </w:rPr>
        <w:t>（一）甲方的权利与义务</w:t>
      </w:r>
    </w:p>
    <w:p>
      <w:pPr>
        <w:numPr>
          <w:ilvl w:val="0"/>
          <w:numId w:val="18"/>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甲方为乙方合同履行提供工作便利。</w:t>
      </w:r>
    </w:p>
    <w:p>
      <w:pPr>
        <w:numPr>
          <w:ilvl w:val="0"/>
          <w:numId w:val="18"/>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甲方对乙方合同执行情况进行反馈与评价。</w:t>
      </w:r>
    </w:p>
    <w:p>
      <w:pPr>
        <w:numPr>
          <w:ilvl w:val="0"/>
          <w:numId w:val="18"/>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甲方根据框架协议约定，在质量不降低、价格不提高的前提下，对入围供应商因产品升级换代、用新产品代替原产品的情形进行审核。</w:t>
      </w:r>
    </w:p>
    <w:p>
      <w:pPr>
        <w:numPr>
          <w:ilvl w:val="0"/>
          <w:numId w:val="18"/>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甲方指导乙方按照审计工作方案开展工作，协调与被审计单位等各方面的关系以顺利进行工作。</w:t>
      </w:r>
    </w:p>
    <w:p>
      <w:pPr>
        <w:numPr>
          <w:ilvl w:val="0"/>
          <w:numId w:val="18"/>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甲方应按合同约定支付服务费用。</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（二）乙方的权利与义务</w:t>
      </w:r>
    </w:p>
    <w:p>
      <w:pPr>
        <w:numPr>
          <w:ilvl w:val="0"/>
          <w:numId w:val="1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乙方保证在质量不降低、价格不提高的前提下，对入围产品进行升级换代，用新产品代替原产品。</w:t>
      </w:r>
    </w:p>
    <w:p>
      <w:pPr>
        <w:numPr>
          <w:ilvl w:val="0"/>
          <w:numId w:val="1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同意甲方为实施政府采购工作的需要，可以在相关政府采购网站和相关文件上公布乙方服务价格等相关信息，且无需事先经过乙方审查同意，任何在官方媒体的信息公布均属于或均被视为符合法律程序的信息公布，均不属于对有关保密义务的违反。</w:t>
      </w:r>
    </w:p>
    <w:p>
      <w:pPr>
        <w:numPr>
          <w:ilvl w:val="0"/>
          <w:numId w:val="1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承诺在本项目项下的任何行为均将严格遵守法律、法规的规定，包括但不限于应当符合有关依法纳税、环境保护、知识产权、童工禁用、劳动保护、劳动保险与待遇等各方面的规定。尽管乙方已做出上述保证，若一旦发生违反法律、法规、承诺之任何情形，均属乙方单方面之因素、原因、责任，任何情况下乙方均应当承担相应的法律责任。</w:t>
      </w:r>
    </w:p>
    <w:p>
      <w:pPr>
        <w:numPr>
          <w:ilvl w:val="0"/>
          <w:numId w:val="1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存在应当回避情形时，乙方及所委派人员应当主动告知甲方，并予以回避。</w:t>
      </w:r>
    </w:p>
    <w:p>
      <w:pPr>
        <w:numPr>
          <w:ilvl w:val="0"/>
          <w:numId w:val="1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乙方应按照中国独立审计准则和审计相关工作方案规定进行业务工作，在本合同书规定的时间内协助甲方完成审计业务，保障甲方合理使用结论成果。</w:t>
      </w:r>
    </w:p>
    <w:p>
      <w:pPr>
        <w:numPr>
          <w:ilvl w:val="0"/>
          <w:numId w:val="1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乙方应遵守国家有关的法律、法规，认真履行协议约定的工作职责。</w:t>
      </w:r>
    </w:p>
    <w:p>
      <w:pPr>
        <w:numPr>
          <w:ilvl w:val="0"/>
          <w:numId w:val="1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乙方应保守在执行本审计工作过程中知悉的各项秘密及内容。乙方及所委派人员应当向甲方签署保密承诺书和廉洁自律保证书，并严格遵照执行。</w:t>
      </w:r>
    </w:p>
    <w:p>
      <w:pPr>
        <w:numPr>
          <w:ilvl w:val="0"/>
          <w:numId w:val="1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bookmarkStart w:id="594" w:name="_Hlk135294407"/>
      <w:r>
        <w:rPr>
          <w:rFonts w:hint="eastAsia" w:ascii="仿宋" w:hAnsi="仿宋" w:eastAsia="仿宋" w:cs="仿宋"/>
          <w:color w:val="auto"/>
          <w:sz w:val="24"/>
          <w:highlight w:val="none"/>
        </w:rPr>
        <w:t>乙方应严格遵守工作制度，按要求按时、保质完成交办的审计事项，并随时接受甲方的监督检查。</w:t>
      </w:r>
      <w:bookmarkEnd w:id="594"/>
      <w:r>
        <w:rPr>
          <w:rFonts w:hint="eastAsia" w:ascii="仿宋" w:hAnsi="仿宋" w:eastAsia="仿宋" w:cs="仿宋"/>
          <w:color w:val="auto"/>
          <w:sz w:val="24"/>
          <w:highlight w:val="none"/>
        </w:rPr>
        <w:t>不得隐瞒其在审计过程中发现的问题，更不得与被审计对象串通舞弊，否则由乙方承担法律和经济责任。</w:t>
      </w:r>
    </w:p>
    <w:p>
      <w:pPr>
        <w:numPr>
          <w:ilvl w:val="0"/>
          <w:numId w:val="19"/>
        </w:num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认真做好沟通协调工作，对所委派人员遵守保密承诺、廉洁自律承诺等情况负监督管理责任，并共同承担涉密所应追究的一切法律责任。保证所委派人员严格遵守审计“八不准”工作纪律和“四严禁”工作要求，不得向被审计单位及任何第三方收取任何报酬或取得其他利益，否则由乙方承担法律和经济责任。</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四、违约责任</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甲方与乙方双方必须遵守本合同并执行合同中的各项规定，保证本合同的正常履行。</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五、合同价款</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乙方委派</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参加审计工作，并提供相应人员专业资格证明材料，由甲方记录考勤，每日到岗签到。合同价款按照《郑州市中原区审计局聘请中介机构和外部人员参与审计工作管理暂行办法》（中原审〔2023〕4号）规定按所完成的业务和工作天数进行计算。</w:t>
      </w:r>
    </w:p>
    <w:p>
      <w:pPr>
        <w:shd w:val="clear"/>
        <w:spacing w:line="360" w:lineRule="auto"/>
        <w:ind w:firstLine="482" w:firstLineChars="200"/>
        <w:rPr>
          <w:rFonts w:ascii="仿宋" w:hAnsi="仿宋" w:eastAsia="仿宋" w:cs="仿宋"/>
          <w:b/>
          <w:bCs/>
          <w:color w:val="auto"/>
          <w:sz w:val="24"/>
          <w:highlight w:val="none"/>
        </w:rPr>
      </w:pPr>
      <w:r>
        <w:rPr>
          <w:rFonts w:hint="eastAsia" w:ascii="仿宋" w:hAnsi="仿宋" w:eastAsia="仿宋" w:cs="仿宋"/>
          <w:b/>
          <w:bCs/>
          <w:color w:val="auto"/>
          <w:sz w:val="24"/>
          <w:highlight w:val="none"/>
        </w:rPr>
        <w:t>六、资金支付</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乙方委派人员完成甲方委托的本合同审计服务内容，并提交所形成的审计服务文件材料，经验收合格后，甲方于90日内支付本合同价款。</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七、合同纠纷处理</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因本合同或与本合同有关的一切事项发生争议，由双方友好协商解决。协商不成的，任何一方均可向合同签订地人民法院提起诉讼。</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八、违约解除合同</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（一）本合同范围的服务乙方不得以任何方式和形式进行转包和分包。乙方如有转包和分包的行为，甲方有权给予终止合同。</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（二）乙方未能履行合同规定的主要义务。</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九、其他法律责任</w:t>
      </w:r>
    </w:p>
    <w:p>
      <w:pPr>
        <w:shd w:val="clear"/>
        <w:autoSpaceDE w:val="0"/>
        <w:autoSpaceDN w:val="0"/>
        <w:adjustRightIn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乙方有下列情况之一的，甲方有权停止乙方承担的工作、扣减审计服务费用、单方解除合同，依法向乙方追索经济赔偿，并根据需要移送有关部门处理；涉嫌犯罪的，移送司法机关追究刑事责任。</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（一）乙方及其委派人员隐瞒其在审计服务过程中发现的问题。</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（二）乙方及其委派人员违反国家有关的法律、法规，违反审计“八不准”工作纪律、审计“四严禁”工作要求。</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（三）乙方及其委派人员在本合同履行过程中有腐败和欺诈行为的。</w:t>
      </w:r>
    </w:p>
    <w:p>
      <w:pPr>
        <w:shd w:val="clear"/>
        <w:spacing w:line="360" w:lineRule="auto"/>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十、其他约定</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（一）本合同未尽事宜，双方另行补充。</w:t>
      </w:r>
    </w:p>
    <w:p>
      <w:pPr>
        <w:shd w:val="clea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（二）本合同字签字、盖章后生效；本合同一式</w:t>
      </w:r>
      <w:r>
        <w:rPr>
          <w:rFonts w:hint="eastAsia" w:ascii="仿宋" w:hAnsi="仿宋" w:eastAsia="仿宋" w:cs="仿宋"/>
          <w:color w:val="auto"/>
          <w:sz w:val="24"/>
          <w:highlight w:val="none"/>
          <w:u w:val="single"/>
        </w:rPr>
        <w:t xml:space="preserve">  肆  </w:t>
      </w:r>
      <w:r>
        <w:rPr>
          <w:rFonts w:hint="eastAsia" w:ascii="仿宋" w:hAnsi="仿宋" w:eastAsia="仿宋" w:cs="仿宋"/>
          <w:color w:val="auto"/>
          <w:sz w:val="24"/>
          <w:highlight w:val="none"/>
        </w:rPr>
        <w:t>份，具有同等法律效力，其中甲方、乙方各执</w:t>
      </w:r>
      <w:r>
        <w:rPr>
          <w:rFonts w:hint="eastAsia" w:ascii="仿宋" w:hAnsi="仿宋" w:eastAsia="仿宋" w:cs="仿宋"/>
          <w:color w:val="auto"/>
          <w:sz w:val="24"/>
          <w:highlight w:val="none"/>
          <w:u w:val="single"/>
        </w:rPr>
        <w:t xml:space="preserve">  贰  </w:t>
      </w:r>
      <w:r>
        <w:rPr>
          <w:rFonts w:hint="eastAsia" w:ascii="仿宋" w:hAnsi="仿宋" w:eastAsia="仿宋" w:cs="仿宋"/>
          <w:color w:val="auto"/>
          <w:sz w:val="24"/>
          <w:highlight w:val="none"/>
        </w:rPr>
        <w:t>份。</w:t>
      </w:r>
    </w:p>
    <w:p>
      <w:pPr>
        <w:pStyle w:val="2"/>
        <w:shd w:val="clear"/>
        <w:rPr>
          <w:color w:val="auto"/>
          <w:highlight w:val="none"/>
        </w:rPr>
      </w:pPr>
    </w:p>
    <w:p>
      <w:pPr>
        <w:shd w:val="clear"/>
        <w:rPr>
          <w:rFonts w:hint="eastAsia"/>
          <w:color w:val="auto"/>
          <w:highlight w:val="none"/>
        </w:rPr>
      </w:pP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甲方（盖章）：                        乙方（盖章）：</w:t>
      </w:r>
    </w:p>
    <w:p>
      <w:pPr>
        <w:pStyle w:val="45"/>
        <w:shd w:val="clear"/>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法定代表人或授权的代理人             法定代表人或授权的代理人</w:t>
      </w:r>
    </w:p>
    <w:p>
      <w:pPr>
        <w:pStyle w:val="45"/>
        <w:shd w:val="clear"/>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（签字或盖章）：                     （签字或盖章）：</w:t>
      </w: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纳税人识别码：                       纳税人识别码：</w:t>
      </w: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账    号：                           账    号：</w:t>
      </w: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开户银行：                           开户银行：</w:t>
      </w:r>
    </w:p>
    <w:p>
      <w:pPr>
        <w:shd w:val="clea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电    话：                           电    话：</w:t>
      </w:r>
    </w:p>
    <w:p>
      <w:pPr>
        <w:shd w:val="clear"/>
        <w:spacing w:line="360" w:lineRule="auto"/>
        <w:ind w:firstLine="1200" w:firstLineChars="50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年  月  日                     </w:t>
      </w: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 xml:space="preserve"> 年  月  日</w:t>
      </w:r>
    </w:p>
    <w:p>
      <w:pPr>
        <w:shd w:val="clear"/>
        <w:rPr>
          <w:rFonts w:ascii="仿宋" w:hAnsi="仿宋" w:eastAsia="仿宋" w:cs="仿宋"/>
          <w:color w:val="auto"/>
          <w:szCs w:val="21"/>
          <w:highlight w:val="none"/>
        </w:rPr>
      </w:pPr>
    </w:p>
    <w:p>
      <w:pPr>
        <w:shd w:val="clear"/>
        <w:rPr>
          <w:color w:val="auto"/>
          <w:highlight w:val="none"/>
        </w:rPr>
      </w:pPr>
    </w:p>
    <w:p>
      <w:pPr>
        <w:pStyle w:val="2"/>
        <w:shd w:val="clear"/>
        <w:rPr>
          <w:color w:val="auto"/>
          <w:highlight w:val="none"/>
        </w:rPr>
      </w:pPr>
    </w:p>
    <w:p>
      <w:pPr>
        <w:pStyle w:val="2"/>
        <w:shd w:val="clear"/>
        <w:rPr>
          <w:color w:val="auto"/>
          <w:highlight w:val="none"/>
        </w:rPr>
      </w:pPr>
    </w:p>
    <w:p>
      <w:pPr>
        <w:shd w:val="clear"/>
        <w:rPr>
          <w:rFonts w:ascii="仿宋" w:hAnsi="仿宋" w:eastAsia="仿宋" w:cs="仿宋"/>
          <w:color w:val="auto"/>
          <w:szCs w:val="21"/>
          <w:highlight w:val="none"/>
        </w:rPr>
      </w:pPr>
      <w:r>
        <w:rPr>
          <w:rFonts w:hint="eastAsia" w:ascii="仿宋" w:hAnsi="仿宋" w:eastAsia="仿宋" w:cs="仿宋"/>
          <w:color w:val="auto"/>
          <w:szCs w:val="21"/>
          <w:highlight w:val="none"/>
        </w:rPr>
        <w:br w:type="page"/>
      </w:r>
    </w:p>
    <w:p>
      <w:pPr>
        <w:shd w:val="clear"/>
        <w:rPr>
          <w:rFonts w:ascii="仿宋" w:hAnsi="仿宋" w:eastAsia="仿宋" w:cs="仿宋"/>
          <w:color w:val="auto"/>
          <w:highlight w:val="none"/>
        </w:rPr>
      </w:pPr>
    </w:p>
    <w:p>
      <w:pPr>
        <w:keepNext/>
        <w:keepLines/>
        <w:shd w:val="clear"/>
        <w:spacing w:line="360" w:lineRule="auto"/>
        <w:jc w:val="center"/>
        <w:outlineLvl w:val="0"/>
        <w:rPr>
          <w:rStyle w:val="47"/>
          <w:rFonts w:ascii="仿宋" w:hAnsi="仿宋" w:eastAsia="仿宋" w:cs="仿宋"/>
          <w:color w:val="auto"/>
          <w:szCs w:val="22"/>
          <w:highlight w:val="none"/>
        </w:rPr>
      </w:pPr>
      <w:bookmarkStart w:id="595" w:name="_Toc30844"/>
      <w:r>
        <w:rPr>
          <w:rStyle w:val="47"/>
          <w:rFonts w:hint="eastAsia" w:ascii="仿宋" w:hAnsi="仿宋" w:eastAsia="仿宋" w:cs="仿宋"/>
          <w:color w:val="auto"/>
          <w:szCs w:val="22"/>
          <w:highlight w:val="none"/>
        </w:rPr>
        <w:t>第五章 采购需求</w:t>
      </w:r>
      <w:bookmarkEnd w:id="595"/>
    </w:p>
    <w:p>
      <w:pPr>
        <w:pStyle w:val="5"/>
        <w:numPr>
          <w:ilvl w:val="1"/>
          <w:numId w:val="0"/>
        </w:numPr>
        <w:shd w:val="clear"/>
        <w:tabs>
          <w:tab w:val="clear" w:pos="567"/>
        </w:tabs>
        <w:spacing w:before="0" w:after="0" w:line="360" w:lineRule="auto"/>
        <w:jc w:val="left"/>
        <w:rPr>
          <w:rFonts w:ascii="仿宋" w:hAnsi="仿宋" w:eastAsia="仿宋" w:cs="仿宋"/>
          <w:color w:val="auto"/>
          <w:sz w:val="24"/>
          <w:szCs w:val="24"/>
          <w:highlight w:val="none"/>
        </w:rPr>
      </w:pPr>
      <w:bookmarkStart w:id="596" w:name="_Toc3413"/>
      <w:r>
        <w:rPr>
          <w:rFonts w:hint="eastAsia" w:ascii="仿宋" w:hAnsi="仿宋" w:eastAsia="仿宋" w:cs="仿宋"/>
          <w:color w:val="auto"/>
          <w:sz w:val="24"/>
          <w:szCs w:val="24"/>
          <w:highlight w:val="none"/>
        </w:rPr>
        <w:t>一、商务要求</w:t>
      </w:r>
      <w:bookmarkEnd w:id="596"/>
    </w:p>
    <w:p>
      <w:pPr>
        <w:shd w:val="clea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1、采购范围</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A包：郑州市中原区审计局2023年通过框架协议采购方式征集20家</w:t>
      </w:r>
      <w:r>
        <w:rPr>
          <w:rFonts w:hint="eastAsia" w:ascii="仿宋" w:hAnsi="仿宋" w:eastAsia="仿宋" w:cs="仿宋"/>
          <w:color w:val="auto"/>
          <w:sz w:val="24"/>
          <w:szCs w:val="24"/>
          <w:highlight w:val="none"/>
        </w:rPr>
        <w:t>工程造价咨询机构</w:t>
      </w:r>
      <w:r>
        <w:rPr>
          <w:rFonts w:hint="eastAsia" w:ascii="仿宋" w:hAnsi="仿宋" w:eastAsia="仿宋" w:cs="仿宋"/>
          <w:color w:val="auto"/>
          <w:sz w:val="24"/>
          <w:szCs w:val="24"/>
          <w:highlight w:val="none"/>
        </w:rPr>
        <w:t>，承担郑州市中原区审计局1个年度内委托的工程审计任务。</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B包：郑州市中原区审计局2023年通过框架协议采购方式征集8家会计师事务所，承担郑州市中原区审计局1个年度内委托的财务审计任务。</w:t>
      </w:r>
    </w:p>
    <w:p>
      <w:pPr>
        <w:shd w:val="clea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2、资金来源</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财政资金。</w:t>
      </w:r>
    </w:p>
    <w:p>
      <w:pPr>
        <w:shd w:val="clea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3、采购方式</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封闭式框架协议采购。</w:t>
      </w:r>
    </w:p>
    <w:p>
      <w:pPr>
        <w:shd w:val="clea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4、适用框架协议的服务对象范围</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郑州市中原区审计局。</w:t>
      </w:r>
    </w:p>
    <w:p>
      <w:pPr>
        <w:shd w:val="clea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5、履行合同的地域范围</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郑州市</w:t>
      </w:r>
      <w:r>
        <w:rPr>
          <w:rFonts w:hint="eastAsia" w:ascii="仿宋" w:hAnsi="仿宋" w:eastAsia="仿宋" w:cs="仿宋"/>
          <w:color w:val="auto"/>
          <w:sz w:val="24"/>
          <w:szCs w:val="24"/>
          <w:highlight w:val="none"/>
        </w:rPr>
        <w:t>。</w:t>
      </w:r>
    </w:p>
    <w:p>
      <w:pPr>
        <w:shd w:val="clea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6、审计费用结算标准</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A包：按照《郑州市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（中原审〔2023〕4号）</w:t>
      </w:r>
      <w:r>
        <w:rPr>
          <w:rFonts w:hint="eastAsia" w:ascii="仿宋" w:hAnsi="仿宋" w:eastAsia="仿宋" w:cs="仿宋"/>
          <w:color w:val="auto"/>
          <w:sz w:val="24"/>
          <w:szCs w:val="24"/>
          <w:highlight w:val="none"/>
        </w:rPr>
        <w:t>规定进行结算。</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B包：按照《郑州市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（中原审〔2023〕4号）</w:t>
      </w:r>
      <w:r>
        <w:rPr>
          <w:rFonts w:hint="eastAsia" w:ascii="仿宋" w:hAnsi="仿宋" w:eastAsia="仿宋" w:cs="仿宋"/>
          <w:color w:val="auto"/>
          <w:sz w:val="24"/>
          <w:szCs w:val="24"/>
          <w:highlight w:val="none"/>
        </w:rPr>
        <w:t>规定进行结算。</w:t>
      </w:r>
    </w:p>
    <w:p>
      <w:pPr>
        <w:shd w:val="clea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7、服务标准</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A包：符合国家、省、市、区有关工程审计的相关规定，严格执行《郑州市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（中原审〔2023〕4号）</w:t>
      </w:r>
      <w:r>
        <w:rPr>
          <w:rFonts w:hint="eastAsia" w:ascii="仿宋" w:hAnsi="仿宋" w:eastAsia="仿宋" w:cs="仿宋"/>
          <w:color w:val="auto"/>
          <w:sz w:val="24"/>
          <w:szCs w:val="24"/>
          <w:highlight w:val="none"/>
        </w:rPr>
        <w:t>的规定及合同履行期内</w:t>
      </w:r>
      <w:r>
        <w:rPr>
          <w:rFonts w:hint="eastAsia" w:ascii="仿宋" w:hAnsi="仿宋" w:eastAsia="仿宋" w:cs="仿宋"/>
          <w:color w:val="auto"/>
          <w:sz w:val="24"/>
          <w:szCs w:val="24"/>
          <w:highlight w:val="none"/>
          <w:lang w:val="en-US" w:eastAsia="zh-CN"/>
        </w:rPr>
        <w:t>郑州市中原区审计局</w:t>
      </w:r>
      <w:r>
        <w:rPr>
          <w:rFonts w:hint="eastAsia" w:ascii="仿宋" w:hAnsi="仿宋" w:eastAsia="仿宋" w:cs="仿宋"/>
          <w:color w:val="auto"/>
          <w:sz w:val="24"/>
          <w:szCs w:val="24"/>
          <w:highlight w:val="none"/>
        </w:rPr>
        <w:t>下发的最新文件，确保审计质量与时限。</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B包：符合国家、省、市、区有关财务审计的相关规定，严格执行《郑州市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》（中原审</w:t>
      </w:r>
      <w:r>
        <w:rPr>
          <w:rFonts w:hint="eastAsia" w:ascii="仿宋" w:hAnsi="仿宋" w:eastAsia="仿宋" w:cs="仿宋"/>
          <w:color w:val="auto"/>
          <w:sz w:val="24"/>
          <w:szCs w:val="24"/>
          <w:highlight w:val="none"/>
          <w:lang w:eastAsia="zh-CN"/>
        </w:rPr>
        <w:t>〔2023〕</w:t>
      </w:r>
      <w:r>
        <w:rPr>
          <w:rFonts w:hint="eastAsia" w:ascii="仿宋" w:hAnsi="仿宋" w:eastAsia="仿宋" w:cs="仿宋"/>
          <w:color w:val="auto"/>
          <w:sz w:val="24"/>
          <w:szCs w:val="24"/>
          <w:highlight w:val="none"/>
        </w:rPr>
        <w:t>4号）</w:t>
      </w:r>
      <w:r>
        <w:rPr>
          <w:rFonts w:hint="eastAsia" w:ascii="仿宋" w:hAnsi="仿宋" w:eastAsia="仿宋" w:cs="仿宋"/>
          <w:color w:val="auto"/>
          <w:sz w:val="24"/>
          <w:szCs w:val="24"/>
          <w:highlight w:val="none"/>
          <w:lang w:val="en-US" w:eastAsia="zh-CN"/>
        </w:rPr>
        <w:t>的规定</w:t>
      </w:r>
      <w:r>
        <w:rPr>
          <w:rFonts w:hint="eastAsia" w:ascii="仿宋" w:hAnsi="仿宋" w:eastAsia="仿宋" w:cs="仿宋"/>
          <w:color w:val="auto"/>
          <w:sz w:val="24"/>
          <w:szCs w:val="24"/>
          <w:highlight w:val="none"/>
        </w:rPr>
        <w:t>及合同履行期内</w:t>
      </w:r>
      <w:r>
        <w:rPr>
          <w:rFonts w:hint="eastAsia" w:ascii="仿宋" w:hAnsi="仿宋" w:eastAsia="仿宋" w:cs="仿宋"/>
          <w:color w:val="auto"/>
          <w:sz w:val="24"/>
          <w:szCs w:val="24"/>
          <w:highlight w:val="none"/>
          <w:lang w:val="en-US" w:eastAsia="zh-CN"/>
        </w:rPr>
        <w:t>郑州市中原区审计局</w:t>
      </w:r>
      <w:r>
        <w:rPr>
          <w:rFonts w:hint="eastAsia" w:ascii="仿宋" w:hAnsi="仿宋" w:eastAsia="仿宋" w:cs="仿宋"/>
          <w:color w:val="auto"/>
          <w:sz w:val="24"/>
          <w:szCs w:val="24"/>
          <w:highlight w:val="none"/>
        </w:rPr>
        <w:t>下发的最新文件，确保审计质量与时限。</w:t>
      </w:r>
    </w:p>
    <w:p>
      <w:pPr>
        <w:shd w:val="clea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8、框架协议期限</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A包：从框架协议签订生效之日起1年。</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B包：从框架协议签订生效之日起1年。</w:t>
      </w:r>
    </w:p>
    <w:p>
      <w:pPr>
        <w:shd w:val="clea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9、入围供应商管理及考核</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A包：符合国家、省、市、区有关工程审计的相关规定，严格执行《郑州市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（中原审〔2023〕4号）</w:t>
      </w:r>
      <w:r>
        <w:rPr>
          <w:rFonts w:hint="eastAsia" w:ascii="仿宋" w:hAnsi="仿宋" w:eastAsia="仿宋" w:cs="仿宋"/>
          <w:color w:val="auto"/>
          <w:sz w:val="24"/>
          <w:szCs w:val="24"/>
          <w:highlight w:val="none"/>
        </w:rPr>
        <w:t>的规定及合同履行期内</w:t>
      </w:r>
      <w:r>
        <w:rPr>
          <w:rFonts w:hint="eastAsia" w:ascii="仿宋" w:hAnsi="仿宋" w:eastAsia="仿宋" w:cs="仿宋"/>
          <w:color w:val="auto"/>
          <w:sz w:val="24"/>
          <w:szCs w:val="24"/>
          <w:highlight w:val="none"/>
          <w:lang w:val="en-US" w:eastAsia="zh-CN"/>
        </w:rPr>
        <w:t>郑州市中原区审计局</w:t>
      </w:r>
      <w:r>
        <w:rPr>
          <w:rFonts w:hint="eastAsia" w:ascii="仿宋" w:hAnsi="仿宋" w:eastAsia="仿宋" w:cs="仿宋"/>
          <w:color w:val="auto"/>
          <w:sz w:val="24"/>
          <w:szCs w:val="24"/>
          <w:highlight w:val="none"/>
        </w:rPr>
        <w:t>下发的最新文件，确保审计质量与时限。</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B包：符合国家、省、市、区有关财务审计的相关规定，严格执行《郑州市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（中原审〔2023〕4号）</w:t>
      </w:r>
      <w:r>
        <w:rPr>
          <w:rFonts w:hint="eastAsia" w:ascii="仿宋" w:hAnsi="仿宋" w:eastAsia="仿宋" w:cs="仿宋"/>
          <w:color w:val="auto"/>
          <w:sz w:val="24"/>
          <w:szCs w:val="24"/>
          <w:highlight w:val="none"/>
          <w:lang w:val="en-US" w:eastAsia="zh-CN"/>
        </w:rPr>
        <w:t>的规定</w:t>
      </w:r>
      <w:r>
        <w:rPr>
          <w:rFonts w:hint="eastAsia" w:ascii="仿宋" w:hAnsi="仿宋" w:eastAsia="仿宋" w:cs="仿宋"/>
          <w:color w:val="auto"/>
          <w:sz w:val="24"/>
          <w:szCs w:val="24"/>
          <w:highlight w:val="none"/>
        </w:rPr>
        <w:t>及合同履行期内</w:t>
      </w:r>
      <w:r>
        <w:rPr>
          <w:rFonts w:hint="eastAsia" w:ascii="仿宋" w:hAnsi="仿宋" w:eastAsia="仿宋" w:cs="仿宋"/>
          <w:color w:val="auto"/>
          <w:sz w:val="24"/>
          <w:szCs w:val="24"/>
          <w:highlight w:val="none"/>
          <w:lang w:val="en-US" w:eastAsia="zh-CN"/>
        </w:rPr>
        <w:t>郑州市中原区审计局</w:t>
      </w:r>
      <w:r>
        <w:rPr>
          <w:rFonts w:hint="eastAsia" w:ascii="仿宋" w:hAnsi="仿宋" w:eastAsia="仿宋" w:cs="仿宋"/>
          <w:color w:val="auto"/>
          <w:sz w:val="24"/>
          <w:szCs w:val="24"/>
          <w:highlight w:val="none"/>
        </w:rPr>
        <w:t>下发的最新文件，确保审计质量与时限。</w:t>
      </w:r>
    </w:p>
    <w:p>
      <w:pPr>
        <w:shd w:val="clea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10、包段划分</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本项目共计2个包段。</w:t>
      </w:r>
    </w:p>
    <w:p>
      <w:pPr>
        <w:shd w:val="clea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11、基本要求</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11.1采购人采购框架协议约定的服务，应当将第二阶段的采购合同授予入围供应商。</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11.2采购人应当</w:t>
      </w:r>
      <w:r>
        <w:rPr>
          <w:rFonts w:hint="eastAsia" w:ascii="仿宋" w:hAnsi="仿宋" w:eastAsia="仿宋" w:cs="仿宋"/>
          <w:color w:val="auto"/>
          <w:sz w:val="24"/>
          <w:szCs w:val="24"/>
          <w:highlight w:val="none"/>
          <w:lang w:val="en-US" w:eastAsia="zh-CN"/>
        </w:rPr>
        <w:t>公开第二阶段</w:t>
      </w:r>
      <w:r>
        <w:rPr>
          <w:rFonts w:hint="eastAsia" w:ascii="仿宋" w:hAnsi="仿宋" w:eastAsia="仿宋" w:cs="仿宋"/>
          <w:color w:val="auto"/>
          <w:sz w:val="24"/>
          <w:szCs w:val="24"/>
          <w:highlight w:val="none"/>
        </w:rPr>
        <w:t>成交结果。</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11.3同一框架协议采购应当使用统一的采购合同文本，采购人和供应商不得擅自改变框架协议约定的合同实质性条款。</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11.4入围供应商无正当理由，不得主动放弃入围资格或者退出框架协议。</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11.5入围供应商有下列情形之一，尚未签订框架协议的，取消其入围资格；已经签订框架协议的，解除与其签订的框架协议：</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（一）恶意串通谋取入围或者合同成交的；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（二）提供虚假材料谋取入围或者合同成交的；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（三）无正当理由拒不接受合同授予的；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（四）不履行合同义务或者履行合同义务不符合约定，经采购人请求履行后仍不履行或者仍未按约定履行的；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（五）框架协议有效期内，因违法行为被禁止或限制参加政府采购活动的；</w:t>
      </w:r>
    </w:p>
    <w:p>
      <w:pPr>
        <w:shd w:val="clea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六）服务期内，与单项审计项目中的被审计单位或与单项审计项目直接有关的建设、施工、监理等单位存在控股、管理等关联关系，或在被审计单位或在单项审计项目直接有关的建设、施工、监理等单位有任职高管，未主动提出回避而承接该项目审计服务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lang w:eastAsia="zh-CN"/>
        </w:rPr>
        <w:t>）不遵守保密规定，向被审计单位、个人和无关人员透露审计情况的；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lang w:eastAsia="zh-CN"/>
        </w:rPr>
        <w:t>）与被审计单位之间以不正当形式交流、私下串通的；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九</w:t>
      </w:r>
      <w:r>
        <w:rPr>
          <w:rFonts w:hint="eastAsia" w:ascii="仿宋" w:hAnsi="仿宋" w:eastAsia="仿宋" w:cs="仿宋"/>
          <w:color w:val="auto"/>
          <w:sz w:val="24"/>
          <w:szCs w:val="24"/>
          <w:highlight w:val="none"/>
          <w:lang w:eastAsia="zh-CN"/>
        </w:rPr>
        <w:t>）有社会投诉并经查证属实等违法违规行为的；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十</w:t>
      </w:r>
      <w:r>
        <w:rPr>
          <w:rFonts w:hint="eastAsia" w:ascii="仿宋" w:hAnsi="仿宋" w:eastAsia="仿宋" w:cs="仿宋"/>
          <w:color w:val="auto"/>
          <w:sz w:val="24"/>
          <w:szCs w:val="24"/>
          <w:highlight w:val="none"/>
          <w:lang w:eastAsia="zh-CN"/>
        </w:rPr>
        <w:t>）存在泄密等问题，导致重大项目受到影响的；</w:t>
      </w:r>
    </w:p>
    <w:p>
      <w:pPr>
        <w:shd w:val="clea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十一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其他情形。</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11.6除剩余入围供应商不足入围供应商总数70%且影响框架协议执行的情形外，框架协议有效期内，采购人不得补充征集供应商。</w:t>
      </w:r>
    </w:p>
    <w:p>
      <w:pPr>
        <w:shd w:val="clea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12、采购人的权利与义务</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1甲方为第二阶段合同授予提供工作便利。</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2甲方对第二阶段需求标准执行情况进行管理。</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3甲方对第二阶段成交供应商的情况进行管理。</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4甲方根据框架协议约定，在质量不降低、价格不提高的前提下，对入围供应商因产品升级换代、用新产品代替原产品的情形进行审核。</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5建立用户反馈和评价机制，接受服务对象对入围供应商履行框架协议和采购合同情况的反馈与评价，并将用户反馈和评价情况向服务对象公开，作为第二阶段直接选定成交供应商的参考。</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6公开第二阶段成交结果。</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12.7</w:t>
      </w:r>
      <w:r>
        <w:rPr>
          <w:rFonts w:hint="eastAsia" w:ascii="仿宋" w:hAnsi="仿宋" w:eastAsia="仿宋" w:cs="仿宋"/>
          <w:color w:val="auto"/>
          <w:sz w:val="24"/>
          <w:szCs w:val="24"/>
          <w:highlight w:val="none"/>
        </w:rPr>
        <w:t>办理入围供应商清退和补充相关事宜。</w:t>
      </w:r>
    </w:p>
    <w:p>
      <w:pPr>
        <w:shd w:val="clear"/>
        <w:spacing w:line="360" w:lineRule="auto"/>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13、供应商的权利与义务</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1被服务对象确定为成交供应商后，乙方在入围范围内取得向服务对象提供入围的服务的资格。如果成为第二阶段供应商，有签订《×××服务委托合同》的义务。</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2乙方保证，在质量不降低、价格不提高的前提下，对入围产品进行升级换代，用新产品代替原产品。</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3乙方同意甲方为实施政府采购工作的需要，可以在相关政府采购网站和相关文件上公布乙方服务价格等相关信息，且无需事先经过乙方审查同意，任何在官方媒体的信息公布均属于或均被视为符合法律程序的信息公布，均不属于对有关保密义务的违反。</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4乙方承诺在本项目项下的任何行为均将严格遵守法律、法规的规定，包括但不限于应当符合有关依法纳税、环境保护、知识产权、童工禁用、劳动保护、劳动保险与待遇等各方面的规定。尽管乙方已做出上述保证，若一旦发生违反法律、法规、承诺之任何情形，均属乙方单方面之因素、原因、责任，任何情况下乙方均应当承担相应的法律责任。</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5乙方承诺接受甲方的考评与管理，全面履行工作义务、廉政承诺和义务。</w:t>
      </w:r>
    </w:p>
    <w:p>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6乙方未经甲方同意，不得分包或转让本框架协议的任何权利和义务。</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13.7</w:t>
      </w:r>
      <w:r>
        <w:rPr>
          <w:rFonts w:hint="eastAsia" w:ascii="仿宋" w:hAnsi="仿宋" w:eastAsia="仿宋" w:cs="仿宋"/>
          <w:color w:val="auto"/>
          <w:sz w:val="24"/>
          <w:szCs w:val="24"/>
          <w:highlight w:val="none"/>
        </w:rPr>
        <w:t>乙方承诺不接受被审计对象的礼品、宴请和任何其它好处，不泄露服务过程中依法需要保密的内容。框架协议终止后，未经甲方同意，不泄漏与甲方有关的任何资料和情况。</w:t>
      </w:r>
    </w:p>
    <w:p>
      <w:pPr>
        <w:pStyle w:val="5"/>
        <w:numPr>
          <w:ilvl w:val="1"/>
          <w:numId w:val="0"/>
        </w:numPr>
        <w:shd w:val="clear"/>
        <w:tabs>
          <w:tab w:val="clear" w:pos="567"/>
        </w:tabs>
        <w:spacing w:before="0" w:after="0" w:line="360" w:lineRule="auto"/>
        <w:jc w:val="left"/>
        <w:rPr>
          <w:rFonts w:ascii="仿宋" w:hAnsi="仿宋" w:eastAsia="仿宋" w:cs="仿宋"/>
          <w:color w:val="auto"/>
          <w:sz w:val="24"/>
          <w:szCs w:val="24"/>
          <w:highlight w:val="none"/>
        </w:rPr>
      </w:pPr>
      <w:bookmarkStart w:id="597" w:name="_Toc31614"/>
      <w:r>
        <w:rPr>
          <w:rFonts w:hint="eastAsia" w:ascii="仿宋" w:hAnsi="仿宋" w:eastAsia="仿宋" w:cs="仿宋"/>
          <w:color w:val="auto"/>
          <w:sz w:val="24"/>
          <w:szCs w:val="24"/>
          <w:highlight w:val="none"/>
        </w:rPr>
        <w:t>二、技术要求</w:t>
      </w:r>
      <w:bookmarkEnd w:id="597"/>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A包：符合国家、省、市、区有关工程审计的相关规定，严格执行《郑州市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（中原审〔2023〕4号）</w:t>
      </w:r>
      <w:r>
        <w:rPr>
          <w:rFonts w:hint="eastAsia" w:ascii="仿宋" w:hAnsi="仿宋" w:eastAsia="仿宋" w:cs="仿宋"/>
          <w:color w:val="auto"/>
          <w:sz w:val="24"/>
          <w:szCs w:val="24"/>
          <w:highlight w:val="none"/>
        </w:rPr>
        <w:t>的规定及合同履行期内</w:t>
      </w:r>
      <w:r>
        <w:rPr>
          <w:rFonts w:hint="eastAsia" w:ascii="仿宋" w:hAnsi="仿宋" w:eastAsia="仿宋" w:cs="仿宋"/>
          <w:color w:val="auto"/>
          <w:sz w:val="24"/>
          <w:szCs w:val="24"/>
          <w:highlight w:val="none"/>
          <w:lang w:val="en-US" w:eastAsia="zh-CN"/>
        </w:rPr>
        <w:t>郑州市中原区审计局</w:t>
      </w:r>
      <w:r>
        <w:rPr>
          <w:rFonts w:hint="eastAsia" w:ascii="仿宋" w:hAnsi="仿宋" w:eastAsia="仿宋" w:cs="仿宋"/>
          <w:color w:val="auto"/>
          <w:sz w:val="24"/>
          <w:szCs w:val="24"/>
          <w:highlight w:val="none"/>
        </w:rPr>
        <w:t>下发的最新文件，确保审计质量与时限。</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B包：符合国家、省、市、区有关财务审计的相关规定，严格执行《郑州市</w:t>
      </w:r>
      <w:r>
        <w:rPr>
          <w:rFonts w:hint="eastAsia" w:ascii="仿宋" w:hAnsi="仿宋" w:eastAsia="仿宋" w:cs="仿宋"/>
          <w:color w:val="auto"/>
          <w:sz w:val="24"/>
          <w:szCs w:val="24"/>
          <w:highlight w:val="none"/>
          <w:lang w:val="en-US" w:eastAsia="zh-CN"/>
        </w:rPr>
        <w:t>中原区审计局</w:t>
      </w:r>
      <w:r>
        <w:rPr>
          <w:rFonts w:hint="eastAsia" w:ascii="仿宋" w:hAnsi="仿宋" w:eastAsia="仿宋" w:cs="仿宋"/>
          <w:color w:val="auto"/>
          <w:sz w:val="24"/>
          <w:szCs w:val="24"/>
          <w:highlight w:val="none"/>
        </w:rPr>
        <w:t>聘请中介机构和外部人员参与审计工作</w:t>
      </w:r>
      <w:r>
        <w:rPr>
          <w:rFonts w:hint="eastAsia" w:ascii="仿宋" w:hAnsi="仿宋" w:eastAsia="仿宋" w:cs="仿宋"/>
          <w:color w:val="auto"/>
          <w:sz w:val="24"/>
          <w:szCs w:val="24"/>
          <w:highlight w:val="none"/>
          <w:lang w:val="en-US" w:eastAsia="zh-CN"/>
        </w:rPr>
        <w:t>管理暂行办法</w:t>
      </w:r>
      <w:r>
        <w:rPr>
          <w:rFonts w:hint="eastAsia" w:ascii="仿宋" w:hAnsi="仿宋" w:eastAsia="仿宋" w:cs="仿宋"/>
          <w:color w:val="auto"/>
          <w:sz w:val="24"/>
          <w:szCs w:val="24"/>
          <w:highlight w:val="none"/>
        </w:rPr>
        <w:t>》（中原审</w:t>
      </w:r>
      <w:r>
        <w:rPr>
          <w:rFonts w:hint="eastAsia" w:ascii="仿宋" w:hAnsi="仿宋" w:eastAsia="仿宋" w:cs="仿宋"/>
          <w:color w:val="auto"/>
          <w:sz w:val="24"/>
          <w:szCs w:val="24"/>
          <w:highlight w:val="none"/>
          <w:lang w:eastAsia="zh-CN"/>
        </w:rPr>
        <w:t>〔2023〕</w:t>
      </w:r>
      <w:r>
        <w:rPr>
          <w:rFonts w:hint="eastAsia" w:ascii="仿宋" w:hAnsi="仿宋" w:eastAsia="仿宋" w:cs="仿宋"/>
          <w:color w:val="auto"/>
          <w:sz w:val="24"/>
          <w:szCs w:val="24"/>
          <w:highlight w:val="none"/>
        </w:rPr>
        <w:t>4号）</w:t>
      </w:r>
      <w:r>
        <w:rPr>
          <w:rFonts w:hint="eastAsia" w:ascii="仿宋" w:hAnsi="仿宋" w:eastAsia="仿宋" w:cs="仿宋"/>
          <w:color w:val="auto"/>
          <w:sz w:val="24"/>
          <w:szCs w:val="24"/>
          <w:highlight w:val="none"/>
          <w:lang w:val="en-US" w:eastAsia="zh-CN"/>
        </w:rPr>
        <w:t>的规定</w:t>
      </w:r>
      <w:r>
        <w:rPr>
          <w:rFonts w:hint="eastAsia" w:ascii="仿宋" w:hAnsi="仿宋" w:eastAsia="仿宋" w:cs="仿宋"/>
          <w:color w:val="auto"/>
          <w:sz w:val="24"/>
          <w:szCs w:val="24"/>
          <w:highlight w:val="none"/>
        </w:rPr>
        <w:t>及合同履行期内</w:t>
      </w:r>
      <w:r>
        <w:rPr>
          <w:rFonts w:hint="eastAsia" w:ascii="仿宋" w:hAnsi="仿宋" w:eastAsia="仿宋" w:cs="仿宋"/>
          <w:color w:val="auto"/>
          <w:sz w:val="24"/>
          <w:szCs w:val="24"/>
          <w:highlight w:val="none"/>
          <w:lang w:val="en-US" w:eastAsia="zh-CN"/>
        </w:rPr>
        <w:t>郑州市中原区审计局</w:t>
      </w:r>
      <w:r>
        <w:rPr>
          <w:rFonts w:hint="eastAsia" w:ascii="仿宋" w:hAnsi="仿宋" w:eastAsia="仿宋" w:cs="仿宋"/>
          <w:color w:val="auto"/>
          <w:sz w:val="24"/>
          <w:szCs w:val="24"/>
          <w:highlight w:val="none"/>
        </w:rPr>
        <w:t>下发的最新文件，确保审计质量与时限。</w:t>
      </w:r>
    </w:p>
    <w:p>
      <w:pPr>
        <w:shd w:val="clear"/>
        <w:rPr>
          <w:rFonts w:ascii="仿宋" w:hAnsi="仿宋" w:eastAsia="仿宋" w:cs="仿宋"/>
          <w:color w:val="auto"/>
          <w:highlight w:val="none"/>
        </w:rPr>
      </w:pPr>
      <w:r>
        <w:rPr>
          <w:rFonts w:hint="eastAsia" w:ascii="仿宋" w:hAnsi="仿宋" w:eastAsia="仿宋" w:cs="仿宋"/>
          <w:color w:val="auto"/>
          <w:highlight w:val="none"/>
        </w:rPr>
        <w:br w:type="page"/>
      </w:r>
    </w:p>
    <w:p>
      <w:pPr>
        <w:shd w:val="clear"/>
        <w:rPr>
          <w:rFonts w:ascii="仿宋" w:hAnsi="仿宋" w:eastAsia="仿宋" w:cs="仿宋"/>
          <w:color w:val="auto"/>
          <w:highlight w:val="none"/>
        </w:rPr>
      </w:pPr>
    </w:p>
    <w:p>
      <w:pPr>
        <w:pStyle w:val="4"/>
        <w:shd w:val="clear"/>
        <w:spacing w:beforeLines="1500" w:line="360" w:lineRule="auto"/>
        <w:rPr>
          <w:rFonts w:ascii="仿宋" w:hAnsi="仿宋" w:eastAsia="仿宋" w:cs="仿宋"/>
          <w:color w:val="auto"/>
          <w:szCs w:val="32"/>
          <w:highlight w:val="none"/>
        </w:rPr>
      </w:pPr>
      <w:bookmarkStart w:id="598" w:name="_Toc12756"/>
      <w:r>
        <w:rPr>
          <w:rFonts w:hint="eastAsia" w:ascii="仿宋" w:hAnsi="仿宋" w:eastAsia="仿宋" w:cs="仿宋"/>
          <w:color w:val="auto"/>
          <w:szCs w:val="32"/>
          <w:highlight w:val="none"/>
        </w:rPr>
        <w:t>第六章 响应文件格式</w:t>
      </w:r>
      <w:bookmarkEnd w:id="598"/>
    </w:p>
    <w:p>
      <w:pPr>
        <w:shd w:val="clear"/>
        <w:rPr>
          <w:rFonts w:ascii="仿宋" w:hAnsi="仿宋" w:eastAsia="仿宋" w:cs="仿宋"/>
          <w:color w:val="auto"/>
          <w:highlight w:val="none"/>
        </w:rPr>
      </w:pPr>
      <w:r>
        <w:rPr>
          <w:rFonts w:hint="eastAsia" w:ascii="仿宋" w:hAnsi="仿宋" w:eastAsia="仿宋" w:cs="仿宋"/>
          <w:color w:val="auto"/>
          <w:highlight w:val="none"/>
        </w:rPr>
        <w:br w:type="page"/>
      </w: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pStyle w:val="16"/>
        <w:shd w:val="clear"/>
        <w:spacing w:line="360" w:lineRule="auto"/>
        <w:jc w:val="center"/>
        <w:rPr>
          <w:rFonts w:ascii="仿宋" w:hAnsi="仿宋" w:eastAsia="仿宋" w:cs="仿宋"/>
          <w:b/>
          <w:color w:val="auto"/>
          <w:sz w:val="44"/>
          <w:szCs w:val="44"/>
          <w:highlight w:val="none"/>
        </w:rPr>
      </w:pPr>
      <w:r>
        <w:rPr>
          <w:rFonts w:hint="eastAsia" w:ascii="仿宋" w:hAnsi="仿宋" w:eastAsia="仿宋" w:cs="仿宋"/>
          <w:b/>
          <w:color w:val="auto"/>
          <w:sz w:val="44"/>
          <w:szCs w:val="44"/>
          <w:highlight w:val="none"/>
          <w:u w:val="single"/>
          <w:lang w:val="en-US" w:eastAsia="zh-CN"/>
        </w:rPr>
        <w:t xml:space="preserve">              </w:t>
      </w:r>
      <w:r>
        <w:rPr>
          <w:rFonts w:hint="eastAsia" w:ascii="仿宋" w:hAnsi="仿宋" w:eastAsia="仿宋" w:cs="仿宋"/>
          <w:b/>
          <w:color w:val="auto"/>
          <w:sz w:val="44"/>
          <w:szCs w:val="44"/>
          <w:highlight w:val="none"/>
        </w:rPr>
        <w:t>项目</w:t>
      </w:r>
    </w:p>
    <w:p>
      <w:pPr>
        <w:pStyle w:val="16"/>
        <w:shd w:val="clear"/>
        <w:spacing w:line="360" w:lineRule="auto"/>
        <w:jc w:val="center"/>
        <w:rPr>
          <w:rFonts w:ascii="仿宋" w:hAnsi="仿宋" w:eastAsia="仿宋" w:cs="仿宋"/>
          <w:b/>
          <w:color w:val="auto"/>
          <w:sz w:val="44"/>
          <w:szCs w:val="44"/>
          <w:highlight w:val="none"/>
        </w:rPr>
      </w:pPr>
      <w:r>
        <w:rPr>
          <w:rFonts w:hint="eastAsia" w:ascii="仿宋" w:hAnsi="仿宋" w:eastAsia="仿宋" w:cs="仿宋"/>
          <w:b/>
          <w:color w:val="auto"/>
          <w:sz w:val="44"/>
          <w:szCs w:val="44"/>
          <w:highlight w:val="none"/>
        </w:rPr>
        <w:t>包号：</w:t>
      </w:r>
      <w:r>
        <w:rPr>
          <w:rFonts w:hint="eastAsia" w:ascii="仿宋" w:hAnsi="仿宋" w:eastAsia="仿宋" w:cs="仿宋"/>
          <w:b/>
          <w:color w:val="auto"/>
          <w:sz w:val="44"/>
          <w:szCs w:val="44"/>
          <w:highlight w:val="none"/>
          <w:u w:val="single"/>
          <w:lang w:val="en-US" w:eastAsia="zh-CN"/>
        </w:rPr>
        <w:t xml:space="preserve">   </w:t>
      </w:r>
      <w:r>
        <w:rPr>
          <w:rFonts w:hint="eastAsia" w:ascii="仿宋" w:hAnsi="仿宋" w:eastAsia="仿宋" w:cs="仿宋"/>
          <w:b/>
          <w:color w:val="auto"/>
          <w:sz w:val="44"/>
          <w:szCs w:val="44"/>
          <w:highlight w:val="none"/>
        </w:rPr>
        <w:t>包</w:t>
      </w:r>
    </w:p>
    <w:p>
      <w:pPr>
        <w:pStyle w:val="16"/>
        <w:shd w:val="clear"/>
        <w:spacing w:line="360" w:lineRule="auto"/>
        <w:jc w:val="center"/>
        <w:rPr>
          <w:rFonts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响应文件</w:t>
      </w:r>
    </w:p>
    <w:p>
      <w:pPr>
        <w:pStyle w:val="16"/>
        <w:shd w:val="clear"/>
        <w:spacing w:line="360" w:lineRule="auto"/>
        <w:jc w:val="center"/>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rPr>
        <w:t>采购编号：</w:t>
      </w:r>
    </w:p>
    <w:p>
      <w:pPr>
        <w:pStyle w:val="16"/>
        <w:shd w:val="clear"/>
        <w:spacing w:line="360" w:lineRule="auto"/>
        <w:jc w:val="center"/>
        <w:rPr>
          <w:rFonts w:ascii="仿宋" w:hAnsi="仿宋" w:eastAsia="仿宋" w:cs="仿宋"/>
          <w:bCs/>
          <w:color w:val="auto"/>
          <w:sz w:val="32"/>
          <w:highlight w:val="none"/>
        </w:rPr>
      </w:pPr>
      <w:r>
        <w:rPr>
          <w:rFonts w:hint="eastAsia" w:ascii="仿宋" w:hAnsi="仿宋" w:eastAsia="仿宋" w:cs="仿宋"/>
          <w:bCs/>
          <w:color w:val="auto"/>
          <w:sz w:val="32"/>
          <w:highlight w:val="none"/>
        </w:rPr>
        <w:t>（封面）</w:t>
      </w: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pStyle w:val="16"/>
        <w:shd w:val="clear"/>
        <w:spacing w:line="360" w:lineRule="auto"/>
        <w:jc w:val="center"/>
        <w:rPr>
          <w:rFonts w:ascii="仿宋" w:hAnsi="仿宋" w:eastAsia="仿宋" w:cs="仿宋"/>
          <w:b/>
          <w:bCs/>
          <w:color w:val="auto"/>
          <w:sz w:val="32"/>
          <w:highlight w:val="none"/>
          <w:u w:val="single"/>
        </w:rPr>
      </w:pPr>
      <w:r>
        <w:rPr>
          <w:rFonts w:hint="eastAsia" w:ascii="仿宋" w:hAnsi="仿宋" w:eastAsia="仿宋" w:cs="仿宋"/>
          <w:b/>
          <w:bCs/>
          <w:color w:val="auto"/>
          <w:sz w:val="32"/>
          <w:highlight w:val="none"/>
        </w:rPr>
        <w:t>响应人：（盖章）</w:t>
      </w:r>
    </w:p>
    <w:p>
      <w:pPr>
        <w:pStyle w:val="16"/>
        <w:shd w:val="clear"/>
        <w:spacing w:line="360" w:lineRule="auto"/>
        <w:jc w:val="center"/>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法定代表人或其委托代理人：（签字或盖章）</w:t>
      </w:r>
    </w:p>
    <w:p>
      <w:pPr>
        <w:pStyle w:val="13"/>
        <w:shd w:val="clear"/>
        <w:spacing w:line="360" w:lineRule="auto"/>
        <w:ind w:left="0" w:leftChars="0" w:firstLine="2129" w:firstLineChars="707"/>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日期：</w:t>
      </w:r>
      <w:r>
        <w:rPr>
          <w:rFonts w:hint="eastAsia" w:ascii="仿宋" w:hAnsi="仿宋" w:eastAsia="仿宋" w:cs="仿宋"/>
          <w:b/>
          <w:bCs/>
          <w:color w:val="auto"/>
          <w:sz w:val="30"/>
          <w:szCs w:val="30"/>
          <w:highlight w:val="none"/>
          <w:u w:val="single"/>
        </w:rPr>
        <w:t xml:space="preserve">       年    月    日</w:t>
      </w:r>
    </w:p>
    <w:p>
      <w:pPr>
        <w:shd w:val="clear"/>
        <w:rPr>
          <w:rFonts w:ascii="仿宋" w:hAnsi="仿宋" w:eastAsia="仿宋" w:cs="仿宋"/>
          <w:color w:val="auto"/>
          <w:highlight w:val="none"/>
        </w:rPr>
      </w:pPr>
      <w:r>
        <w:rPr>
          <w:rFonts w:hint="eastAsia" w:ascii="仿宋" w:hAnsi="仿宋" w:eastAsia="仿宋" w:cs="仿宋"/>
          <w:color w:val="auto"/>
          <w:highlight w:val="none"/>
        </w:rPr>
        <w:br w:type="page"/>
      </w:r>
    </w:p>
    <w:p>
      <w:pPr>
        <w:shd w:val="clear"/>
        <w:rPr>
          <w:rFonts w:ascii="仿宋" w:hAnsi="仿宋" w:eastAsia="仿宋" w:cs="仿宋"/>
          <w:color w:val="auto"/>
          <w:highlight w:val="none"/>
        </w:rPr>
      </w:pPr>
    </w:p>
    <w:p>
      <w:pPr>
        <w:shd w:val="clear"/>
        <w:spacing w:line="360" w:lineRule="auto"/>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响应文件目录</w:t>
      </w:r>
    </w:p>
    <w:p>
      <w:pPr>
        <w:shd w:val="clear"/>
        <w:rPr>
          <w:rFonts w:ascii="仿宋" w:hAnsi="仿宋" w:eastAsia="仿宋" w:cs="仿宋"/>
          <w:color w:val="auto"/>
          <w:highlight w:val="none"/>
        </w:rPr>
      </w:pPr>
    </w:p>
    <w:p>
      <w:pPr>
        <w:keepNext w:val="0"/>
        <w:keepLines w:val="0"/>
        <w:pageBreakBefore w:val="0"/>
        <w:widowControl w:val="0"/>
        <w:numPr>
          <w:ilvl w:val="0"/>
          <w:numId w:val="20"/>
        </w:numPr>
        <w:shd w:val="clear"/>
        <w:kinsoku/>
        <w:wordWrap/>
        <w:overflowPunct/>
        <w:topLinePunct w:val="0"/>
        <w:autoSpaceDE w:val="0"/>
        <w:autoSpaceDN w:val="0"/>
        <w:bidi w:val="0"/>
        <w:adjustRightInd w:val="0"/>
        <w:snapToGrid/>
        <w:spacing w:line="360" w:lineRule="auto"/>
        <w:ind w:firstLine="560" w:firstLineChars="200"/>
        <w:jc w:val="left"/>
        <w:textAlignment w:val="auto"/>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响应函</w:t>
      </w:r>
    </w:p>
    <w:p>
      <w:pPr>
        <w:keepNext w:val="0"/>
        <w:keepLines w:val="0"/>
        <w:pageBreakBefore w:val="0"/>
        <w:widowControl w:val="0"/>
        <w:numPr>
          <w:ilvl w:val="0"/>
          <w:numId w:val="20"/>
        </w:numPr>
        <w:shd w:val="clear"/>
        <w:kinsoku/>
        <w:wordWrap/>
        <w:overflowPunct/>
        <w:topLinePunct w:val="0"/>
        <w:autoSpaceDE w:val="0"/>
        <w:autoSpaceDN w:val="0"/>
        <w:bidi w:val="0"/>
        <w:adjustRightInd w:val="0"/>
        <w:snapToGrid/>
        <w:spacing w:line="360" w:lineRule="auto"/>
        <w:ind w:firstLine="560" w:firstLineChars="200"/>
        <w:jc w:val="left"/>
        <w:textAlignment w:val="auto"/>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响应一览表</w:t>
      </w:r>
    </w:p>
    <w:p>
      <w:pPr>
        <w:keepNext w:val="0"/>
        <w:keepLines w:val="0"/>
        <w:pageBreakBefore w:val="0"/>
        <w:widowControl w:val="0"/>
        <w:numPr>
          <w:ilvl w:val="0"/>
          <w:numId w:val="20"/>
        </w:numPr>
        <w:shd w:val="clear"/>
        <w:kinsoku/>
        <w:wordWrap/>
        <w:overflowPunct/>
        <w:topLinePunct w:val="0"/>
        <w:autoSpaceDE w:val="0"/>
        <w:autoSpaceDN w:val="0"/>
        <w:bidi w:val="0"/>
        <w:adjustRightInd w:val="0"/>
        <w:snapToGrid/>
        <w:spacing w:line="360" w:lineRule="auto"/>
        <w:ind w:firstLine="560" w:firstLineChars="200"/>
        <w:jc w:val="left"/>
        <w:textAlignment w:val="auto"/>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法定代表人身份证明</w:t>
      </w:r>
    </w:p>
    <w:p>
      <w:pPr>
        <w:keepNext w:val="0"/>
        <w:keepLines w:val="0"/>
        <w:pageBreakBefore w:val="0"/>
        <w:widowControl w:val="0"/>
        <w:numPr>
          <w:ilvl w:val="0"/>
          <w:numId w:val="20"/>
        </w:numPr>
        <w:shd w:val="clear"/>
        <w:kinsoku/>
        <w:wordWrap/>
        <w:overflowPunct/>
        <w:topLinePunct w:val="0"/>
        <w:autoSpaceDE w:val="0"/>
        <w:autoSpaceDN w:val="0"/>
        <w:bidi w:val="0"/>
        <w:adjustRightInd w:val="0"/>
        <w:snapToGrid/>
        <w:spacing w:line="360" w:lineRule="auto"/>
        <w:ind w:firstLine="560" w:firstLineChars="200"/>
        <w:jc w:val="left"/>
        <w:textAlignment w:val="auto"/>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法定代表人(或负责人）授权委托书</w:t>
      </w:r>
    </w:p>
    <w:p>
      <w:pPr>
        <w:keepNext w:val="0"/>
        <w:keepLines w:val="0"/>
        <w:pageBreakBefore w:val="0"/>
        <w:widowControl w:val="0"/>
        <w:numPr>
          <w:ilvl w:val="0"/>
          <w:numId w:val="20"/>
        </w:numPr>
        <w:shd w:val="clear"/>
        <w:kinsoku/>
        <w:wordWrap/>
        <w:overflowPunct/>
        <w:topLinePunct w:val="0"/>
        <w:autoSpaceDE w:val="0"/>
        <w:autoSpaceDN w:val="0"/>
        <w:bidi w:val="0"/>
        <w:adjustRightInd w:val="0"/>
        <w:snapToGrid/>
        <w:spacing w:line="360" w:lineRule="auto"/>
        <w:ind w:firstLine="560" w:firstLineChars="200"/>
        <w:jc w:val="left"/>
        <w:textAlignment w:val="auto"/>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供应商资格证明材料</w:t>
      </w:r>
    </w:p>
    <w:p>
      <w:pPr>
        <w:keepNext w:val="0"/>
        <w:keepLines w:val="0"/>
        <w:pageBreakBefore w:val="0"/>
        <w:widowControl w:val="0"/>
        <w:numPr>
          <w:ilvl w:val="0"/>
          <w:numId w:val="20"/>
        </w:numPr>
        <w:shd w:val="clear"/>
        <w:kinsoku/>
        <w:wordWrap/>
        <w:overflowPunct/>
        <w:topLinePunct w:val="0"/>
        <w:autoSpaceDE w:val="0"/>
        <w:autoSpaceDN w:val="0"/>
        <w:bidi w:val="0"/>
        <w:adjustRightInd w:val="0"/>
        <w:snapToGrid/>
        <w:spacing w:line="360" w:lineRule="auto"/>
        <w:ind w:firstLine="560" w:firstLineChars="200"/>
        <w:jc w:val="left"/>
        <w:textAlignment w:val="auto"/>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技术部分</w:t>
      </w:r>
    </w:p>
    <w:p>
      <w:pPr>
        <w:keepNext w:val="0"/>
        <w:keepLines w:val="0"/>
        <w:pageBreakBefore w:val="0"/>
        <w:widowControl w:val="0"/>
        <w:numPr>
          <w:ilvl w:val="0"/>
          <w:numId w:val="20"/>
        </w:numPr>
        <w:shd w:val="clear"/>
        <w:kinsoku/>
        <w:wordWrap/>
        <w:overflowPunct/>
        <w:topLinePunct w:val="0"/>
        <w:autoSpaceDE w:val="0"/>
        <w:autoSpaceDN w:val="0"/>
        <w:bidi w:val="0"/>
        <w:adjustRightInd w:val="0"/>
        <w:snapToGrid/>
        <w:spacing w:line="360" w:lineRule="auto"/>
        <w:ind w:firstLine="560" w:firstLineChars="200"/>
        <w:jc w:val="left"/>
        <w:textAlignment w:val="auto"/>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商务部分</w:t>
      </w:r>
    </w:p>
    <w:p>
      <w:pPr>
        <w:keepNext w:val="0"/>
        <w:keepLines w:val="0"/>
        <w:pageBreakBefore w:val="0"/>
        <w:widowControl w:val="0"/>
        <w:numPr>
          <w:ilvl w:val="0"/>
          <w:numId w:val="20"/>
        </w:numPr>
        <w:shd w:val="clear"/>
        <w:kinsoku/>
        <w:wordWrap/>
        <w:overflowPunct/>
        <w:topLinePunct w:val="0"/>
        <w:autoSpaceDE w:val="0"/>
        <w:autoSpaceDN w:val="0"/>
        <w:bidi w:val="0"/>
        <w:adjustRightInd w:val="0"/>
        <w:snapToGrid/>
        <w:spacing w:line="360" w:lineRule="auto"/>
        <w:ind w:firstLine="560" w:firstLineChars="200"/>
        <w:jc w:val="left"/>
        <w:textAlignment w:val="auto"/>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供应商认为应附的其他材料</w:t>
      </w:r>
    </w:p>
    <w:p>
      <w:pPr>
        <w:shd w:val="clear"/>
        <w:rPr>
          <w:rFonts w:ascii="仿宋" w:hAnsi="仿宋" w:eastAsia="仿宋" w:cs="仿宋"/>
          <w:color w:val="auto"/>
          <w:highlight w:val="none"/>
        </w:rPr>
      </w:pPr>
      <w:r>
        <w:rPr>
          <w:rFonts w:hint="eastAsia" w:ascii="仿宋" w:hAnsi="仿宋" w:eastAsia="仿宋" w:cs="仿宋"/>
          <w:color w:val="auto"/>
          <w:highlight w:val="none"/>
        </w:rPr>
        <w:br w:type="page"/>
      </w:r>
    </w:p>
    <w:p>
      <w:pPr>
        <w:shd w:val="clear"/>
        <w:rPr>
          <w:rFonts w:ascii="仿宋" w:hAnsi="仿宋" w:eastAsia="仿宋" w:cs="仿宋"/>
          <w:color w:val="auto"/>
          <w:highlight w:val="none"/>
        </w:rPr>
      </w:pPr>
    </w:p>
    <w:p>
      <w:pPr>
        <w:pStyle w:val="5"/>
        <w:numPr>
          <w:ilvl w:val="0"/>
          <w:numId w:val="21"/>
        </w:numPr>
        <w:shd w:val="clear"/>
        <w:tabs>
          <w:tab w:val="clear" w:pos="567"/>
        </w:tabs>
        <w:spacing w:beforeLines="100" w:afterLines="100" w:line="240" w:lineRule="auto"/>
        <w:ind w:left="0" w:firstLine="0"/>
        <w:rPr>
          <w:rFonts w:ascii="仿宋" w:hAnsi="仿宋" w:eastAsia="仿宋" w:cs="仿宋"/>
          <w:color w:val="auto"/>
          <w:szCs w:val="32"/>
          <w:highlight w:val="none"/>
        </w:rPr>
      </w:pPr>
      <w:bookmarkStart w:id="599" w:name="_Toc14223"/>
      <w:bookmarkStart w:id="600" w:name="_Toc26039"/>
      <w:bookmarkStart w:id="601" w:name="_Toc17342"/>
      <w:bookmarkStart w:id="602" w:name="_Toc312133589"/>
      <w:r>
        <w:rPr>
          <w:rFonts w:hint="eastAsia" w:ascii="仿宋" w:hAnsi="仿宋" w:eastAsia="仿宋" w:cs="仿宋"/>
          <w:color w:val="auto"/>
          <w:szCs w:val="32"/>
          <w:highlight w:val="none"/>
        </w:rPr>
        <w:t>响应函</w:t>
      </w:r>
      <w:bookmarkEnd w:id="599"/>
    </w:p>
    <w:p>
      <w:pPr>
        <w:shd w:val="clear"/>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致：</w:t>
      </w:r>
      <w:r>
        <w:rPr>
          <w:rFonts w:hint="eastAsia" w:ascii="仿宋" w:hAnsi="仿宋" w:eastAsia="仿宋" w:cs="仿宋"/>
          <w:b/>
          <w:bCs/>
          <w:color w:val="auto"/>
          <w:sz w:val="28"/>
          <w:szCs w:val="28"/>
          <w:highlight w:val="none"/>
          <w:u w:val="single"/>
        </w:rPr>
        <w:t>郑州市中原区审计局</w:t>
      </w:r>
    </w:p>
    <w:p>
      <w:pPr>
        <w:pStyle w:val="14"/>
        <w:numPr>
          <w:ilvl w:val="0"/>
          <w:numId w:val="22"/>
        </w:numPr>
        <w:shd w:val="clear"/>
        <w:tabs>
          <w:tab w:val="left" w:pos="0"/>
          <w:tab w:val="clear" w:pos="420"/>
        </w:tabs>
        <w:spacing w:after="0"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我方已仔细研究了</w:t>
      </w:r>
      <w:r>
        <w:rPr>
          <w:rFonts w:hint="eastAsia" w:ascii="仿宋" w:hAnsi="仿宋" w:eastAsia="仿宋" w:cs="仿宋"/>
          <w:color w:val="auto"/>
          <w:sz w:val="24"/>
          <w:szCs w:val="24"/>
          <w:highlight w:val="none"/>
          <w:u w:val="single"/>
        </w:rPr>
        <w:t xml:space="preserve"> 郑州市中原区审计局2023年审计服务中介机构框架协议采购项目</w:t>
      </w:r>
      <w:r>
        <w:rPr>
          <w:rFonts w:hint="eastAsia" w:ascii="仿宋" w:hAnsi="仿宋" w:eastAsia="仿宋" w:cs="仿宋"/>
          <w:color w:val="auto"/>
          <w:sz w:val="24"/>
          <w:szCs w:val="24"/>
          <w:highlight w:val="none"/>
        </w:rPr>
        <w:t>（项目名称）征集文件的全部内容，愿意按照《郑州市中原区审计局聘请中介机构和外部人员参与审计工作</w:t>
      </w:r>
      <w:r>
        <w:rPr>
          <w:rFonts w:hint="eastAsia" w:ascii="仿宋" w:hAnsi="仿宋" w:eastAsia="仿宋" w:cs="仿宋"/>
          <w:color w:val="auto"/>
          <w:sz w:val="24"/>
          <w:szCs w:val="24"/>
          <w:highlight w:val="none"/>
          <w:lang w:eastAsia="zh-CN"/>
        </w:rPr>
        <w:t>管理暂行办法</w:t>
      </w:r>
      <w:r>
        <w:rPr>
          <w:rFonts w:hint="eastAsia" w:ascii="仿宋" w:hAnsi="仿宋" w:eastAsia="仿宋" w:cs="仿宋"/>
          <w:color w:val="auto"/>
          <w:sz w:val="24"/>
          <w:szCs w:val="24"/>
          <w:highlight w:val="none"/>
        </w:rPr>
        <w:t>》（中原审</w:t>
      </w:r>
      <w:r>
        <w:rPr>
          <w:rFonts w:hint="eastAsia" w:ascii="仿宋" w:hAnsi="仿宋" w:eastAsia="仿宋" w:cs="仿宋"/>
          <w:color w:val="auto"/>
          <w:sz w:val="24"/>
          <w:szCs w:val="24"/>
          <w:highlight w:val="none"/>
          <w:lang w:eastAsia="zh-CN"/>
        </w:rPr>
        <w:t>〔2023〕</w:t>
      </w:r>
      <w:r>
        <w:rPr>
          <w:rFonts w:hint="eastAsia" w:ascii="仿宋" w:hAnsi="仿宋" w:eastAsia="仿宋" w:cs="仿宋"/>
          <w:color w:val="auto"/>
          <w:sz w:val="24"/>
          <w:szCs w:val="24"/>
          <w:highlight w:val="none"/>
        </w:rPr>
        <w:t>4号）规定</w:t>
      </w:r>
      <w:r>
        <w:rPr>
          <w:rFonts w:hint="eastAsia" w:ascii="仿宋" w:hAnsi="仿宋" w:eastAsia="仿宋" w:cs="仿宋"/>
          <w:color w:val="auto"/>
          <w:sz w:val="24"/>
          <w:szCs w:val="24"/>
          <w:highlight w:val="none"/>
          <w:lang w:val="en-US" w:eastAsia="zh-CN"/>
        </w:rPr>
        <w:t>的服务费计费方式</w:t>
      </w:r>
      <w:r>
        <w:rPr>
          <w:rFonts w:hint="eastAsia" w:ascii="仿宋" w:hAnsi="仿宋" w:eastAsia="仿宋" w:cs="仿宋"/>
          <w:color w:val="auto"/>
          <w:sz w:val="24"/>
          <w:szCs w:val="24"/>
          <w:highlight w:val="none"/>
        </w:rPr>
        <w:t>，按合同约定实施和完成采购人的采购计划。</w:t>
      </w:r>
    </w:p>
    <w:p>
      <w:pPr>
        <w:pStyle w:val="14"/>
        <w:numPr>
          <w:ilvl w:val="0"/>
          <w:numId w:val="22"/>
        </w:numPr>
        <w:shd w:val="clear"/>
        <w:tabs>
          <w:tab w:val="left" w:pos="720"/>
          <w:tab w:val="clear" w:pos="420"/>
        </w:tabs>
        <w:spacing w:after="0" w:line="360" w:lineRule="auto"/>
        <w:ind w:left="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响应文件有效期为提交响应文件的截止之日起</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日历天。我方承诺在响应文件有效期内不修改、撤销响应文件。</w:t>
      </w:r>
    </w:p>
    <w:p>
      <w:pPr>
        <w:pStyle w:val="14"/>
        <w:numPr>
          <w:ilvl w:val="0"/>
          <w:numId w:val="22"/>
        </w:numPr>
        <w:shd w:val="clear"/>
        <w:tabs>
          <w:tab w:val="left" w:pos="0"/>
          <w:tab w:val="clear" w:pos="420"/>
        </w:tabs>
        <w:spacing w:after="0"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我方已详细审查全部征集文件，包括修改文件（如有）以及全部参考资料和有关附件，我方完全接受征集文件中所规定的合同条款及其他部分的全部内容，若我方中标，将完全响应其规定。</w:t>
      </w:r>
    </w:p>
    <w:p>
      <w:pPr>
        <w:pStyle w:val="14"/>
        <w:numPr>
          <w:ilvl w:val="0"/>
          <w:numId w:val="22"/>
        </w:numPr>
        <w:shd w:val="clear"/>
        <w:tabs>
          <w:tab w:val="left" w:pos="0"/>
          <w:tab w:val="clear" w:pos="420"/>
        </w:tabs>
        <w:spacing w:after="0"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我方同意提供按照贵方可能要求的与响应有关的一切数据或资料，完全理解贵方不一定要接受最低价的投标或收到的任何投标。</w:t>
      </w:r>
    </w:p>
    <w:p>
      <w:pPr>
        <w:pStyle w:val="14"/>
        <w:numPr>
          <w:ilvl w:val="0"/>
          <w:numId w:val="22"/>
        </w:numPr>
        <w:shd w:val="clear"/>
        <w:tabs>
          <w:tab w:val="left" w:pos="0"/>
          <w:tab w:val="clear" w:pos="420"/>
        </w:tabs>
        <w:spacing w:after="0"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我方在此声明，所提交的响应文件及有关资料内容完整、真实和准确，且不存在第二章“供应商须知”第 1.4.3 项规定的任何一种情形。</w:t>
      </w:r>
    </w:p>
    <w:p>
      <w:pPr>
        <w:pStyle w:val="14"/>
        <w:numPr>
          <w:ilvl w:val="0"/>
          <w:numId w:val="22"/>
        </w:numPr>
        <w:shd w:val="clear"/>
        <w:tabs>
          <w:tab w:val="left" w:pos="0"/>
          <w:tab w:val="clear" w:pos="420"/>
        </w:tabs>
        <w:spacing w:after="0"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服务期内，与单项审计项目中的被审计单位或与单项审计项目直接有关的建设、施工、监理等单位存在控股、管理等关联关系，或在被审计单位或在单项审计项目直接有关的建设、施工、监理等单位有任职高管</w:t>
      </w:r>
      <w:r>
        <w:rPr>
          <w:rFonts w:hint="eastAsia" w:ascii="仿宋" w:hAnsi="仿宋" w:eastAsia="仿宋" w:cs="仿宋"/>
          <w:color w:val="auto"/>
          <w:sz w:val="24"/>
          <w:szCs w:val="24"/>
          <w:highlight w:val="none"/>
          <w:lang w:val="en-US" w:eastAsia="zh-CN"/>
        </w:rPr>
        <w:t>的，将</w:t>
      </w:r>
      <w:r>
        <w:rPr>
          <w:rFonts w:hint="eastAsia" w:ascii="仿宋" w:hAnsi="仿宋" w:eastAsia="仿宋" w:cs="仿宋"/>
          <w:color w:val="auto"/>
          <w:sz w:val="24"/>
          <w:szCs w:val="24"/>
          <w:highlight w:val="none"/>
        </w:rPr>
        <w:t>主动提出回避，</w:t>
      </w:r>
      <w:r>
        <w:rPr>
          <w:rFonts w:hint="eastAsia" w:ascii="仿宋" w:hAnsi="仿宋" w:eastAsia="仿宋" w:cs="仿宋"/>
          <w:color w:val="auto"/>
          <w:sz w:val="24"/>
          <w:szCs w:val="24"/>
          <w:highlight w:val="none"/>
          <w:lang w:val="en-US" w:eastAsia="zh-CN"/>
        </w:rPr>
        <w:t>不得</w:t>
      </w:r>
      <w:r>
        <w:rPr>
          <w:rFonts w:hint="eastAsia" w:ascii="仿宋" w:hAnsi="仿宋" w:eastAsia="仿宋" w:cs="仿宋"/>
          <w:color w:val="auto"/>
          <w:sz w:val="24"/>
          <w:szCs w:val="24"/>
          <w:highlight w:val="none"/>
        </w:rPr>
        <w:t>承接该项目审计服务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否则接受采购人的任何处罚</w:t>
      </w:r>
      <w:r>
        <w:rPr>
          <w:rFonts w:hint="eastAsia" w:ascii="仿宋" w:hAnsi="仿宋" w:eastAsia="仿宋" w:cs="仿宋"/>
          <w:color w:val="auto"/>
          <w:sz w:val="24"/>
          <w:szCs w:val="24"/>
          <w:highlight w:val="none"/>
        </w:rPr>
        <w:t>。</w:t>
      </w:r>
    </w:p>
    <w:p>
      <w:pPr>
        <w:pStyle w:val="14"/>
        <w:numPr>
          <w:ilvl w:val="0"/>
          <w:numId w:val="22"/>
        </w:numPr>
        <w:shd w:val="clear"/>
        <w:tabs>
          <w:tab w:val="left" w:pos="0"/>
          <w:tab w:val="clear" w:pos="420"/>
        </w:tabs>
        <w:spacing w:after="0"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我方承诺如果我方中标，按征集文件要求向采购代理机构一次性支付代理服务费。</w:t>
      </w:r>
    </w:p>
    <w:p>
      <w:pPr>
        <w:pStyle w:val="14"/>
        <w:numPr>
          <w:ilvl w:val="0"/>
          <w:numId w:val="22"/>
        </w:numPr>
        <w:shd w:val="clear"/>
        <w:tabs>
          <w:tab w:val="left" w:pos="0"/>
          <w:tab w:val="clear" w:pos="420"/>
        </w:tabs>
        <w:spacing w:after="0"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（其他补充说明）。</w:t>
      </w:r>
    </w:p>
    <w:p>
      <w:pPr>
        <w:pStyle w:val="14"/>
        <w:numPr>
          <w:ilvl w:val="0"/>
          <w:numId w:val="22"/>
        </w:numPr>
        <w:shd w:val="clear"/>
        <w:tabs>
          <w:tab w:val="left" w:pos="0"/>
          <w:tab w:val="clear" w:pos="420"/>
        </w:tabs>
        <w:spacing w:after="0" w:line="360" w:lineRule="auto"/>
        <w:ind w:left="0"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与本投标有关的一切正式往来通讯请寄：</w:t>
      </w:r>
    </w:p>
    <w:p>
      <w:pPr>
        <w:shd w:val="clear"/>
        <w:wordWrap w:val="0"/>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p>
    <w:p>
      <w:pPr>
        <w:shd w:val="clear"/>
        <w:wordWrap w:val="0"/>
        <w:autoSpaceDE w:val="0"/>
        <w:autoSpaceDN w:val="0"/>
        <w:adjustRightInd w:val="0"/>
        <w:spacing w:line="360" w:lineRule="auto"/>
        <w:ind w:firstLine="480" w:firstLineChars="2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w:t>
      </w:r>
    </w:p>
    <w:p>
      <w:pPr>
        <w:shd w:val="clear"/>
        <w:wordWrap w:val="0"/>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邮编：</w:t>
      </w:r>
    </w:p>
    <w:p>
      <w:pPr>
        <w:shd w:val="clear"/>
        <w:wordWrap w:val="0"/>
        <w:autoSpaceDE w:val="0"/>
        <w:autoSpaceDN w:val="0"/>
        <w:adjustRightIn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p>
      <w:pPr>
        <w:shd w:val="clear"/>
        <w:wordWrap w:val="0"/>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p>
      <w:pPr>
        <w:shd w:val="clear"/>
        <w:wordWrap w:val="0"/>
        <w:autoSpaceDE w:val="0"/>
        <w:autoSpaceDN w:val="0"/>
        <w:adjustRightIn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p>
    <w:p>
      <w:pPr>
        <w:shd w:val="clear"/>
        <w:wordWrap w:val="0"/>
        <w:autoSpaceDE w:val="0"/>
        <w:autoSpaceDN w:val="0"/>
        <w:adjustRightIn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供应商名称：（电子公章）</w:t>
      </w:r>
    </w:p>
    <w:p>
      <w:pPr>
        <w:shd w:val="clear"/>
        <w:wordWrap w:val="0"/>
        <w:autoSpaceDE w:val="0"/>
        <w:autoSpaceDN w:val="0"/>
        <w:adjustRightInd w:val="0"/>
        <w:spacing w:line="360" w:lineRule="auto"/>
        <w:ind w:firstLine="480" w:firstLineChars="2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法定代表人（或负责人）或其授权代表： （签字或盖章）</w:t>
      </w:r>
    </w:p>
    <w:p>
      <w:pPr>
        <w:shd w:val="clea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pPr>
        <w:shd w:val="clear"/>
        <w:rPr>
          <w:rFonts w:ascii="仿宋" w:hAnsi="仿宋" w:eastAsia="仿宋" w:cs="仿宋"/>
          <w:color w:val="auto"/>
          <w:highlight w:val="none"/>
        </w:rPr>
      </w:pPr>
      <w:r>
        <w:rPr>
          <w:rFonts w:hint="eastAsia" w:ascii="仿宋" w:hAnsi="仿宋" w:eastAsia="仿宋" w:cs="仿宋"/>
          <w:color w:val="auto"/>
          <w:highlight w:val="none"/>
        </w:rPr>
        <w:br w:type="page"/>
      </w:r>
    </w:p>
    <w:p>
      <w:pPr>
        <w:shd w:val="clear"/>
        <w:rPr>
          <w:rFonts w:ascii="仿宋" w:hAnsi="仿宋" w:eastAsia="仿宋" w:cs="仿宋"/>
          <w:color w:val="auto"/>
          <w:highlight w:val="none"/>
        </w:rPr>
      </w:pPr>
    </w:p>
    <w:p>
      <w:pPr>
        <w:pStyle w:val="5"/>
        <w:numPr>
          <w:ilvl w:val="0"/>
          <w:numId w:val="21"/>
        </w:numPr>
        <w:shd w:val="clear"/>
        <w:tabs>
          <w:tab w:val="clear" w:pos="567"/>
        </w:tabs>
        <w:spacing w:beforeLines="100" w:afterLines="100" w:line="240" w:lineRule="auto"/>
        <w:ind w:left="0" w:firstLine="0"/>
        <w:rPr>
          <w:rFonts w:ascii="仿宋" w:hAnsi="仿宋" w:eastAsia="仿宋" w:cs="仿宋"/>
          <w:color w:val="auto"/>
          <w:szCs w:val="32"/>
          <w:highlight w:val="none"/>
        </w:rPr>
      </w:pPr>
      <w:bookmarkStart w:id="603" w:name="_Toc27287"/>
      <w:r>
        <w:rPr>
          <w:rFonts w:hint="eastAsia" w:ascii="仿宋" w:hAnsi="仿宋" w:eastAsia="仿宋" w:cs="仿宋"/>
          <w:color w:val="auto"/>
          <w:szCs w:val="32"/>
          <w:highlight w:val="none"/>
        </w:rPr>
        <w:t>响应一览表</w:t>
      </w:r>
      <w:bookmarkEnd w:id="603"/>
    </w:p>
    <w:p>
      <w:pPr>
        <w:keepNext w:val="0"/>
        <w:keepLines w:val="0"/>
        <w:pageBreakBefore w:val="0"/>
        <w:widowControl w:val="0"/>
        <w:shd w:val="clear"/>
        <w:kinsoku/>
        <w:wordWrap/>
        <w:overflowPunct/>
        <w:topLinePunct w:val="0"/>
        <w:autoSpaceDE/>
        <w:autoSpaceDN/>
        <w:bidi w:val="0"/>
        <w:adjustRightInd/>
        <w:snapToGrid/>
        <w:spacing w:before="313" w:beforeLines="100" w:after="313" w:afterLines="100"/>
        <w:jc w:val="center"/>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rPr>
        <w:t>A包：郑州市中原区审计局2023年选定工程造价咨询机构框架协议采购项目</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922"/>
        <w:gridCol w:w="2352"/>
        <w:gridCol w:w="1664"/>
        <w:gridCol w:w="21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2922" w:type="dxa"/>
            <w:noWrap/>
            <w:tcMar>
              <w:top w:w="15" w:type="dxa"/>
              <w:left w:w="15" w:type="dxa"/>
              <w:bottom w:w="0" w:type="dxa"/>
              <w:right w:w="15"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项目名称</w:t>
            </w:r>
          </w:p>
        </w:tc>
        <w:tc>
          <w:tcPr>
            <w:tcW w:w="6138" w:type="dxa"/>
            <w:gridSpan w:val="3"/>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郑州市中原区审计局2023年审计服务中介机构框架协议采购项目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2922" w:type="dxa"/>
            <w:noWrap/>
            <w:tcMar>
              <w:top w:w="15" w:type="dxa"/>
              <w:left w:w="15" w:type="dxa"/>
              <w:bottom w:w="0" w:type="dxa"/>
              <w:right w:w="15"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包号</w:t>
            </w:r>
          </w:p>
        </w:tc>
        <w:tc>
          <w:tcPr>
            <w:tcW w:w="6138" w:type="dxa"/>
            <w:gridSpan w:val="3"/>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2922" w:type="dxa"/>
            <w:noWrap/>
            <w:tcMar>
              <w:top w:w="15" w:type="dxa"/>
              <w:left w:w="15" w:type="dxa"/>
              <w:bottom w:w="0" w:type="dxa"/>
              <w:right w:w="15"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供应商名称</w:t>
            </w:r>
          </w:p>
        </w:tc>
        <w:tc>
          <w:tcPr>
            <w:tcW w:w="6138" w:type="dxa"/>
            <w:gridSpan w:val="3"/>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3" w:hRule="atLeast"/>
          <w:jc w:val="center"/>
        </w:trPr>
        <w:tc>
          <w:tcPr>
            <w:tcW w:w="2922" w:type="dxa"/>
            <w:noWrap/>
            <w:tcMar>
              <w:top w:w="15" w:type="dxa"/>
              <w:left w:w="15" w:type="dxa"/>
              <w:bottom w:w="0" w:type="dxa"/>
              <w:right w:w="15"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项目负责人</w:t>
            </w:r>
          </w:p>
        </w:tc>
        <w:tc>
          <w:tcPr>
            <w:tcW w:w="2352" w:type="dxa"/>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c>
          <w:tcPr>
            <w:tcW w:w="1664" w:type="dxa"/>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r>
              <w:rPr>
                <w:rFonts w:hint="eastAsia" w:ascii="仿宋" w:hAnsi="仿宋" w:eastAsia="仿宋" w:cs="仿宋"/>
                <w:b/>
                <w:color w:val="auto"/>
                <w:szCs w:val="21"/>
                <w:highlight w:val="none"/>
              </w:rPr>
              <w:t>注册证书编号</w:t>
            </w:r>
          </w:p>
        </w:tc>
        <w:tc>
          <w:tcPr>
            <w:tcW w:w="2122" w:type="dxa"/>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3" w:hRule="atLeast"/>
          <w:jc w:val="center"/>
        </w:trPr>
        <w:tc>
          <w:tcPr>
            <w:tcW w:w="2922" w:type="dxa"/>
            <w:noWrap/>
            <w:tcMar>
              <w:top w:w="15" w:type="dxa"/>
              <w:left w:w="15" w:type="dxa"/>
              <w:bottom w:w="0" w:type="dxa"/>
              <w:right w:w="15" w:type="dxa"/>
            </w:tcMar>
            <w:vAlign w:val="center"/>
          </w:tcPr>
          <w:p>
            <w:pPr>
              <w:shd w:val="clear"/>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rPr>
              <w:t>投标</w:t>
            </w:r>
            <w:r>
              <w:rPr>
                <w:rFonts w:hint="eastAsia" w:ascii="仿宋" w:hAnsi="仿宋" w:eastAsia="仿宋" w:cs="仿宋"/>
                <w:b/>
                <w:color w:val="auto"/>
                <w:szCs w:val="21"/>
                <w:highlight w:val="none"/>
                <w:lang w:val="en-US" w:eastAsia="zh-CN"/>
              </w:rPr>
              <w:t>报价</w:t>
            </w:r>
          </w:p>
        </w:tc>
        <w:tc>
          <w:tcPr>
            <w:tcW w:w="6138" w:type="dxa"/>
            <w:gridSpan w:val="3"/>
            <w:tcBorders>
              <w:bottom w:val="single" w:color="auto" w:sz="4" w:space="0"/>
            </w:tcBorders>
            <w:noWrap/>
            <w:tcMar>
              <w:top w:w="15" w:type="dxa"/>
              <w:left w:w="15" w:type="dxa"/>
              <w:bottom w:w="0" w:type="dxa"/>
              <w:right w:w="15" w:type="dxa"/>
            </w:tcMar>
            <w:vAlign w:val="center"/>
          </w:tcPr>
          <w:p>
            <w:pPr>
              <w:shd w:val="clear"/>
              <w:jc w:val="center"/>
              <w:rPr>
                <w:rFonts w:hint="eastAsia" w:ascii="仿宋" w:hAnsi="仿宋" w:eastAsia="仿宋" w:cs="仿宋"/>
                <w:bCs/>
                <w:color w:val="auto"/>
                <w:szCs w:val="21"/>
                <w:highlight w:val="none"/>
                <w:lang w:val="en-US" w:eastAsia="zh-CN"/>
              </w:rPr>
            </w:pPr>
            <w:r>
              <w:rPr>
                <w:rFonts w:hint="eastAsia" w:ascii="仿宋" w:hAnsi="仿宋" w:eastAsia="仿宋" w:cs="仿宋"/>
                <w:color w:val="auto"/>
                <w:sz w:val="21"/>
                <w:szCs w:val="21"/>
                <w:highlight w:val="none"/>
              </w:rPr>
              <w:t>按照《郑州市中原区审计局聘请中介机构和外部人员参与审计工作</w:t>
            </w:r>
            <w:r>
              <w:rPr>
                <w:rFonts w:hint="eastAsia" w:ascii="仿宋" w:hAnsi="仿宋" w:eastAsia="仿宋" w:cs="仿宋"/>
                <w:color w:val="auto"/>
                <w:sz w:val="21"/>
                <w:szCs w:val="21"/>
                <w:highlight w:val="none"/>
                <w:lang w:eastAsia="zh-CN"/>
              </w:rPr>
              <w:t>管理暂行办法</w:t>
            </w:r>
            <w:r>
              <w:rPr>
                <w:rFonts w:hint="eastAsia" w:ascii="仿宋" w:hAnsi="仿宋" w:eastAsia="仿宋" w:cs="仿宋"/>
                <w:color w:val="auto"/>
                <w:sz w:val="21"/>
                <w:szCs w:val="21"/>
                <w:highlight w:val="none"/>
              </w:rPr>
              <w:t>》（中原审</w:t>
            </w:r>
            <w:r>
              <w:rPr>
                <w:rFonts w:hint="eastAsia" w:ascii="仿宋" w:hAnsi="仿宋" w:eastAsia="仿宋" w:cs="仿宋"/>
                <w:color w:val="auto"/>
                <w:sz w:val="21"/>
                <w:szCs w:val="21"/>
                <w:highlight w:val="none"/>
                <w:lang w:eastAsia="zh-CN"/>
              </w:rPr>
              <w:t>〔2023〕</w:t>
            </w:r>
            <w:r>
              <w:rPr>
                <w:rFonts w:hint="eastAsia" w:ascii="仿宋" w:hAnsi="仿宋" w:eastAsia="仿宋" w:cs="仿宋"/>
                <w:color w:val="auto"/>
                <w:sz w:val="21"/>
                <w:szCs w:val="21"/>
                <w:highlight w:val="none"/>
              </w:rPr>
              <w:t>4号）规定</w:t>
            </w:r>
            <w:r>
              <w:rPr>
                <w:rFonts w:hint="eastAsia" w:ascii="仿宋" w:hAnsi="仿宋" w:eastAsia="仿宋" w:cs="仿宋"/>
                <w:color w:val="auto"/>
                <w:sz w:val="21"/>
                <w:szCs w:val="21"/>
                <w:highlight w:val="none"/>
                <w:lang w:val="en-US" w:eastAsia="zh-CN"/>
              </w:rPr>
              <w:t>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2922" w:type="dxa"/>
            <w:tcBorders>
              <w:bottom w:val="single" w:color="auto" w:sz="4" w:space="0"/>
            </w:tcBorders>
            <w:noWrap/>
            <w:tcMar>
              <w:top w:w="15" w:type="dxa"/>
              <w:left w:w="15" w:type="dxa"/>
              <w:bottom w:w="0" w:type="dxa"/>
              <w:right w:w="15" w:type="dxa"/>
            </w:tcMar>
            <w:vAlign w:val="center"/>
          </w:tcPr>
          <w:p>
            <w:pPr>
              <w:widowControl/>
              <w:shd w:val="clear"/>
              <w:jc w:val="center"/>
              <w:rPr>
                <w:rFonts w:ascii="仿宋" w:hAnsi="仿宋" w:eastAsia="仿宋" w:cs="仿宋"/>
                <w:b/>
                <w:color w:val="auto"/>
                <w:szCs w:val="21"/>
                <w:highlight w:val="none"/>
              </w:rPr>
            </w:pPr>
            <w:r>
              <w:rPr>
                <w:rFonts w:hint="eastAsia" w:ascii="仿宋" w:hAnsi="仿宋" w:eastAsia="仿宋" w:cs="仿宋"/>
                <w:b/>
                <w:color w:val="auto"/>
                <w:highlight w:val="none"/>
              </w:rPr>
              <w:t>适用框架协议的服务对象范围</w:t>
            </w:r>
          </w:p>
        </w:tc>
        <w:tc>
          <w:tcPr>
            <w:tcW w:w="6138" w:type="dxa"/>
            <w:gridSpan w:val="3"/>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2922" w:type="dxa"/>
            <w:tcBorders>
              <w:bottom w:val="single" w:color="auto" w:sz="4" w:space="0"/>
            </w:tcBorders>
            <w:noWrap/>
            <w:tcMar>
              <w:top w:w="15" w:type="dxa"/>
              <w:left w:w="15" w:type="dxa"/>
              <w:bottom w:w="0" w:type="dxa"/>
              <w:right w:w="15" w:type="dxa"/>
            </w:tcMar>
            <w:vAlign w:val="center"/>
          </w:tcPr>
          <w:p>
            <w:pPr>
              <w:widowControl/>
              <w:shd w:val="clear"/>
              <w:jc w:val="center"/>
              <w:rPr>
                <w:rFonts w:ascii="仿宋" w:hAnsi="仿宋" w:eastAsia="仿宋" w:cs="仿宋"/>
                <w:b/>
                <w:color w:val="auto"/>
                <w:szCs w:val="21"/>
                <w:highlight w:val="none"/>
              </w:rPr>
            </w:pPr>
            <w:r>
              <w:rPr>
                <w:rFonts w:hint="eastAsia" w:ascii="仿宋" w:hAnsi="仿宋" w:eastAsia="仿宋" w:cs="仿宋"/>
                <w:b/>
                <w:color w:val="auto"/>
                <w:highlight w:val="none"/>
              </w:rPr>
              <w:t>采购范围</w:t>
            </w:r>
          </w:p>
        </w:tc>
        <w:tc>
          <w:tcPr>
            <w:tcW w:w="6138" w:type="dxa"/>
            <w:gridSpan w:val="3"/>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2922" w:type="dxa"/>
            <w:tcBorders>
              <w:bottom w:val="single" w:color="auto" w:sz="4" w:space="0"/>
            </w:tcBorders>
            <w:noWrap/>
            <w:tcMar>
              <w:top w:w="15" w:type="dxa"/>
              <w:left w:w="15" w:type="dxa"/>
              <w:bottom w:w="0" w:type="dxa"/>
              <w:right w:w="15" w:type="dxa"/>
            </w:tcMar>
            <w:vAlign w:val="center"/>
          </w:tcPr>
          <w:p>
            <w:pPr>
              <w:widowControl/>
              <w:shd w:val="clear"/>
              <w:jc w:val="center"/>
              <w:rPr>
                <w:rFonts w:ascii="仿宋" w:hAnsi="仿宋" w:eastAsia="仿宋" w:cs="仿宋"/>
                <w:b/>
                <w:color w:val="auto"/>
                <w:szCs w:val="21"/>
                <w:highlight w:val="none"/>
              </w:rPr>
            </w:pPr>
            <w:r>
              <w:rPr>
                <w:rFonts w:hint="eastAsia" w:ascii="仿宋" w:hAnsi="仿宋" w:eastAsia="仿宋" w:cs="仿宋"/>
                <w:b/>
                <w:color w:val="auto"/>
                <w:highlight w:val="none"/>
              </w:rPr>
              <w:t>框架协议期限</w:t>
            </w:r>
          </w:p>
        </w:tc>
        <w:tc>
          <w:tcPr>
            <w:tcW w:w="6138" w:type="dxa"/>
            <w:gridSpan w:val="3"/>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2922" w:type="dxa"/>
            <w:tcBorders>
              <w:bottom w:val="single" w:color="auto" w:sz="4" w:space="0"/>
            </w:tcBorders>
            <w:noWrap/>
            <w:tcMar>
              <w:top w:w="15" w:type="dxa"/>
              <w:left w:w="15" w:type="dxa"/>
              <w:bottom w:w="0" w:type="dxa"/>
              <w:right w:w="15" w:type="dxa"/>
            </w:tcMar>
            <w:vAlign w:val="center"/>
          </w:tcPr>
          <w:p>
            <w:pPr>
              <w:widowControl/>
              <w:shd w:val="clear"/>
              <w:jc w:val="center"/>
              <w:rPr>
                <w:rFonts w:ascii="仿宋" w:hAnsi="仿宋" w:eastAsia="仿宋" w:cs="仿宋"/>
                <w:b/>
                <w:color w:val="auto"/>
                <w:szCs w:val="21"/>
                <w:highlight w:val="none"/>
              </w:rPr>
            </w:pPr>
            <w:r>
              <w:rPr>
                <w:rFonts w:hint="eastAsia" w:ascii="仿宋" w:hAnsi="仿宋" w:eastAsia="仿宋" w:cs="仿宋"/>
                <w:b/>
                <w:color w:val="auto"/>
                <w:highlight w:val="none"/>
              </w:rPr>
              <w:t>服务标准</w:t>
            </w:r>
          </w:p>
        </w:tc>
        <w:tc>
          <w:tcPr>
            <w:tcW w:w="6138" w:type="dxa"/>
            <w:gridSpan w:val="3"/>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2922" w:type="dxa"/>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其他</w:t>
            </w:r>
          </w:p>
        </w:tc>
        <w:tc>
          <w:tcPr>
            <w:tcW w:w="6138" w:type="dxa"/>
            <w:gridSpan w:val="3"/>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bl>
    <w:p>
      <w:pPr>
        <w:shd w:val="clear"/>
        <w:spacing w:line="360" w:lineRule="auto"/>
        <w:rPr>
          <w:rFonts w:ascii="仿宋" w:hAnsi="仿宋" w:eastAsia="仿宋" w:cs="仿宋"/>
          <w:color w:val="auto"/>
          <w:kern w:val="0"/>
          <w:szCs w:val="21"/>
          <w:highlight w:val="none"/>
        </w:rPr>
      </w:pPr>
    </w:p>
    <w:p>
      <w:pPr>
        <w:shd w:val="clear"/>
        <w:spacing w:line="360" w:lineRule="auto"/>
        <w:rPr>
          <w:rFonts w:ascii="仿宋" w:hAnsi="仿宋" w:eastAsia="仿宋" w:cs="仿宋"/>
          <w:color w:val="auto"/>
          <w:kern w:val="0"/>
          <w:szCs w:val="21"/>
          <w:highlight w:val="none"/>
        </w:rPr>
      </w:pPr>
    </w:p>
    <w:p>
      <w:pPr>
        <w:shd w:val="clear"/>
        <w:spacing w:line="360" w:lineRule="auto"/>
        <w:rPr>
          <w:rFonts w:ascii="仿宋" w:hAnsi="仿宋" w:eastAsia="仿宋" w:cs="仿宋"/>
          <w:color w:val="auto"/>
          <w:kern w:val="0"/>
          <w:szCs w:val="21"/>
          <w:highlight w:val="none"/>
        </w:rPr>
      </w:pPr>
    </w:p>
    <w:p>
      <w:pPr>
        <w:shd w:val="clear"/>
        <w:spacing w:line="360" w:lineRule="auto"/>
        <w:rPr>
          <w:rFonts w:ascii="仿宋" w:hAnsi="仿宋" w:eastAsia="仿宋" w:cs="仿宋"/>
          <w:bCs/>
          <w:color w:val="auto"/>
          <w:szCs w:val="21"/>
          <w:highlight w:val="none"/>
        </w:rPr>
      </w:pPr>
      <w:r>
        <w:rPr>
          <w:rFonts w:hint="eastAsia" w:ascii="仿宋" w:hAnsi="仿宋" w:eastAsia="仿宋" w:cs="仿宋"/>
          <w:color w:val="auto"/>
          <w:kern w:val="0"/>
          <w:szCs w:val="21"/>
          <w:highlight w:val="none"/>
        </w:rPr>
        <w:t>供应商名称</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rPr>
        <w:t>（电子公章）</w:t>
      </w:r>
    </w:p>
    <w:p>
      <w:pPr>
        <w:shd w:val="clear"/>
        <w:spacing w:line="360" w:lineRule="auto"/>
        <w:rPr>
          <w:rFonts w:ascii="仿宋" w:hAnsi="仿宋" w:eastAsia="仿宋" w:cs="仿宋"/>
          <w:bCs/>
          <w:color w:val="auto"/>
          <w:szCs w:val="21"/>
          <w:highlight w:val="none"/>
        </w:rPr>
      </w:pPr>
      <w:r>
        <w:rPr>
          <w:rFonts w:hint="eastAsia" w:ascii="仿宋" w:hAnsi="仿宋" w:eastAsia="仿宋" w:cs="仿宋"/>
          <w:bCs/>
          <w:color w:val="auto"/>
          <w:szCs w:val="21"/>
          <w:highlight w:val="none"/>
        </w:rPr>
        <w:t>法定代表人或其委托代理人：（</w:t>
      </w:r>
      <w:r>
        <w:rPr>
          <w:rFonts w:hint="eastAsia" w:ascii="仿宋" w:hAnsi="仿宋" w:eastAsia="仿宋" w:cs="仿宋"/>
          <w:color w:val="auto"/>
          <w:szCs w:val="21"/>
          <w:highlight w:val="none"/>
        </w:rPr>
        <w:t>签字或盖章</w:t>
      </w:r>
      <w:r>
        <w:rPr>
          <w:rFonts w:hint="eastAsia" w:ascii="仿宋" w:hAnsi="仿宋" w:eastAsia="仿宋" w:cs="仿宋"/>
          <w:bCs/>
          <w:color w:val="auto"/>
          <w:szCs w:val="21"/>
          <w:highlight w:val="none"/>
        </w:rPr>
        <w:t>）</w:t>
      </w:r>
    </w:p>
    <w:p>
      <w:pPr>
        <w:shd w:val="clear"/>
        <w:ind w:firstLine="630" w:firstLineChars="300"/>
        <w:rPr>
          <w:rFonts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年</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bCs/>
          <w:color w:val="auto"/>
          <w:kern w:val="0"/>
          <w:szCs w:val="21"/>
          <w:highlight w:val="none"/>
        </w:rPr>
        <w:t>月</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bCs/>
          <w:color w:val="auto"/>
          <w:kern w:val="0"/>
          <w:szCs w:val="21"/>
          <w:highlight w:val="none"/>
        </w:rPr>
        <w:t>日</w:t>
      </w:r>
    </w:p>
    <w:p>
      <w:pPr>
        <w:shd w:val="clear"/>
        <w:rPr>
          <w:rFonts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br w:type="page"/>
      </w:r>
    </w:p>
    <w:p>
      <w:pPr>
        <w:keepNext w:val="0"/>
        <w:keepLines w:val="0"/>
        <w:pageBreakBefore w:val="0"/>
        <w:widowControl w:val="0"/>
        <w:shd w:val="clear"/>
        <w:kinsoku/>
        <w:wordWrap/>
        <w:overflowPunct/>
        <w:topLinePunct w:val="0"/>
        <w:autoSpaceDE/>
        <w:autoSpaceDN/>
        <w:bidi w:val="0"/>
        <w:adjustRightInd/>
        <w:snapToGrid/>
        <w:spacing w:before="313" w:beforeLines="100" w:after="313" w:afterLines="100"/>
        <w:jc w:val="center"/>
        <w:textAlignment w:val="auto"/>
        <w:rPr>
          <w:rFonts w:ascii="仿宋" w:hAnsi="仿宋" w:eastAsia="仿宋" w:cs="仿宋"/>
          <w:b/>
          <w:bCs/>
          <w:color w:val="auto"/>
          <w:highlight w:val="none"/>
        </w:rPr>
      </w:pPr>
      <w:r>
        <w:rPr>
          <w:rFonts w:hint="eastAsia" w:ascii="仿宋" w:hAnsi="仿宋" w:eastAsia="仿宋" w:cs="仿宋"/>
          <w:b/>
          <w:bCs/>
          <w:color w:val="auto"/>
          <w:highlight w:val="none"/>
        </w:rPr>
        <w:t>B包：</w:t>
      </w:r>
      <w:r>
        <w:rPr>
          <w:rFonts w:hint="eastAsia" w:ascii="仿宋" w:hAnsi="仿宋" w:eastAsia="仿宋" w:cs="仿宋"/>
          <w:b/>
          <w:bCs/>
          <w:color w:val="auto"/>
          <w:kern w:val="0"/>
          <w:szCs w:val="21"/>
          <w:highlight w:val="none"/>
        </w:rPr>
        <w:t>郑州市中原区审计局2023年选定会计师事务所框架协议采购项目</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922"/>
        <w:gridCol w:w="2352"/>
        <w:gridCol w:w="1664"/>
        <w:gridCol w:w="21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2922" w:type="dxa"/>
            <w:noWrap/>
            <w:tcMar>
              <w:top w:w="15" w:type="dxa"/>
              <w:left w:w="15" w:type="dxa"/>
              <w:bottom w:w="0" w:type="dxa"/>
              <w:right w:w="15"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项目名称</w:t>
            </w:r>
          </w:p>
        </w:tc>
        <w:tc>
          <w:tcPr>
            <w:tcW w:w="6138" w:type="dxa"/>
            <w:gridSpan w:val="3"/>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郑州市中原区审计局2023年审计服务中介机构框架协议采购项目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2922" w:type="dxa"/>
            <w:noWrap/>
            <w:tcMar>
              <w:top w:w="15" w:type="dxa"/>
              <w:left w:w="15" w:type="dxa"/>
              <w:bottom w:w="0" w:type="dxa"/>
              <w:right w:w="15"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包号</w:t>
            </w:r>
          </w:p>
        </w:tc>
        <w:tc>
          <w:tcPr>
            <w:tcW w:w="6138" w:type="dxa"/>
            <w:gridSpan w:val="3"/>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2922" w:type="dxa"/>
            <w:noWrap/>
            <w:tcMar>
              <w:top w:w="15" w:type="dxa"/>
              <w:left w:w="15" w:type="dxa"/>
              <w:bottom w:w="0" w:type="dxa"/>
              <w:right w:w="15"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供应商名称</w:t>
            </w:r>
          </w:p>
        </w:tc>
        <w:tc>
          <w:tcPr>
            <w:tcW w:w="6138" w:type="dxa"/>
            <w:gridSpan w:val="3"/>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3" w:hRule="atLeast"/>
          <w:jc w:val="center"/>
        </w:trPr>
        <w:tc>
          <w:tcPr>
            <w:tcW w:w="2922" w:type="dxa"/>
            <w:noWrap/>
            <w:tcMar>
              <w:top w:w="15" w:type="dxa"/>
              <w:left w:w="15" w:type="dxa"/>
              <w:bottom w:w="0" w:type="dxa"/>
              <w:right w:w="15"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项目负责人</w:t>
            </w:r>
          </w:p>
        </w:tc>
        <w:tc>
          <w:tcPr>
            <w:tcW w:w="2352" w:type="dxa"/>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c>
          <w:tcPr>
            <w:tcW w:w="1664" w:type="dxa"/>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r>
              <w:rPr>
                <w:rFonts w:hint="eastAsia" w:ascii="仿宋" w:hAnsi="仿宋" w:eastAsia="仿宋" w:cs="仿宋"/>
                <w:b/>
                <w:color w:val="auto"/>
                <w:szCs w:val="21"/>
                <w:highlight w:val="none"/>
              </w:rPr>
              <w:t>注册证书编号</w:t>
            </w:r>
          </w:p>
        </w:tc>
        <w:tc>
          <w:tcPr>
            <w:tcW w:w="2122" w:type="dxa"/>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6" w:hRule="atLeast"/>
          <w:jc w:val="center"/>
        </w:trPr>
        <w:tc>
          <w:tcPr>
            <w:tcW w:w="2922" w:type="dxa"/>
            <w:noWrap/>
            <w:tcMar>
              <w:top w:w="15" w:type="dxa"/>
              <w:left w:w="15" w:type="dxa"/>
              <w:bottom w:w="0" w:type="dxa"/>
              <w:right w:w="15" w:type="dxa"/>
            </w:tcMar>
            <w:vAlign w:val="center"/>
          </w:tcPr>
          <w:p>
            <w:pPr>
              <w:shd w:val="clear"/>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rPr>
              <w:t>投标</w:t>
            </w:r>
            <w:r>
              <w:rPr>
                <w:rFonts w:hint="eastAsia" w:ascii="仿宋" w:hAnsi="仿宋" w:eastAsia="仿宋" w:cs="仿宋"/>
                <w:b/>
                <w:color w:val="auto"/>
                <w:szCs w:val="21"/>
                <w:highlight w:val="none"/>
                <w:lang w:val="en-US" w:eastAsia="zh-CN"/>
              </w:rPr>
              <w:t>报价</w:t>
            </w:r>
          </w:p>
        </w:tc>
        <w:tc>
          <w:tcPr>
            <w:tcW w:w="6138" w:type="dxa"/>
            <w:gridSpan w:val="3"/>
            <w:tcBorders>
              <w:bottom w:val="single" w:color="auto" w:sz="4" w:space="0"/>
            </w:tcBorders>
            <w:noWrap/>
            <w:tcMar>
              <w:top w:w="15" w:type="dxa"/>
              <w:left w:w="15" w:type="dxa"/>
              <w:bottom w:w="0" w:type="dxa"/>
              <w:right w:w="15" w:type="dxa"/>
            </w:tcMar>
            <w:vAlign w:val="center"/>
          </w:tcPr>
          <w:p>
            <w:pPr>
              <w:shd w:val="clear"/>
              <w:jc w:val="center"/>
              <w:rPr>
                <w:rFonts w:hint="eastAsia" w:ascii="仿宋" w:hAnsi="仿宋" w:eastAsia="仿宋" w:cs="仿宋"/>
                <w:bCs/>
                <w:color w:val="auto"/>
                <w:szCs w:val="21"/>
                <w:highlight w:val="none"/>
                <w:lang w:val="en-US" w:eastAsia="zh-CN"/>
              </w:rPr>
            </w:pPr>
            <w:r>
              <w:rPr>
                <w:rFonts w:hint="eastAsia" w:ascii="仿宋" w:hAnsi="仿宋" w:eastAsia="仿宋" w:cs="仿宋"/>
                <w:color w:val="auto"/>
                <w:sz w:val="21"/>
                <w:szCs w:val="21"/>
                <w:highlight w:val="none"/>
              </w:rPr>
              <w:t>按照《郑州市中原区审计局聘请中介机构和外部人员参与审计工作</w:t>
            </w:r>
            <w:r>
              <w:rPr>
                <w:rFonts w:hint="eastAsia" w:ascii="仿宋" w:hAnsi="仿宋" w:eastAsia="仿宋" w:cs="仿宋"/>
                <w:color w:val="auto"/>
                <w:sz w:val="21"/>
                <w:szCs w:val="21"/>
                <w:highlight w:val="none"/>
                <w:lang w:eastAsia="zh-CN"/>
              </w:rPr>
              <w:t>管理暂行办法</w:t>
            </w:r>
            <w:r>
              <w:rPr>
                <w:rFonts w:hint="eastAsia" w:ascii="仿宋" w:hAnsi="仿宋" w:eastAsia="仿宋" w:cs="仿宋"/>
                <w:color w:val="auto"/>
                <w:sz w:val="21"/>
                <w:szCs w:val="21"/>
                <w:highlight w:val="none"/>
              </w:rPr>
              <w:t>》（中原审</w:t>
            </w:r>
            <w:r>
              <w:rPr>
                <w:rFonts w:hint="eastAsia" w:ascii="仿宋" w:hAnsi="仿宋" w:eastAsia="仿宋" w:cs="仿宋"/>
                <w:color w:val="auto"/>
                <w:sz w:val="21"/>
                <w:szCs w:val="21"/>
                <w:highlight w:val="none"/>
                <w:lang w:eastAsia="zh-CN"/>
              </w:rPr>
              <w:t>〔2023〕</w:t>
            </w:r>
            <w:r>
              <w:rPr>
                <w:rFonts w:hint="eastAsia" w:ascii="仿宋" w:hAnsi="仿宋" w:eastAsia="仿宋" w:cs="仿宋"/>
                <w:color w:val="auto"/>
                <w:sz w:val="21"/>
                <w:szCs w:val="21"/>
                <w:highlight w:val="none"/>
              </w:rPr>
              <w:t>4号）规定</w:t>
            </w:r>
            <w:r>
              <w:rPr>
                <w:rFonts w:hint="eastAsia" w:ascii="仿宋" w:hAnsi="仿宋" w:eastAsia="仿宋" w:cs="仿宋"/>
                <w:color w:val="auto"/>
                <w:sz w:val="21"/>
                <w:szCs w:val="21"/>
                <w:highlight w:val="none"/>
                <w:lang w:val="en-US" w:eastAsia="zh-CN"/>
              </w:rPr>
              <w:t>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2922" w:type="dxa"/>
            <w:tcBorders>
              <w:bottom w:val="single" w:color="auto" w:sz="4" w:space="0"/>
            </w:tcBorders>
            <w:noWrap/>
            <w:tcMar>
              <w:top w:w="15" w:type="dxa"/>
              <w:left w:w="15" w:type="dxa"/>
              <w:bottom w:w="0" w:type="dxa"/>
              <w:right w:w="15" w:type="dxa"/>
            </w:tcMar>
            <w:vAlign w:val="center"/>
          </w:tcPr>
          <w:p>
            <w:pPr>
              <w:widowControl/>
              <w:shd w:val="clear"/>
              <w:jc w:val="center"/>
              <w:rPr>
                <w:rFonts w:ascii="仿宋" w:hAnsi="仿宋" w:eastAsia="仿宋" w:cs="仿宋"/>
                <w:b/>
                <w:color w:val="auto"/>
                <w:szCs w:val="21"/>
                <w:highlight w:val="none"/>
              </w:rPr>
            </w:pPr>
            <w:r>
              <w:rPr>
                <w:rFonts w:hint="eastAsia" w:ascii="仿宋" w:hAnsi="仿宋" w:eastAsia="仿宋" w:cs="仿宋"/>
                <w:b/>
                <w:color w:val="auto"/>
                <w:highlight w:val="none"/>
              </w:rPr>
              <w:t>适用框架协议的服务对象范围</w:t>
            </w:r>
          </w:p>
        </w:tc>
        <w:tc>
          <w:tcPr>
            <w:tcW w:w="6138" w:type="dxa"/>
            <w:gridSpan w:val="3"/>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2922" w:type="dxa"/>
            <w:tcBorders>
              <w:bottom w:val="single" w:color="auto" w:sz="4" w:space="0"/>
            </w:tcBorders>
            <w:noWrap/>
            <w:tcMar>
              <w:top w:w="15" w:type="dxa"/>
              <w:left w:w="15" w:type="dxa"/>
              <w:bottom w:w="0" w:type="dxa"/>
              <w:right w:w="15" w:type="dxa"/>
            </w:tcMar>
            <w:vAlign w:val="center"/>
          </w:tcPr>
          <w:p>
            <w:pPr>
              <w:widowControl/>
              <w:shd w:val="clear"/>
              <w:jc w:val="center"/>
              <w:rPr>
                <w:rFonts w:ascii="仿宋" w:hAnsi="仿宋" w:eastAsia="仿宋" w:cs="仿宋"/>
                <w:b/>
                <w:color w:val="auto"/>
                <w:szCs w:val="21"/>
                <w:highlight w:val="none"/>
              </w:rPr>
            </w:pPr>
            <w:r>
              <w:rPr>
                <w:rFonts w:hint="eastAsia" w:ascii="仿宋" w:hAnsi="仿宋" w:eastAsia="仿宋" w:cs="仿宋"/>
                <w:b/>
                <w:color w:val="auto"/>
                <w:highlight w:val="none"/>
              </w:rPr>
              <w:t>采购范围</w:t>
            </w:r>
          </w:p>
        </w:tc>
        <w:tc>
          <w:tcPr>
            <w:tcW w:w="6138" w:type="dxa"/>
            <w:gridSpan w:val="3"/>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2922" w:type="dxa"/>
            <w:tcBorders>
              <w:bottom w:val="single" w:color="auto" w:sz="4" w:space="0"/>
            </w:tcBorders>
            <w:noWrap/>
            <w:tcMar>
              <w:top w:w="15" w:type="dxa"/>
              <w:left w:w="15" w:type="dxa"/>
              <w:bottom w:w="0" w:type="dxa"/>
              <w:right w:w="15" w:type="dxa"/>
            </w:tcMar>
            <w:vAlign w:val="center"/>
          </w:tcPr>
          <w:p>
            <w:pPr>
              <w:widowControl/>
              <w:shd w:val="clear"/>
              <w:jc w:val="center"/>
              <w:rPr>
                <w:rFonts w:ascii="仿宋" w:hAnsi="仿宋" w:eastAsia="仿宋" w:cs="仿宋"/>
                <w:b/>
                <w:color w:val="auto"/>
                <w:szCs w:val="21"/>
                <w:highlight w:val="none"/>
              </w:rPr>
            </w:pPr>
            <w:r>
              <w:rPr>
                <w:rFonts w:hint="eastAsia" w:ascii="仿宋" w:hAnsi="仿宋" w:eastAsia="仿宋" w:cs="仿宋"/>
                <w:b/>
                <w:color w:val="auto"/>
                <w:highlight w:val="none"/>
              </w:rPr>
              <w:t>框架协议期限</w:t>
            </w:r>
          </w:p>
        </w:tc>
        <w:tc>
          <w:tcPr>
            <w:tcW w:w="6138" w:type="dxa"/>
            <w:gridSpan w:val="3"/>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2922" w:type="dxa"/>
            <w:tcBorders>
              <w:bottom w:val="single" w:color="auto" w:sz="4" w:space="0"/>
            </w:tcBorders>
            <w:noWrap/>
            <w:tcMar>
              <w:top w:w="15" w:type="dxa"/>
              <w:left w:w="15" w:type="dxa"/>
              <w:bottom w:w="0" w:type="dxa"/>
              <w:right w:w="15" w:type="dxa"/>
            </w:tcMar>
            <w:vAlign w:val="center"/>
          </w:tcPr>
          <w:p>
            <w:pPr>
              <w:widowControl/>
              <w:shd w:val="clear"/>
              <w:jc w:val="center"/>
              <w:rPr>
                <w:rFonts w:ascii="仿宋" w:hAnsi="仿宋" w:eastAsia="仿宋" w:cs="仿宋"/>
                <w:b/>
                <w:color w:val="auto"/>
                <w:szCs w:val="21"/>
                <w:highlight w:val="none"/>
              </w:rPr>
            </w:pPr>
            <w:r>
              <w:rPr>
                <w:rFonts w:hint="eastAsia" w:ascii="仿宋" w:hAnsi="仿宋" w:eastAsia="仿宋" w:cs="仿宋"/>
                <w:b/>
                <w:color w:val="auto"/>
                <w:highlight w:val="none"/>
              </w:rPr>
              <w:t>服务标准</w:t>
            </w:r>
          </w:p>
        </w:tc>
        <w:tc>
          <w:tcPr>
            <w:tcW w:w="6138" w:type="dxa"/>
            <w:gridSpan w:val="3"/>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2922" w:type="dxa"/>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其他</w:t>
            </w:r>
          </w:p>
        </w:tc>
        <w:tc>
          <w:tcPr>
            <w:tcW w:w="6138" w:type="dxa"/>
            <w:gridSpan w:val="3"/>
            <w:tcBorders>
              <w:bottom w:val="single" w:color="auto" w:sz="4" w:space="0"/>
            </w:tcBorders>
            <w:noWrap/>
            <w:tcMar>
              <w:top w:w="15" w:type="dxa"/>
              <w:left w:w="15" w:type="dxa"/>
              <w:bottom w:w="0" w:type="dxa"/>
              <w:right w:w="15" w:type="dxa"/>
            </w:tcMar>
            <w:vAlign w:val="center"/>
          </w:tcPr>
          <w:p>
            <w:pPr>
              <w:shd w:val="clear"/>
              <w:jc w:val="center"/>
              <w:rPr>
                <w:rFonts w:ascii="仿宋" w:hAnsi="仿宋" w:eastAsia="仿宋" w:cs="仿宋"/>
                <w:bCs/>
                <w:color w:val="auto"/>
                <w:szCs w:val="21"/>
                <w:highlight w:val="none"/>
              </w:rPr>
            </w:pPr>
          </w:p>
        </w:tc>
      </w:tr>
    </w:tbl>
    <w:p>
      <w:pPr>
        <w:shd w:val="clear"/>
        <w:spacing w:line="360" w:lineRule="auto"/>
        <w:rPr>
          <w:rFonts w:ascii="仿宋" w:hAnsi="仿宋" w:eastAsia="仿宋" w:cs="仿宋"/>
          <w:color w:val="auto"/>
          <w:kern w:val="0"/>
          <w:szCs w:val="21"/>
          <w:highlight w:val="none"/>
        </w:rPr>
      </w:pPr>
    </w:p>
    <w:p>
      <w:pPr>
        <w:shd w:val="clear"/>
        <w:spacing w:line="360" w:lineRule="auto"/>
        <w:rPr>
          <w:rFonts w:ascii="仿宋" w:hAnsi="仿宋" w:eastAsia="仿宋" w:cs="仿宋"/>
          <w:color w:val="auto"/>
          <w:kern w:val="0"/>
          <w:szCs w:val="21"/>
          <w:highlight w:val="none"/>
        </w:rPr>
      </w:pPr>
    </w:p>
    <w:p>
      <w:pPr>
        <w:shd w:val="clear"/>
        <w:spacing w:line="360" w:lineRule="auto"/>
        <w:rPr>
          <w:rFonts w:ascii="仿宋" w:hAnsi="仿宋" w:eastAsia="仿宋" w:cs="仿宋"/>
          <w:bCs/>
          <w:color w:val="auto"/>
          <w:szCs w:val="21"/>
          <w:highlight w:val="none"/>
        </w:rPr>
      </w:pPr>
      <w:r>
        <w:rPr>
          <w:rFonts w:hint="eastAsia" w:ascii="仿宋" w:hAnsi="仿宋" w:eastAsia="仿宋" w:cs="仿宋"/>
          <w:color w:val="auto"/>
          <w:kern w:val="0"/>
          <w:szCs w:val="21"/>
          <w:highlight w:val="none"/>
        </w:rPr>
        <w:t>供应商名称</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rPr>
        <w:t>（电子公章）</w:t>
      </w:r>
    </w:p>
    <w:p>
      <w:pPr>
        <w:shd w:val="clear"/>
        <w:spacing w:line="360" w:lineRule="auto"/>
        <w:rPr>
          <w:rFonts w:ascii="仿宋" w:hAnsi="仿宋" w:eastAsia="仿宋" w:cs="仿宋"/>
          <w:bCs/>
          <w:color w:val="auto"/>
          <w:szCs w:val="21"/>
          <w:highlight w:val="none"/>
        </w:rPr>
      </w:pPr>
      <w:r>
        <w:rPr>
          <w:rFonts w:hint="eastAsia" w:ascii="仿宋" w:hAnsi="仿宋" w:eastAsia="仿宋" w:cs="仿宋"/>
          <w:bCs/>
          <w:color w:val="auto"/>
          <w:szCs w:val="21"/>
          <w:highlight w:val="none"/>
        </w:rPr>
        <w:t>法定代表人或其委托代理人：（</w:t>
      </w:r>
      <w:r>
        <w:rPr>
          <w:rFonts w:hint="eastAsia" w:ascii="仿宋" w:hAnsi="仿宋" w:eastAsia="仿宋" w:cs="仿宋"/>
          <w:color w:val="auto"/>
          <w:szCs w:val="21"/>
          <w:highlight w:val="none"/>
        </w:rPr>
        <w:t>签字或盖章</w:t>
      </w:r>
      <w:r>
        <w:rPr>
          <w:rFonts w:hint="eastAsia" w:ascii="仿宋" w:hAnsi="仿宋" w:eastAsia="仿宋" w:cs="仿宋"/>
          <w:bCs/>
          <w:color w:val="auto"/>
          <w:szCs w:val="21"/>
          <w:highlight w:val="none"/>
        </w:rPr>
        <w:t>）</w:t>
      </w:r>
    </w:p>
    <w:p>
      <w:pPr>
        <w:shd w:val="clear"/>
        <w:ind w:firstLine="630" w:firstLineChars="300"/>
        <w:rPr>
          <w:rFonts w:ascii="仿宋" w:hAnsi="仿宋" w:eastAsia="仿宋" w:cs="仿宋"/>
          <w:color w:val="auto"/>
          <w:sz w:val="24"/>
          <w:highlight w:val="none"/>
        </w:rPr>
      </w:pPr>
      <w:r>
        <w:rPr>
          <w:rFonts w:hint="eastAsia" w:ascii="仿宋" w:hAnsi="仿宋" w:eastAsia="仿宋" w:cs="仿宋"/>
          <w:bCs/>
          <w:color w:val="auto"/>
          <w:kern w:val="0"/>
          <w:szCs w:val="21"/>
          <w:highlight w:val="none"/>
        </w:rPr>
        <w:t>年</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bCs/>
          <w:color w:val="auto"/>
          <w:kern w:val="0"/>
          <w:szCs w:val="21"/>
          <w:highlight w:val="none"/>
        </w:rPr>
        <w:t>月</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bCs/>
          <w:color w:val="auto"/>
          <w:kern w:val="0"/>
          <w:szCs w:val="21"/>
          <w:highlight w:val="none"/>
        </w:rPr>
        <w:t>日</w:t>
      </w:r>
    </w:p>
    <w:p>
      <w:pPr>
        <w:pStyle w:val="45"/>
        <w:shd w:val="clear"/>
        <w:ind w:firstLine="0" w:firstLineChars="0"/>
        <w:rPr>
          <w:color w:val="auto"/>
          <w:highlight w:val="none"/>
        </w:rPr>
      </w:pPr>
    </w:p>
    <w:p>
      <w:pPr>
        <w:shd w:val="clear"/>
        <w:rPr>
          <w:rFonts w:ascii="仿宋" w:hAnsi="仿宋" w:eastAsia="仿宋" w:cs="仿宋"/>
          <w:color w:val="auto"/>
          <w:sz w:val="24"/>
          <w:highlight w:val="none"/>
        </w:rPr>
      </w:pPr>
      <w:r>
        <w:rPr>
          <w:rFonts w:hint="eastAsia" w:ascii="仿宋" w:hAnsi="仿宋" w:eastAsia="仿宋" w:cs="仿宋"/>
          <w:color w:val="auto"/>
          <w:sz w:val="24"/>
          <w:highlight w:val="none"/>
        </w:rPr>
        <w:br w:type="page"/>
      </w:r>
    </w:p>
    <w:p>
      <w:pPr>
        <w:shd w:val="clear"/>
        <w:rPr>
          <w:rFonts w:ascii="仿宋" w:hAnsi="仿宋" w:eastAsia="仿宋" w:cs="仿宋"/>
          <w:color w:val="auto"/>
          <w:highlight w:val="none"/>
        </w:rPr>
      </w:pPr>
    </w:p>
    <w:p>
      <w:pPr>
        <w:pStyle w:val="5"/>
        <w:numPr>
          <w:ilvl w:val="0"/>
          <w:numId w:val="21"/>
        </w:numPr>
        <w:shd w:val="clear"/>
        <w:tabs>
          <w:tab w:val="clear" w:pos="567"/>
        </w:tabs>
        <w:spacing w:beforeLines="100" w:afterLines="100" w:line="240" w:lineRule="auto"/>
        <w:ind w:left="0" w:firstLine="0"/>
        <w:rPr>
          <w:rFonts w:ascii="仿宋" w:hAnsi="仿宋" w:eastAsia="仿宋" w:cs="仿宋"/>
          <w:color w:val="auto"/>
          <w:szCs w:val="32"/>
          <w:highlight w:val="none"/>
        </w:rPr>
      </w:pPr>
      <w:bookmarkStart w:id="604" w:name="_Toc2434"/>
      <w:r>
        <w:rPr>
          <w:rFonts w:hint="eastAsia" w:ascii="仿宋" w:hAnsi="仿宋" w:eastAsia="仿宋" w:cs="仿宋"/>
          <w:color w:val="auto"/>
          <w:szCs w:val="32"/>
          <w:highlight w:val="none"/>
        </w:rPr>
        <w:t>法定代表人身份证明</w:t>
      </w:r>
      <w:bookmarkEnd w:id="600"/>
      <w:bookmarkEnd w:id="601"/>
      <w:bookmarkEnd w:id="604"/>
    </w:p>
    <w:p>
      <w:pPr>
        <w:shd w:val="clear"/>
        <w:autoSpaceDE w:val="0"/>
        <w:autoSpaceDN w:val="0"/>
        <w:adjustRightInd w:val="0"/>
        <w:spacing w:line="360" w:lineRule="auto"/>
        <w:rPr>
          <w:rFonts w:ascii="仿宋" w:hAnsi="仿宋" w:eastAsia="仿宋" w:cs="仿宋"/>
          <w:color w:val="auto"/>
          <w:kern w:val="0"/>
          <w:szCs w:val="21"/>
          <w:highlight w:val="none"/>
        </w:rPr>
      </w:pPr>
    </w:p>
    <w:p>
      <w:pPr>
        <w:shd w:val="clear"/>
        <w:autoSpaceDE w:val="0"/>
        <w:autoSpaceDN w:val="0"/>
        <w:adjustRightInd w:val="0"/>
        <w:spacing w:line="360" w:lineRule="auto"/>
        <w:rPr>
          <w:rFonts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供应商名称：</w:t>
      </w:r>
    </w:p>
    <w:p>
      <w:pPr>
        <w:shd w:val="clear"/>
        <w:autoSpaceDE w:val="0"/>
        <w:autoSpaceDN w:val="0"/>
        <w:adjustRightInd w:val="0"/>
        <w:spacing w:line="360" w:lineRule="auto"/>
        <w:rPr>
          <w:rFonts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姓名：</w:t>
      </w:r>
      <w:r>
        <w:rPr>
          <w:rFonts w:hint="eastAsia" w:ascii="仿宋" w:hAnsi="仿宋" w:eastAsia="仿宋" w:cs="仿宋"/>
          <w:color w:val="auto"/>
          <w:kern w:val="0"/>
          <w:szCs w:val="21"/>
          <w:highlight w:val="none"/>
          <w:lang w:val="en-US" w:eastAsia="zh-CN"/>
        </w:rPr>
        <w:t xml:space="preserve">     </w:t>
      </w:r>
      <w:r>
        <w:rPr>
          <w:rFonts w:hint="eastAsia" w:ascii="仿宋" w:hAnsi="仿宋" w:eastAsia="仿宋" w:cs="仿宋"/>
          <w:color w:val="auto"/>
          <w:kern w:val="0"/>
          <w:szCs w:val="21"/>
          <w:highlight w:val="none"/>
        </w:rPr>
        <w:t xml:space="preserve">性别： </w:t>
      </w:r>
      <w:r>
        <w:rPr>
          <w:rFonts w:hint="eastAsia" w:ascii="仿宋" w:hAnsi="仿宋" w:eastAsia="仿宋" w:cs="仿宋"/>
          <w:color w:val="auto"/>
          <w:kern w:val="0"/>
          <w:szCs w:val="21"/>
          <w:highlight w:val="none"/>
          <w:lang w:val="en-US" w:eastAsia="zh-CN"/>
        </w:rPr>
        <w:t xml:space="preserve">     </w:t>
      </w:r>
      <w:r>
        <w:rPr>
          <w:rFonts w:hint="eastAsia" w:ascii="仿宋" w:hAnsi="仿宋" w:eastAsia="仿宋" w:cs="仿宋"/>
          <w:color w:val="auto"/>
          <w:kern w:val="0"/>
          <w:szCs w:val="21"/>
          <w:highlight w:val="none"/>
        </w:rPr>
        <w:t xml:space="preserve">年龄： </w:t>
      </w:r>
      <w:r>
        <w:rPr>
          <w:rFonts w:hint="eastAsia" w:ascii="仿宋" w:hAnsi="仿宋" w:eastAsia="仿宋" w:cs="仿宋"/>
          <w:color w:val="auto"/>
          <w:kern w:val="0"/>
          <w:szCs w:val="21"/>
          <w:highlight w:val="none"/>
          <w:lang w:val="en-US" w:eastAsia="zh-CN"/>
        </w:rPr>
        <w:t xml:space="preserve">     </w:t>
      </w:r>
      <w:r>
        <w:rPr>
          <w:rFonts w:hint="eastAsia" w:ascii="仿宋" w:hAnsi="仿宋" w:eastAsia="仿宋" w:cs="仿宋"/>
          <w:color w:val="auto"/>
          <w:kern w:val="0"/>
          <w:szCs w:val="21"/>
          <w:highlight w:val="none"/>
        </w:rPr>
        <w:t>职务：</w:t>
      </w:r>
    </w:p>
    <w:p>
      <w:pPr>
        <w:shd w:val="clear"/>
        <w:autoSpaceDE w:val="0"/>
        <w:autoSpaceDN w:val="0"/>
        <w:adjustRightInd w:val="0"/>
        <w:spacing w:line="360" w:lineRule="auto"/>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系</w:t>
      </w:r>
      <w:r>
        <w:rPr>
          <w:rFonts w:hint="eastAsia" w:ascii="仿宋" w:hAnsi="仿宋" w:eastAsia="仿宋" w:cs="仿宋"/>
          <w:color w:val="auto"/>
          <w:kern w:val="0"/>
          <w:szCs w:val="21"/>
          <w:highlight w:val="none"/>
          <w:lang w:val="en-US" w:eastAsia="zh-CN"/>
        </w:rPr>
        <w:t xml:space="preserve">               </w:t>
      </w:r>
      <w:r>
        <w:rPr>
          <w:rFonts w:hint="eastAsia" w:ascii="仿宋" w:hAnsi="仿宋" w:eastAsia="仿宋" w:cs="仿宋"/>
          <w:color w:val="auto"/>
          <w:kern w:val="0"/>
          <w:szCs w:val="21"/>
          <w:highlight w:val="none"/>
        </w:rPr>
        <w:t>（供应商名称）的法定代表人（或负责人）。</w:t>
      </w:r>
    </w:p>
    <w:p>
      <w:pPr>
        <w:shd w:val="clear"/>
        <w:autoSpaceDE w:val="0"/>
        <w:autoSpaceDN w:val="0"/>
        <w:adjustRightInd w:val="0"/>
        <w:spacing w:line="360" w:lineRule="auto"/>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特此证明。</w:t>
      </w:r>
    </w:p>
    <w:p>
      <w:pPr>
        <w:shd w:val="clear"/>
        <w:autoSpaceDE w:val="0"/>
        <w:autoSpaceDN w:val="0"/>
        <w:adjustRightInd w:val="0"/>
        <w:spacing w:line="360" w:lineRule="auto"/>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附：法定代表人身份证正、反面扫描件。 </w:t>
      </w:r>
    </w:p>
    <w:p>
      <w:pPr>
        <w:shd w:val="clear"/>
        <w:autoSpaceDE w:val="0"/>
        <w:autoSpaceDN w:val="0"/>
        <w:adjustRightInd w:val="0"/>
        <w:spacing w:line="360" w:lineRule="auto"/>
        <w:rPr>
          <w:rFonts w:ascii="仿宋" w:hAnsi="仿宋" w:eastAsia="仿宋" w:cs="仿宋"/>
          <w:color w:val="auto"/>
          <w:kern w:val="0"/>
          <w:szCs w:val="21"/>
          <w:highlight w:val="none"/>
        </w:rPr>
      </w:pPr>
    </w:p>
    <w:p>
      <w:pPr>
        <w:shd w:val="clear"/>
        <w:autoSpaceDE w:val="0"/>
        <w:autoSpaceDN w:val="0"/>
        <w:adjustRightInd w:val="0"/>
        <w:spacing w:line="360" w:lineRule="auto"/>
        <w:rPr>
          <w:rFonts w:ascii="仿宋" w:hAnsi="仿宋" w:eastAsia="仿宋" w:cs="仿宋"/>
          <w:color w:val="auto"/>
          <w:kern w:val="0"/>
          <w:szCs w:val="21"/>
          <w:highlight w:val="none"/>
        </w:rPr>
      </w:pPr>
    </w:p>
    <w:p>
      <w:pPr>
        <w:shd w:val="clear"/>
        <w:autoSpaceDE w:val="0"/>
        <w:autoSpaceDN w:val="0"/>
        <w:adjustRightInd w:val="0"/>
        <w:spacing w:line="360" w:lineRule="auto"/>
        <w:rPr>
          <w:rFonts w:ascii="仿宋" w:hAnsi="仿宋" w:eastAsia="仿宋" w:cs="仿宋"/>
          <w:color w:val="auto"/>
          <w:kern w:val="0"/>
          <w:szCs w:val="21"/>
          <w:highlight w:val="none"/>
        </w:rPr>
      </w:pPr>
    </w:p>
    <w:p>
      <w:pPr>
        <w:shd w:val="clear"/>
        <w:spacing w:line="360" w:lineRule="auto"/>
        <w:ind w:firstLine="3150" w:firstLineChars="1500"/>
        <w:rPr>
          <w:rFonts w:ascii="仿宋" w:hAnsi="仿宋" w:eastAsia="仿宋" w:cs="仿宋"/>
          <w:color w:val="auto"/>
          <w:szCs w:val="21"/>
          <w:highlight w:val="none"/>
        </w:rPr>
      </w:pPr>
      <w:r>
        <w:rPr>
          <w:rFonts w:hint="eastAsia" w:ascii="仿宋" w:hAnsi="仿宋" w:eastAsia="仿宋" w:cs="仿宋"/>
          <w:color w:val="auto"/>
          <w:szCs w:val="21"/>
          <w:highlight w:val="none"/>
        </w:rPr>
        <w:t>供应商名称（电子公章）：</w:t>
      </w:r>
    </w:p>
    <w:p>
      <w:pPr>
        <w:shd w:val="clear"/>
        <w:spacing w:line="360" w:lineRule="auto"/>
        <w:ind w:firstLine="3158" w:firstLineChars="1504"/>
        <w:rPr>
          <w:rFonts w:ascii="仿宋" w:hAnsi="仿宋" w:eastAsia="仿宋" w:cs="仿宋"/>
          <w:color w:val="auto"/>
          <w:szCs w:val="21"/>
          <w:highlight w:val="none"/>
        </w:rPr>
      </w:pPr>
      <w:r>
        <w:rPr>
          <w:rFonts w:hint="eastAsia" w:ascii="仿宋" w:hAnsi="仿宋" w:eastAsia="仿宋" w:cs="仿宋"/>
          <w:color w:val="auto"/>
          <w:szCs w:val="21"/>
          <w:highlight w:val="none"/>
        </w:rPr>
        <w:t>法定代表人（或负责人）（签字或盖章）：</w:t>
      </w:r>
    </w:p>
    <w:p>
      <w:pPr>
        <w:shd w:val="clear"/>
        <w:tabs>
          <w:tab w:val="left" w:pos="5380"/>
          <w:tab w:val="left" w:pos="6520"/>
          <w:tab w:val="left" w:pos="7680"/>
        </w:tabs>
        <w:autoSpaceDE w:val="0"/>
        <w:autoSpaceDN w:val="0"/>
        <w:adjustRightInd w:val="0"/>
        <w:spacing w:line="360" w:lineRule="auto"/>
        <w:ind w:firstLine="4410" w:firstLineChars="21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年</w:t>
      </w:r>
      <w:r>
        <w:rPr>
          <w:rFonts w:hint="eastAsia" w:ascii="仿宋" w:hAnsi="仿宋" w:eastAsia="仿宋" w:cs="仿宋"/>
          <w:color w:val="auto"/>
          <w:kern w:val="0"/>
          <w:szCs w:val="21"/>
          <w:highlight w:val="none"/>
          <w:lang w:val="en-US" w:eastAsia="zh-CN"/>
        </w:rPr>
        <w:t xml:space="preserve">   </w:t>
      </w:r>
      <w:r>
        <w:rPr>
          <w:rFonts w:hint="eastAsia" w:ascii="仿宋" w:hAnsi="仿宋" w:eastAsia="仿宋" w:cs="仿宋"/>
          <w:color w:val="auto"/>
          <w:kern w:val="0"/>
          <w:szCs w:val="21"/>
          <w:highlight w:val="none"/>
        </w:rPr>
        <w:t>月</w:t>
      </w:r>
      <w:r>
        <w:rPr>
          <w:rFonts w:hint="eastAsia" w:ascii="仿宋" w:hAnsi="仿宋" w:eastAsia="仿宋" w:cs="仿宋"/>
          <w:color w:val="auto"/>
          <w:kern w:val="0"/>
          <w:szCs w:val="21"/>
          <w:highlight w:val="none"/>
          <w:lang w:val="en-US" w:eastAsia="zh-CN"/>
        </w:rPr>
        <w:t xml:space="preserve">   </w:t>
      </w:r>
      <w:r>
        <w:rPr>
          <w:rFonts w:hint="eastAsia" w:ascii="仿宋" w:hAnsi="仿宋" w:eastAsia="仿宋" w:cs="仿宋"/>
          <w:color w:val="auto"/>
          <w:kern w:val="0"/>
          <w:szCs w:val="21"/>
          <w:highlight w:val="none"/>
        </w:rPr>
        <w:t>日</w:t>
      </w:r>
    </w:p>
    <w:p>
      <w:pPr>
        <w:shd w:val="clear"/>
        <w:tabs>
          <w:tab w:val="left" w:pos="5340"/>
          <w:tab w:val="left" w:pos="6180"/>
          <w:tab w:val="left" w:pos="7020"/>
        </w:tabs>
        <w:autoSpaceDE w:val="0"/>
        <w:autoSpaceDN w:val="0"/>
        <w:adjustRightInd w:val="0"/>
        <w:spacing w:line="360" w:lineRule="auto"/>
        <w:rPr>
          <w:rFonts w:ascii="仿宋" w:hAnsi="仿宋" w:eastAsia="仿宋" w:cs="仿宋"/>
          <w:color w:val="auto"/>
          <w:kern w:val="0"/>
          <w:szCs w:val="21"/>
          <w:highlight w:val="none"/>
        </w:rPr>
      </w:pPr>
    </w:p>
    <w:p>
      <w:pPr>
        <w:shd w:val="clear"/>
        <w:spacing w:line="360" w:lineRule="auto"/>
        <w:rPr>
          <w:rFonts w:ascii="仿宋" w:hAnsi="仿宋" w:eastAsia="仿宋" w:cs="仿宋"/>
          <w:color w:val="auto"/>
          <w:highlight w:val="none"/>
        </w:rPr>
      </w:pPr>
      <w:r>
        <w:rPr>
          <w:rFonts w:hint="eastAsia" w:ascii="仿宋" w:hAnsi="仿宋" w:eastAsia="仿宋" w:cs="仿宋"/>
          <w:color w:val="auto"/>
          <w:highlight w:val="none"/>
        </w:rPr>
        <w:br w:type="page"/>
      </w:r>
    </w:p>
    <w:bookmarkEnd w:id="602"/>
    <w:p>
      <w:pPr>
        <w:shd w:val="clear"/>
        <w:rPr>
          <w:rFonts w:ascii="仿宋" w:hAnsi="仿宋" w:eastAsia="仿宋" w:cs="仿宋"/>
          <w:color w:val="auto"/>
          <w:highlight w:val="none"/>
        </w:rPr>
      </w:pPr>
    </w:p>
    <w:p>
      <w:pPr>
        <w:pStyle w:val="5"/>
        <w:numPr>
          <w:ilvl w:val="0"/>
          <w:numId w:val="21"/>
        </w:numPr>
        <w:shd w:val="clear"/>
        <w:tabs>
          <w:tab w:val="clear" w:pos="567"/>
        </w:tabs>
        <w:spacing w:beforeLines="100" w:afterLines="100" w:line="240" w:lineRule="auto"/>
        <w:ind w:left="0" w:firstLine="0"/>
        <w:rPr>
          <w:rFonts w:ascii="仿宋" w:hAnsi="仿宋" w:eastAsia="仿宋" w:cs="仿宋"/>
          <w:color w:val="auto"/>
          <w:szCs w:val="32"/>
          <w:highlight w:val="none"/>
        </w:rPr>
      </w:pPr>
      <w:bookmarkStart w:id="605" w:name="_Toc13991"/>
      <w:r>
        <w:rPr>
          <w:rFonts w:hint="eastAsia" w:ascii="仿宋" w:hAnsi="仿宋" w:eastAsia="仿宋" w:cs="仿宋"/>
          <w:color w:val="auto"/>
          <w:szCs w:val="32"/>
          <w:highlight w:val="none"/>
        </w:rPr>
        <w:t>法定代表人(或负责人）授权委托书</w:t>
      </w:r>
      <w:bookmarkEnd w:id="605"/>
    </w:p>
    <w:p>
      <w:pPr>
        <w:shd w:val="clear"/>
        <w:autoSpaceDE w:val="0"/>
        <w:autoSpaceDN w:val="0"/>
        <w:adjustRightInd w:val="0"/>
        <w:spacing w:line="360" w:lineRule="auto"/>
        <w:rPr>
          <w:rFonts w:ascii="仿宋" w:hAnsi="仿宋" w:eastAsia="仿宋" w:cs="仿宋"/>
          <w:color w:val="auto"/>
          <w:kern w:val="0"/>
          <w:sz w:val="20"/>
          <w:szCs w:val="20"/>
          <w:highlight w:val="none"/>
        </w:rPr>
      </w:pPr>
    </w:p>
    <w:p>
      <w:pPr>
        <w:shd w:val="clear"/>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致：</w:t>
      </w:r>
      <w:r>
        <w:rPr>
          <w:rFonts w:hint="eastAsia" w:ascii="仿宋" w:hAnsi="仿宋" w:eastAsia="仿宋" w:cs="仿宋"/>
          <w:b/>
          <w:bCs/>
          <w:color w:val="auto"/>
          <w:sz w:val="28"/>
          <w:szCs w:val="28"/>
          <w:highlight w:val="none"/>
          <w:u w:val="single"/>
        </w:rPr>
        <w:t>郑州市中原区审计局</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兹授权委托</w:t>
      </w:r>
      <w:r>
        <w:rPr>
          <w:rFonts w:hint="eastAsia" w:ascii="仿宋" w:hAnsi="仿宋" w:eastAsia="仿宋" w:cs="仿宋"/>
          <w:color w:val="auto"/>
          <w:szCs w:val="21"/>
          <w:highlight w:val="none"/>
          <w:u w:val="single"/>
        </w:rPr>
        <w:t xml:space="preserve"> （姓名/职务） </w:t>
      </w:r>
      <w:r>
        <w:rPr>
          <w:rFonts w:hint="eastAsia" w:ascii="仿宋" w:hAnsi="仿宋" w:eastAsia="仿宋" w:cs="仿宋"/>
          <w:color w:val="auto"/>
          <w:szCs w:val="21"/>
          <w:highlight w:val="none"/>
        </w:rPr>
        <w:t>为我方代理人，参加贵单位组织的</w:t>
      </w:r>
      <w:r>
        <w:rPr>
          <w:rFonts w:hint="eastAsia" w:ascii="仿宋" w:hAnsi="仿宋" w:eastAsia="仿宋" w:cs="仿宋"/>
          <w:color w:val="auto"/>
          <w:szCs w:val="21"/>
          <w:highlight w:val="none"/>
          <w:u w:val="single"/>
        </w:rPr>
        <w:t xml:space="preserve">  （项目名称）</w:t>
      </w:r>
      <w:r>
        <w:rPr>
          <w:rFonts w:hint="eastAsia" w:ascii="仿宋" w:hAnsi="仿宋" w:eastAsia="仿宋" w:cs="仿宋"/>
          <w:color w:val="auto"/>
          <w:szCs w:val="21"/>
          <w:highlight w:val="none"/>
        </w:rPr>
        <w:t>包号：采购活动，授权代理人全权代表我单位处理招标的有关事宜，其法律后果由我方承担。</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委托期限：</w:t>
      </w:r>
    </w:p>
    <w:p>
      <w:pPr>
        <w:shd w:val="clear"/>
        <w:spacing w:line="360" w:lineRule="auto"/>
        <w:ind w:firstLine="422" w:firstLineChars="200"/>
        <w:rPr>
          <w:rFonts w:ascii="仿宋" w:hAnsi="仿宋" w:eastAsia="仿宋" w:cs="仿宋"/>
          <w:b/>
          <w:bCs/>
          <w:color w:val="auto"/>
          <w:szCs w:val="21"/>
          <w:highlight w:val="none"/>
        </w:rPr>
      </w:pPr>
      <w:r>
        <w:rPr>
          <w:rFonts w:hint="eastAsia" w:ascii="仿宋" w:hAnsi="仿宋" w:eastAsia="仿宋" w:cs="仿宋"/>
          <w:b/>
          <w:bCs/>
          <w:color w:val="auto"/>
          <w:szCs w:val="21"/>
          <w:highlight w:val="none"/>
        </w:rPr>
        <w:t>附：法定代表人及其授权代理人身份证扫描件。</w:t>
      </w:r>
    </w:p>
    <w:p>
      <w:pPr>
        <w:shd w:val="clear"/>
        <w:wordWrap w:val="0"/>
        <w:autoSpaceDE w:val="0"/>
        <w:autoSpaceDN w:val="0"/>
        <w:spacing w:line="360" w:lineRule="auto"/>
        <w:ind w:firstLine="420" w:firstLineChars="200"/>
        <w:rPr>
          <w:rFonts w:ascii="仿宋" w:hAnsi="仿宋" w:eastAsia="仿宋" w:cs="仿宋"/>
          <w:color w:val="auto"/>
          <w:szCs w:val="21"/>
          <w:highlight w:val="none"/>
          <w:u w:val="single"/>
        </w:rPr>
      </w:pPr>
    </w:p>
    <w:p>
      <w:pPr>
        <w:shd w:val="clear"/>
        <w:wordWrap w:val="0"/>
        <w:autoSpaceDE w:val="0"/>
        <w:autoSpaceDN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法定代表人（或负责人）姓名：</w:t>
      </w:r>
    </w:p>
    <w:p>
      <w:pPr>
        <w:shd w:val="clear"/>
        <w:wordWrap w:val="0"/>
        <w:autoSpaceDE w:val="0"/>
        <w:autoSpaceDN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性别：</w:t>
      </w:r>
    </w:p>
    <w:p>
      <w:pPr>
        <w:shd w:val="clear"/>
        <w:wordWrap w:val="0"/>
        <w:autoSpaceDE w:val="0"/>
        <w:autoSpaceDN w:val="0"/>
        <w:spacing w:line="360" w:lineRule="auto"/>
        <w:ind w:firstLine="420" w:firstLineChars="200"/>
        <w:rPr>
          <w:rFonts w:ascii="仿宋" w:hAnsi="仿宋" w:eastAsia="仿宋" w:cs="仿宋"/>
          <w:color w:val="auto"/>
          <w:szCs w:val="21"/>
          <w:highlight w:val="none"/>
          <w:u w:val="single"/>
        </w:rPr>
      </w:pPr>
      <w:r>
        <w:rPr>
          <w:rFonts w:hint="eastAsia" w:ascii="仿宋" w:hAnsi="仿宋" w:eastAsia="仿宋" w:cs="仿宋"/>
          <w:color w:val="auto"/>
          <w:szCs w:val="21"/>
          <w:highlight w:val="none"/>
        </w:rPr>
        <w:t>年龄：</w:t>
      </w:r>
    </w:p>
    <w:p>
      <w:pPr>
        <w:shd w:val="clear"/>
        <w:wordWrap w:val="0"/>
        <w:autoSpaceDE w:val="0"/>
        <w:autoSpaceDN w:val="0"/>
        <w:spacing w:line="360" w:lineRule="auto"/>
        <w:ind w:firstLine="420" w:firstLineChars="200"/>
        <w:rPr>
          <w:rFonts w:ascii="仿宋" w:hAnsi="仿宋" w:eastAsia="仿宋" w:cs="仿宋"/>
          <w:color w:val="auto"/>
          <w:szCs w:val="21"/>
          <w:highlight w:val="none"/>
          <w:u w:val="single"/>
        </w:rPr>
      </w:pPr>
      <w:r>
        <w:rPr>
          <w:rFonts w:hint="eastAsia" w:ascii="仿宋" w:hAnsi="仿宋" w:eastAsia="仿宋" w:cs="仿宋"/>
          <w:color w:val="auto"/>
          <w:szCs w:val="21"/>
          <w:highlight w:val="none"/>
        </w:rPr>
        <w:t>身份证号码：</w:t>
      </w:r>
    </w:p>
    <w:p>
      <w:pPr>
        <w:shd w:val="clear"/>
        <w:wordWrap w:val="0"/>
        <w:autoSpaceDE w:val="0"/>
        <w:autoSpaceDN w:val="0"/>
        <w:spacing w:line="360" w:lineRule="auto"/>
        <w:ind w:firstLine="420" w:firstLineChars="200"/>
        <w:rPr>
          <w:rFonts w:ascii="仿宋" w:hAnsi="仿宋" w:eastAsia="仿宋" w:cs="仿宋"/>
          <w:color w:val="auto"/>
          <w:szCs w:val="21"/>
          <w:highlight w:val="none"/>
          <w:u w:val="single"/>
        </w:rPr>
      </w:pPr>
    </w:p>
    <w:p>
      <w:pPr>
        <w:shd w:val="clear"/>
        <w:wordWrap w:val="0"/>
        <w:autoSpaceDE w:val="0"/>
        <w:autoSpaceDN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授权代理人姓名：</w:t>
      </w:r>
    </w:p>
    <w:p>
      <w:pPr>
        <w:shd w:val="clear"/>
        <w:wordWrap w:val="0"/>
        <w:autoSpaceDE w:val="0"/>
        <w:autoSpaceDN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性别：</w:t>
      </w:r>
    </w:p>
    <w:p>
      <w:pPr>
        <w:shd w:val="clear"/>
        <w:wordWrap w:val="0"/>
        <w:autoSpaceDE w:val="0"/>
        <w:autoSpaceDN w:val="0"/>
        <w:spacing w:line="360" w:lineRule="auto"/>
        <w:ind w:firstLine="420" w:firstLineChars="200"/>
        <w:rPr>
          <w:rFonts w:ascii="仿宋" w:hAnsi="仿宋" w:eastAsia="仿宋" w:cs="仿宋"/>
          <w:color w:val="auto"/>
          <w:szCs w:val="21"/>
          <w:highlight w:val="none"/>
          <w:u w:val="single"/>
        </w:rPr>
      </w:pPr>
      <w:r>
        <w:rPr>
          <w:rFonts w:hint="eastAsia" w:ascii="仿宋" w:hAnsi="仿宋" w:eastAsia="仿宋" w:cs="仿宋"/>
          <w:color w:val="auto"/>
          <w:szCs w:val="21"/>
          <w:highlight w:val="none"/>
        </w:rPr>
        <w:t>年龄：</w:t>
      </w:r>
    </w:p>
    <w:p>
      <w:pPr>
        <w:shd w:val="clear"/>
        <w:wordWrap w:val="0"/>
        <w:autoSpaceDE w:val="0"/>
        <w:autoSpaceDN w:val="0"/>
        <w:spacing w:line="360" w:lineRule="auto"/>
        <w:ind w:firstLine="420" w:firstLineChars="200"/>
        <w:rPr>
          <w:rFonts w:ascii="仿宋" w:hAnsi="仿宋" w:eastAsia="仿宋" w:cs="仿宋"/>
          <w:color w:val="auto"/>
          <w:szCs w:val="21"/>
          <w:highlight w:val="none"/>
          <w:u w:val="single"/>
        </w:rPr>
      </w:pPr>
      <w:r>
        <w:rPr>
          <w:rFonts w:hint="eastAsia" w:ascii="仿宋" w:hAnsi="仿宋" w:eastAsia="仿宋" w:cs="仿宋"/>
          <w:color w:val="auto"/>
          <w:szCs w:val="21"/>
          <w:highlight w:val="none"/>
        </w:rPr>
        <w:t>身份证号码：</w:t>
      </w:r>
    </w:p>
    <w:p>
      <w:pPr>
        <w:shd w:val="clear"/>
        <w:wordWrap w:val="0"/>
        <w:autoSpaceDE w:val="0"/>
        <w:autoSpaceDN w:val="0"/>
        <w:spacing w:line="360" w:lineRule="auto"/>
        <w:ind w:firstLine="420" w:firstLineChars="200"/>
        <w:rPr>
          <w:rFonts w:ascii="仿宋" w:hAnsi="仿宋" w:eastAsia="仿宋" w:cs="仿宋"/>
          <w:color w:val="auto"/>
          <w:szCs w:val="21"/>
          <w:highlight w:val="none"/>
          <w:u w:val="single"/>
        </w:rPr>
      </w:pPr>
      <w:r>
        <w:rPr>
          <w:rFonts w:hint="eastAsia" w:ascii="仿宋" w:hAnsi="仿宋" w:eastAsia="仿宋" w:cs="仿宋"/>
          <w:color w:val="auto"/>
          <w:szCs w:val="21"/>
          <w:highlight w:val="none"/>
        </w:rPr>
        <w:t>详细通信地址：</w:t>
      </w:r>
    </w:p>
    <w:p>
      <w:pPr>
        <w:shd w:val="clear"/>
        <w:wordWrap w:val="0"/>
        <w:autoSpaceDE w:val="0"/>
        <w:autoSpaceDN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电话：</w:t>
      </w:r>
    </w:p>
    <w:p>
      <w:pPr>
        <w:shd w:val="clear"/>
        <w:wordWrap w:val="0"/>
        <w:autoSpaceDE w:val="0"/>
        <w:autoSpaceDN w:val="0"/>
        <w:spacing w:line="360" w:lineRule="auto"/>
        <w:ind w:firstLine="420" w:firstLineChars="200"/>
        <w:rPr>
          <w:rFonts w:ascii="仿宋" w:hAnsi="仿宋" w:eastAsia="仿宋" w:cs="仿宋"/>
          <w:color w:val="auto"/>
          <w:szCs w:val="21"/>
          <w:highlight w:val="none"/>
          <w:u w:val="single"/>
        </w:rPr>
      </w:pPr>
      <w:r>
        <w:rPr>
          <w:rFonts w:hint="eastAsia" w:ascii="仿宋" w:hAnsi="仿宋" w:eastAsia="仿宋" w:cs="仿宋"/>
          <w:color w:val="auto"/>
          <w:szCs w:val="21"/>
          <w:highlight w:val="none"/>
        </w:rPr>
        <w:t>传真：</w:t>
      </w:r>
    </w:p>
    <w:p>
      <w:pPr>
        <w:shd w:val="clear"/>
        <w:wordWrap w:val="0"/>
        <w:autoSpaceDE w:val="0"/>
        <w:autoSpaceDN w:val="0"/>
        <w:spacing w:line="360" w:lineRule="auto"/>
        <w:rPr>
          <w:rFonts w:ascii="仿宋" w:hAnsi="仿宋" w:eastAsia="仿宋" w:cs="仿宋"/>
          <w:color w:val="auto"/>
          <w:szCs w:val="21"/>
          <w:highlight w:val="none"/>
          <w:u w:val="single"/>
        </w:rPr>
      </w:pPr>
    </w:p>
    <w:p>
      <w:pPr>
        <w:shd w:val="clear"/>
        <w:wordWrap w:val="0"/>
        <w:autoSpaceDE w:val="0"/>
        <w:autoSpaceDN w:val="0"/>
        <w:spacing w:line="360" w:lineRule="auto"/>
        <w:ind w:firstLine="3465" w:firstLineChars="1650"/>
        <w:rPr>
          <w:rFonts w:ascii="仿宋" w:hAnsi="仿宋" w:eastAsia="仿宋" w:cs="仿宋"/>
          <w:color w:val="auto"/>
          <w:szCs w:val="21"/>
          <w:highlight w:val="none"/>
        </w:rPr>
      </w:pPr>
      <w:r>
        <w:rPr>
          <w:rFonts w:hint="eastAsia" w:ascii="仿宋" w:hAnsi="仿宋" w:eastAsia="仿宋" w:cs="仿宋"/>
          <w:color w:val="auto"/>
          <w:szCs w:val="21"/>
          <w:highlight w:val="none"/>
        </w:rPr>
        <w:t>供应商名称（电子公章）：</w:t>
      </w:r>
    </w:p>
    <w:p>
      <w:pPr>
        <w:shd w:val="clear"/>
        <w:wordWrap w:val="0"/>
        <w:autoSpaceDE w:val="0"/>
        <w:autoSpaceDN w:val="0"/>
        <w:spacing w:line="360" w:lineRule="auto"/>
        <w:ind w:firstLine="3465" w:firstLineChars="1650"/>
        <w:rPr>
          <w:rFonts w:ascii="仿宋" w:hAnsi="仿宋" w:eastAsia="仿宋" w:cs="仿宋"/>
          <w:color w:val="auto"/>
          <w:szCs w:val="21"/>
          <w:highlight w:val="none"/>
        </w:rPr>
      </w:pPr>
      <w:r>
        <w:rPr>
          <w:rFonts w:hint="eastAsia" w:ascii="仿宋" w:hAnsi="仿宋" w:eastAsia="仿宋" w:cs="仿宋"/>
          <w:color w:val="auto"/>
          <w:szCs w:val="21"/>
          <w:highlight w:val="none"/>
        </w:rPr>
        <w:t>法定代表人（或负责人）（签字或盖章）：</w:t>
      </w:r>
    </w:p>
    <w:p>
      <w:pPr>
        <w:shd w:val="clear"/>
        <w:wordWrap w:val="0"/>
        <w:autoSpaceDE w:val="0"/>
        <w:autoSpaceDN w:val="0"/>
        <w:spacing w:line="360" w:lineRule="auto"/>
        <w:ind w:firstLine="3465" w:firstLineChars="1650"/>
        <w:rPr>
          <w:rFonts w:ascii="仿宋" w:hAnsi="仿宋" w:eastAsia="仿宋" w:cs="仿宋"/>
          <w:color w:val="auto"/>
          <w:szCs w:val="21"/>
          <w:highlight w:val="none"/>
        </w:rPr>
      </w:pPr>
      <w:r>
        <w:rPr>
          <w:rFonts w:hint="eastAsia" w:ascii="仿宋" w:hAnsi="仿宋" w:eastAsia="仿宋" w:cs="仿宋"/>
          <w:color w:val="auto"/>
          <w:szCs w:val="21"/>
          <w:highlight w:val="none"/>
        </w:rPr>
        <w:t>授权代理人（签字或盖章）：</w:t>
      </w:r>
    </w:p>
    <w:p>
      <w:pPr>
        <w:shd w:val="clear"/>
        <w:tabs>
          <w:tab w:val="left" w:pos="5380"/>
          <w:tab w:val="left" w:pos="6520"/>
          <w:tab w:val="left" w:pos="7680"/>
        </w:tabs>
        <w:autoSpaceDE w:val="0"/>
        <w:autoSpaceDN w:val="0"/>
        <w:adjustRightInd w:val="0"/>
        <w:spacing w:line="360" w:lineRule="auto"/>
        <w:ind w:firstLine="3780" w:firstLineChars="1800"/>
        <w:jc w:val="left"/>
        <w:rPr>
          <w:rFonts w:ascii="仿宋" w:hAnsi="仿宋" w:eastAsia="仿宋" w:cs="仿宋"/>
          <w:color w:val="auto"/>
          <w:kern w:val="0"/>
          <w:szCs w:val="21"/>
          <w:highlight w:val="none"/>
        </w:rPr>
      </w:pPr>
      <w:r>
        <w:rPr>
          <w:rFonts w:hint="eastAsia" w:ascii="仿宋" w:hAnsi="仿宋" w:eastAsia="仿宋" w:cs="仿宋"/>
          <w:color w:val="auto"/>
          <w:szCs w:val="21"/>
          <w:highlight w:val="none"/>
        </w:rPr>
        <w:t xml:space="preserve">年   月   日 </w:t>
      </w:r>
    </w:p>
    <w:p>
      <w:pPr>
        <w:shd w:val="clear"/>
        <w:rPr>
          <w:rFonts w:ascii="仿宋" w:hAnsi="仿宋" w:eastAsia="仿宋" w:cs="仿宋"/>
          <w:color w:val="auto"/>
          <w:szCs w:val="21"/>
          <w:highlight w:val="none"/>
        </w:rPr>
      </w:pPr>
      <w:r>
        <w:rPr>
          <w:rFonts w:hint="eastAsia" w:ascii="仿宋" w:hAnsi="仿宋" w:eastAsia="仿宋" w:cs="仿宋"/>
          <w:color w:val="auto"/>
          <w:szCs w:val="21"/>
          <w:highlight w:val="none"/>
        </w:rPr>
        <w:br w:type="page"/>
      </w:r>
    </w:p>
    <w:p>
      <w:pPr>
        <w:shd w:val="clear"/>
        <w:rPr>
          <w:rFonts w:ascii="仿宋" w:hAnsi="仿宋" w:eastAsia="仿宋" w:cs="仿宋"/>
          <w:color w:val="auto"/>
          <w:highlight w:val="none"/>
        </w:rPr>
      </w:pPr>
    </w:p>
    <w:p>
      <w:pPr>
        <w:pStyle w:val="5"/>
        <w:numPr>
          <w:ilvl w:val="0"/>
          <w:numId w:val="21"/>
        </w:numPr>
        <w:shd w:val="clear"/>
        <w:tabs>
          <w:tab w:val="clear" w:pos="567"/>
        </w:tabs>
        <w:spacing w:beforeLines="100" w:afterLines="100" w:line="240" w:lineRule="auto"/>
        <w:ind w:left="0" w:firstLine="0"/>
        <w:rPr>
          <w:rFonts w:ascii="仿宋" w:hAnsi="仿宋" w:eastAsia="仿宋" w:cs="仿宋"/>
          <w:color w:val="auto"/>
          <w:szCs w:val="32"/>
          <w:highlight w:val="none"/>
        </w:rPr>
      </w:pPr>
      <w:bookmarkStart w:id="606" w:name="_Toc15291"/>
      <w:bookmarkStart w:id="607" w:name="_Toc4485631"/>
      <w:bookmarkStart w:id="608" w:name="_Toc533340154"/>
      <w:r>
        <w:rPr>
          <w:rFonts w:hint="eastAsia" w:ascii="仿宋" w:hAnsi="仿宋" w:eastAsia="仿宋" w:cs="仿宋"/>
          <w:color w:val="auto"/>
          <w:szCs w:val="32"/>
          <w:highlight w:val="none"/>
        </w:rPr>
        <w:t>供应商资格证明材料</w:t>
      </w:r>
      <w:bookmarkEnd w:id="606"/>
    </w:p>
    <w:p>
      <w:pPr>
        <w:pStyle w:val="6"/>
        <w:shd w:val="clear"/>
        <w:spacing w:before="0" w:after="0" w:line="360" w:lineRule="auto"/>
        <w:ind w:firstLine="482" w:firstLineChars="200"/>
        <w:rPr>
          <w:rFonts w:ascii="仿宋" w:hAnsi="仿宋" w:eastAsia="仿宋" w:cs="仿宋"/>
          <w:color w:val="auto"/>
          <w:sz w:val="24"/>
          <w:szCs w:val="24"/>
          <w:highlight w:val="none"/>
        </w:rPr>
      </w:pPr>
      <w:bookmarkStart w:id="609" w:name="_Toc18538"/>
      <w:r>
        <w:rPr>
          <w:rFonts w:hint="eastAsia" w:ascii="仿宋" w:hAnsi="仿宋" w:eastAsia="仿宋" w:cs="仿宋"/>
          <w:color w:val="auto"/>
          <w:sz w:val="24"/>
          <w:szCs w:val="24"/>
          <w:highlight w:val="none"/>
        </w:rPr>
        <w:t>（一）基本情况表</w:t>
      </w:r>
      <w:bookmarkEnd w:id="609"/>
    </w:p>
    <w:tbl>
      <w:tblPr>
        <w:tblStyle w:val="29"/>
        <w:tblW w:w="4999"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344"/>
        <w:gridCol w:w="992"/>
        <w:gridCol w:w="2242"/>
        <w:gridCol w:w="1167"/>
        <w:gridCol w:w="254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62"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供应商名称</w:t>
            </w:r>
          </w:p>
        </w:tc>
        <w:tc>
          <w:tcPr>
            <w:tcW w:w="3737" w:type="pct"/>
            <w:gridSpan w:val="4"/>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62"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注册地址</w:t>
            </w:r>
          </w:p>
        </w:tc>
        <w:tc>
          <w:tcPr>
            <w:tcW w:w="1741" w:type="pct"/>
            <w:gridSpan w:val="2"/>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c>
          <w:tcPr>
            <w:tcW w:w="628"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邮政编码</w:t>
            </w:r>
          </w:p>
        </w:tc>
        <w:tc>
          <w:tcPr>
            <w:tcW w:w="1366"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567" w:hRule="exact"/>
          <w:jc w:val="center"/>
        </w:trPr>
        <w:tc>
          <w:tcPr>
            <w:tcW w:w="1262" w:type="pct"/>
            <w:vMerge w:val="restar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联系方式</w:t>
            </w:r>
          </w:p>
        </w:tc>
        <w:tc>
          <w:tcPr>
            <w:tcW w:w="534"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联系人</w:t>
            </w:r>
          </w:p>
        </w:tc>
        <w:tc>
          <w:tcPr>
            <w:tcW w:w="1207"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c>
          <w:tcPr>
            <w:tcW w:w="628"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电  话</w:t>
            </w:r>
          </w:p>
        </w:tc>
        <w:tc>
          <w:tcPr>
            <w:tcW w:w="1366"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exact"/>
          <w:jc w:val="center"/>
        </w:trPr>
        <w:tc>
          <w:tcPr>
            <w:tcW w:w="1262" w:type="pct"/>
            <w:vMerge w:val="continue"/>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c>
          <w:tcPr>
            <w:tcW w:w="534"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传  真</w:t>
            </w:r>
          </w:p>
        </w:tc>
        <w:tc>
          <w:tcPr>
            <w:tcW w:w="1207"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c>
          <w:tcPr>
            <w:tcW w:w="628"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网址</w:t>
            </w:r>
          </w:p>
        </w:tc>
        <w:tc>
          <w:tcPr>
            <w:tcW w:w="1366"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62"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法定代表人</w:t>
            </w:r>
          </w:p>
        </w:tc>
        <w:tc>
          <w:tcPr>
            <w:tcW w:w="534"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1207"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c>
          <w:tcPr>
            <w:tcW w:w="628"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电话</w:t>
            </w:r>
          </w:p>
        </w:tc>
        <w:tc>
          <w:tcPr>
            <w:tcW w:w="1366"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62"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项目负责人</w:t>
            </w:r>
          </w:p>
        </w:tc>
        <w:tc>
          <w:tcPr>
            <w:tcW w:w="534"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1207"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c>
          <w:tcPr>
            <w:tcW w:w="628"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电话</w:t>
            </w:r>
          </w:p>
        </w:tc>
        <w:tc>
          <w:tcPr>
            <w:tcW w:w="1366"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62"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营业执照号</w:t>
            </w:r>
          </w:p>
        </w:tc>
        <w:tc>
          <w:tcPr>
            <w:tcW w:w="1741" w:type="pct"/>
            <w:gridSpan w:val="2"/>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c>
          <w:tcPr>
            <w:tcW w:w="1995" w:type="pct"/>
            <w:gridSpan w:val="2"/>
            <w:tcBorders>
              <w:top w:val="single" w:color="auto" w:sz="4" w:space="0"/>
              <w:left w:val="single" w:color="auto" w:sz="4" w:space="0"/>
              <w:bottom w:val="single" w:color="auto" w:sz="4" w:space="0"/>
              <w:right w:val="single" w:color="auto" w:sz="4" w:space="0"/>
            </w:tcBorders>
            <w:vAlign w:val="center"/>
          </w:tcPr>
          <w:p>
            <w:pPr>
              <w:shd w:val="clear"/>
              <w:topLinePunct/>
              <w:jc w:val="left"/>
              <w:rPr>
                <w:rFonts w:ascii="仿宋" w:hAnsi="仿宋" w:eastAsia="仿宋" w:cs="仿宋"/>
                <w:color w:val="auto"/>
                <w:szCs w:val="21"/>
                <w:highlight w:val="none"/>
              </w:rPr>
            </w:pPr>
            <w:r>
              <w:rPr>
                <w:rFonts w:hint="eastAsia" w:ascii="仿宋" w:hAnsi="仿宋" w:eastAsia="仿宋" w:cs="仿宋"/>
                <w:color w:val="auto"/>
                <w:szCs w:val="21"/>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exact"/>
          <w:jc w:val="center"/>
        </w:trPr>
        <w:tc>
          <w:tcPr>
            <w:tcW w:w="1262"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注册资本</w:t>
            </w:r>
          </w:p>
        </w:tc>
        <w:tc>
          <w:tcPr>
            <w:tcW w:w="3737" w:type="pct"/>
            <w:gridSpan w:val="4"/>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exact"/>
          <w:jc w:val="center"/>
        </w:trPr>
        <w:tc>
          <w:tcPr>
            <w:tcW w:w="1262"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成立日期</w:t>
            </w:r>
          </w:p>
        </w:tc>
        <w:tc>
          <w:tcPr>
            <w:tcW w:w="3737" w:type="pct"/>
            <w:gridSpan w:val="4"/>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exact"/>
          <w:jc w:val="center"/>
        </w:trPr>
        <w:tc>
          <w:tcPr>
            <w:tcW w:w="1262"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基本账户开户银行</w:t>
            </w:r>
          </w:p>
        </w:tc>
        <w:tc>
          <w:tcPr>
            <w:tcW w:w="3737" w:type="pct"/>
            <w:gridSpan w:val="4"/>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exact"/>
          <w:jc w:val="center"/>
        </w:trPr>
        <w:tc>
          <w:tcPr>
            <w:tcW w:w="1262"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基本账户银行账号</w:t>
            </w:r>
          </w:p>
        </w:tc>
        <w:tc>
          <w:tcPr>
            <w:tcW w:w="3737" w:type="pct"/>
            <w:gridSpan w:val="4"/>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62" w:type="pct"/>
            <w:tcBorders>
              <w:top w:val="single" w:color="auto" w:sz="4" w:space="0"/>
              <w:left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经营范围</w:t>
            </w:r>
          </w:p>
        </w:tc>
        <w:tc>
          <w:tcPr>
            <w:tcW w:w="3737" w:type="pct"/>
            <w:gridSpan w:val="4"/>
            <w:tcBorders>
              <w:top w:val="single" w:color="auto" w:sz="4" w:space="0"/>
              <w:left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62" w:type="pct"/>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备注</w:t>
            </w:r>
          </w:p>
        </w:tc>
        <w:tc>
          <w:tcPr>
            <w:tcW w:w="3737" w:type="pct"/>
            <w:gridSpan w:val="4"/>
            <w:tcBorders>
              <w:top w:val="single" w:color="auto" w:sz="4" w:space="0"/>
              <w:left w:val="single" w:color="auto" w:sz="4" w:space="0"/>
              <w:bottom w:val="single" w:color="auto" w:sz="4" w:space="0"/>
              <w:right w:val="single" w:color="auto" w:sz="4" w:space="0"/>
            </w:tcBorders>
            <w:vAlign w:val="center"/>
          </w:tcPr>
          <w:p>
            <w:pPr>
              <w:shd w:val="clear"/>
              <w:topLinePunct/>
              <w:jc w:val="center"/>
              <w:rPr>
                <w:rFonts w:ascii="仿宋" w:hAnsi="仿宋" w:eastAsia="仿宋" w:cs="仿宋"/>
                <w:color w:val="auto"/>
                <w:szCs w:val="21"/>
                <w:highlight w:val="none"/>
              </w:rPr>
            </w:pPr>
          </w:p>
        </w:tc>
      </w:tr>
    </w:tbl>
    <w:p>
      <w:pPr>
        <w:shd w:val="clear"/>
        <w:adjustRightInd w:val="0"/>
        <w:snapToGrid w:val="0"/>
        <w:jc w:val="left"/>
        <w:rPr>
          <w:rFonts w:ascii="仿宋" w:hAnsi="仿宋" w:eastAsia="仿宋" w:cs="仿宋"/>
          <w:color w:val="auto"/>
          <w:sz w:val="28"/>
          <w:highlight w:val="none"/>
        </w:rPr>
      </w:pPr>
      <w:r>
        <w:rPr>
          <w:rFonts w:hint="eastAsia" w:ascii="仿宋" w:hAnsi="仿宋" w:eastAsia="仿宋" w:cs="仿宋"/>
          <w:color w:val="auto"/>
          <w:sz w:val="24"/>
          <w:highlight w:val="none"/>
        </w:rPr>
        <w:br w:type="page"/>
      </w:r>
    </w:p>
    <w:bookmarkEnd w:id="607"/>
    <w:bookmarkEnd w:id="608"/>
    <w:p>
      <w:pPr>
        <w:pStyle w:val="6"/>
        <w:shd w:val="clear"/>
        <w:spacing w:before="0" w:after="0" w:line="360" w:lineRule="auto"/>
        <w:ind w:firstLine="482" w:firstLineChars="200"/>
        <w:rPr>
          <w:rFonts w:ascii="仿宋" w:hAnsi="仿宋" w:eastAsia="仿宋" w:cs="仿宋"/>
          <w:color w:val="auto"/>
          <w:sz w:val="24"/>
          <w:szCs w:val="24"/>
          <w:highlight w:val="none"/>
        </w:rPr>
      </w:pPr>
      <w:bookmarkStart w:id="610" w:name="_Toc19017"/>
      <w:bookmarkStart w:id="611" w:name="_Toc12037_WPSOffice_Level2"/>
      <w:bookmarkStart w:id="612" w:name="_Toc23728_WPSOffice_Level2"/>
      <w:r>
        <w:rPr>
          <w:rFonts w:hint="eastAsia" w:ascii="仿宋" w:hAnsi="仿宋" w:eastAsia="仿宋" w:cs="仿宋"/>
          <w:color w:val="auto"/>
          <w:sz w:val="24"/>
          <w:szCs w:val="24"/>
          <w:highlight w:val="none"/>
        </w:rPr>
        <w:t>（二）资格证明材料</w:t>
      </w:r>
      <w:bookmarkEnd w:id="610"/>
    </w:p>
    <w:bookmarkEnd w:id="611"/>
    <w:bookmarkEnd w:id="612"/>
    <w:p>
      <w:pPr>
        <w:shd w:val="clear"/>
        <w:wordWrap w:val="0"/>
        <w:topLinePunct/>
        <w:spacing w:beforeLines="50" w:afterLines="50" w:line="440" w:lineRule="exact"/>
        <w:ind w:firstLine="480" w:firstLineChars="200"/>
        <w:rPr>
          <w:rFonts w:ascii="仿宋" w:hAnsi="仿宋" w:eastAsia="仿宋" w:cs="仿宋"/>
          <w:bCs/>
          <w:color w:val="auto"/>
          <w:sz w:val="24"/>
          <w:highlight w:val="none"/>
        </w:rPr>
      </w:pPr>
      <w:r>
        <w:rPr>
          <w:rFonts w:hint="eastAsia" w:ascii="仿宋" w:hAnsi="仿宋" w:eastAsia="仿宋" w:cs="仿宋"/>
          <w:bCs/>
          <w:color w:val="auto"/>
          <w:sz w:val="24"/>
          <w:highlight w:val="none"/>
        </w:rPr>
        <w:t>按《供应商须知前附表》1.4.1项要求附相关证明材料</w:t>
      </w:r>
    </w:p>
    <w:p>
      <w:pPr>
        <w:pStyle w:val="2"/>
        <w:shd w:val="clear"/>
        <w:rPr>
          <w:rFonts w:ascii="仿宋" w:hAnsi="仿宋" w:eastAsia="仿宋" w:cs="仿宋"/>
          <w:color w:val="auto"/>
          <w:highlight w:val="none"/>
        </w:rPr>
      </w:pPr>
      <w:r>
        <w:rPr>
          <w:rFonts w:hint="eastAsia" w:ascii="仿宋" w:hAnsi="仿宋" w:eastAsia="仿宋" w:cs="仿宋"/>
          <w:color w:val="auto"/>
          <w:sz w:val="24"/>
          <w:highlight w:val="none"/>
        </w:rPr>
        <w:br w:type="page"/>
      </w:r>
    </w:p>
    <w:p>
      <w:pPr>
        <w:shd w:val="clear"/>
        <w:rPr>
          <w:rFonts w:ascii="仿宋" w:hAnsi="仿宋" w:eastAsia="仿宋" w:cs="仿宋"/>
          <w:color w:val="auto"/>
          <w:highlight w:val="none"/>
        </w:rPr>
      </w:pPr>
    </w:p>
    <w:p>
      <w:pPr>
        <w:pStyle w:val="5"/>
        <w:numPr>
          <w:ilvl w:val="0"/>
          <w:numId w:val="21"/>
        </w:numPr>
        <w:shd w:val="clear"/>
        <w:tabs>
          <w:tab w:val="clear" w:pos="567"/>
        </w:tabs>
        <w:spacing w:beforeLines="100" w:afterLines="100" w:line="240" w:lineRule="auto"/>
        <w:ind w:left="0" w:firstLine="0"/>
        <w:rPr>
          <w:rFonts w:ascii="仿宋" w:hAnsi="仿宋" w:eastAsia="仿宋" w:cs="仿宋"/>
          <w:color w:val="auto"/>
          <w:szCs w:val="32"/>
          <w:highlight w:val="none"/>
        </w:rPr>
      </w:pPr>
      <w:bookmarkStart w:id="613" w:name="_Toc6609"/>
      <w:bookmarkStart w:id="614" w:name="_Toc312133599"/>
      <w:r>
        <w:rPr>
          <w:rFonts w:hint="eastAsia" w:ascii="仿宋" w:hAnsi="仿宋" w:eastAsia="仿宋" w:cs="仿宋"/>
          <w:color w:val="auto"/>
          <w:szCs w:val="32"/>
          <w:highlight w:val="none"/>
        </w:rPr>
        <w:t>技术部分</w:t>
      </w:r>
      <w:bookmarkEnd w:id="613"/>
    </w:p>
    <w:p>
      <w:pPr>
        <w:pStyle w:val="6"/>
        <w:shd w:val="clear"/>
        <w:spacing w:before="0" w:after="0" w:line="360" w:lineRule="auto"/>
        <w:ind w:firstLine="482" w:firstLineChars="200"/>
        <w:rPr>
          <w:rFonts w:ascii="仿宋" w:hAnsi="仿宋" w:eastAsia="仿宋" w:cs="仿宋"/>
          <w:color w:val="auto"/>
          <w:sz w:val="24"/>
          <w:szCs w:val="24"/>
          <w:highlight w:val="none"/>
        </w:rPr>
      </w:pPr>
      <w:bookmarkStart w:id="615" w:name="_Toc1277"/>
      <w:r>
        <w:rPr>
          <w:rFonts w:hint="eastAsia" w:ascii="仿宋" w:hAnsi="仿宋" w:eastAsia="仿宋" w:cs="仿宋"/>
          <w:color w:val="auto"/>
          <w:sz w:val="24"/>
          <w:szCs w:val="24"/>
          <w:highlight w:val="none"/>
        </w:rPr>
        <w:t>（一）技术要求偏离</w:t>
      </w:r>
      <w:bookmarkEnd w:id="615"/>
    </w:p>
    <w:p>
      <w:pPr>
        <w:pStyle w:val="8"/>
        <w:shd w:val="clear"/>
        <w:spacing w:line="360" w:lineRule="auto"/>
        <w:ind w:firstLineChars="200"/>
        <w:jc w:val="left"/>
        <w:rPr>
          <w:rFonts w:ascii="仿宋" w:hAnsi="仿宋" w:eastAsia="仿宋" w:cs="仿宋"/>
          <w:color w:val="auto"/>
          <w:highlight w:val="none"/>
        </w:rPr>
      </w:pPr>
      <w:r>
        <w:rPr>
          <w:rFonts w:hint="eastAsia" w:ascii="仿宋" w:hAnsi="仿宋" w:eastAsia="仿宋" w:cs="仿宋"/>
          <w:color w:val="auto"/>
          <w:highlight w:val="none"/>
        </w:rPr>
        <w:t>投标供应商针对第五章采购需求，逐项对“技术要求”进行响应，负偏离的响应将导致其投标响应文件无效。</w:t>
      </w:r>
    </w:p>
    <w:p>
      <w:pPr>
        <w:pStyle w:val="8"/>
        <w:shd w:val="clear"/>
        <w:spacing w:line="360" w:lineRule="auto"/>
        <w:ind w:firstLineChars="200"/>
        <w:jc w:val="left"/>
        <w:rPr>
          <w:rFonts w:hint="eastAsia" w:ascii="仿宋" w:hAnsi="仿宋" w:eastAsia="仿宋" w:cs="仿宋"/>
          <w:color w:val="auto"/>
          <w:highlight w:val="none"/>
        </w:rPr>
      </w:pPr>
    </w:p>
    <w:p>
      <w:pPr>
        <w:pStyle w:val="6"/>
        <w:shd w:val="clear"/>
        <w:spacing w:before="0" w:after="0" w:line="360" w:lineRule="auto"/>
        <w:ind w:firstLine="482" w:firstLineChars="200"/>
        <w:rPr>
          <w:rFonts w:ascii="仿宋" w:hAnsi="仿宋" w:eastAsia="仿宋" w:cs="仿宋"/>
          <w:color w:val="auto"/>
          <w:sz w:val="24"/>
          <w:szCs w:val="24"/>
          <w:highlight w:val="none"/>
        </w:rPr>
      </w:pPr>
      <w:bookmarkStart w:id="616" w:name="_Toc27298"/>
      <w:r>
        <w:rPr>
          <w:rFonts w:hint="eastAsia" w:ascii="仿宋" w:hAnsi="仿宋" w:eastAsia="仿宋" w:cs="仿宋"/>
          <w:color w:val="auto"/>
          <w:sz w:val="24"/>
          <w:szCs w:val="24"/>
          <w:highlight w:val="none"/>
        </w:rPr>
        <w:t>（二）技术方案</w:t>
      </w:r>
      <w:bookmarkEnd w:id="616"/>
    </w:p>
    <w:p>
      <w:pPr>
        <w:pStyle w:val="8"/>
        <w:shd w:val="clear"/>
        <w:spacing w:line="360" w:lineRule="auto"/>
        <w:ind w:firstLineChars="200"/>
        <w:jc w:val="left"/>
        <w:rPr>
          <w:rFonts w:ascii="仿宋" w:hAnsi="仿宋" w:eastAsia="仿宋" w:cs="仿宋"/>
          <w:color w:val="auto"/>
          <w:highlight w:val="none"/>
        </w:rPr>
      </w:pPr>
      <w:r>
        <w:rPr>
          <w:rFonts w:hint="eastAsia" w:ascii="仿宋" w:hAnsi="仿宋" w:eastAsia="仿宋" w:cs="仿宋"/>
          <w:color w:val="auto"/>
          <w:highlight w:val="none"/>
        </w:rPr>
        <w:t>格式自拟。</w:t>
      </w:r>
    </w:p>
    <w:p>
      <w:pPr>
        <w:shd w:val="clear"/>
        <w:rPr>
          <w:rFonts w:ascii="仿宋" w:hAnsi="仿宋" w:eastAsia="仿宋" w:cs="仿宋"/>
          <w:color w:val="auto"/>
          <w:sz w:val="24"/>
          <w:highlight w:val="none"/>
        </w:rPr>
      </w:pPr>
      <w:r>
        <w:rPr>
          <w:rFonts w:hint="eastAsia" w:ascii="仿宋" w:hAnsi="仿宋" w:eastAsia="仿宋" w:cs="仿宋"/>
          <w:color w:val="auto"/>
          <w:sz w:val="24"/>
          <w:highlight w:val="none"/>
        </w:rPr>
        <w:br w:type="page"/>
      </w:r>
    </w:p>
    <w:p>
      <w:pPr>
        <w:shd w:val="clear"/>
        <w:rPr>
          <w:rFonts w:ascii="仿宋" w:hAnsi="仿宋" w:eastAsia="仿宋" w:cs="仿宋"/>
          <w:color w:val="auto"/>
          <w:highlight w:val="none"/>
        </w:rPr>
      </w:pPr>
    </w:p>
    <w:p>
      <w:pPr>
        <w:pStyle w:val="5"/>
        <w:numPr>
          <w:ilvl w:val="0"/>
          <w:numId w:val="21"/>
        </w:numPr>
        <w:shd w:val="clear"/>
        <w:tabs>
          <w:tab w:val="clear" w:pos="567"/>
        </w:tabs>
        <w:spacing w:beforeLines="100" w:afterLines="100" w:line="240" w:lineRule="auto"/>
        <w:ind w:left="0" w:firstLine="0"/>
        <w:rPr>
          <w:rFonts w:ascii="仿宋" w:hAnsi="仿宋" w:eastAsia="仿宋" w:cs="仿宋"/>
          <w:color w:val="auto"/>
          <w:szCs w:val="32"/>
          <w:highlight w:val="none"/>
        </w:rPr>
      </w:pPr>
      <w:bookmarkStart w:id="617" w:name="_Toc26344"/>
      <w:r>
        <w:rPr>
          <w:rFonts w:hint="eastAsia" w:ascii="仿宋" w:hAnsi="仿宋" w:eastAsia="仿宋" w:cs="仿宋"/>
          <w:color w:val="auto"/>
          <w:szCs w:val="32"/>
          <w:highlight w:val="none"/>
        </w:rPr>
        <w:t>商务部分</w:t>
      </w:r>
      <w:bookmarkEnd w:id="617"/>
    </w:p>
    <w:p>
      <w:pPr>
        <w:pStyle w:val="6"/>
        <w:shd w:val="clear"/>
        <w:spacing w:before="0" w:after="0" w:line="360" w:lineRule="auto"/>
        <w:ind w:firstLine="482" w:firstLineChars="200"/>
        <w:rPr>
          <w:rFonts w:ascii="仿宋" w:hAnsi="仿宋" w:eastAsia="仿宋" w:cs="仿宋"/>
          <w:color w:val="auto"/>
          <w:sz w:val="24"/>
          <w:szCs w:val="24"/>
          <w:highlight w:val="none"/>
        </w:rPr>
      </w:pPr>
      <w:bookmarkStart w:id="618" w:name="_Toc16997"/>
      <w:r>
        <w:rPr>
          <w:rFonts w:hint="eastAsia" w:ascii="仿宋" w:hAnsi="仿宋" w:eastAsia="仿宋" w:cs="仿宋"/>
          <w:color w:val="auto"/>
          <w:sz w:val="24"/>
          <w:szCs w:val="24"/>
          <w:highlight w:val="none"/>
        </w:rPr>
        <w:t>（一）商务要求偏离</w:t>
      </w:r>
      <w:bookmarkEnd w:id="618"/>
    </w:p>
    <w:p>
      <w:pPr>
        <w:pStyle w:val="8"/>
        <w:shd w:val="clear"/>
        <w:spacing w:line="360" w:lineRule="auto"/>
        <w:ind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投标供应商针对第五章采购需求，逐项对“商务要求”进行响应，</w:t>
      </w:r>
      <w:r>
        <w:rPr>
          <w:rFonts w:hint="eastAsia" w:ascii="仿宋" w:hAnsi="仿宋" w:eastAsia="仿宋" w:cs="仿宋"/>
          <w:b/>
          <w:bCs/>
          <w:color w:val="auto"/>
          <w:highlight w:val="none"/>
        </w:rPr>
        <w:t>负偏离的响应将导致其投标响应文件无效。</w:t>
      </w:r>
    </w:p>
    <w:p>
      <w:pPr>
        <w:shd w:val="clear"/>
        <w:rPr>
          <w:rFonts w:ascii="仿宋" w:hAnsi="仿宋" w:eastAsia="仿宋" w:cs="仿宋"/>
          <w:color w:val="auto"/>
          <w:sz w:val="24"/>
          <w:highlight w:val="none"/>
        </w:rPr>
      </w:pPr>
      <w:r>
        <w:rPr>
          <w:rFonts w:hint="eastAsia" w:ascii="仿宋" w:hAnsi="仿宋" w:eastAsia="仿宋" w:cs="仿宋"/>
          <w:color w:val="auto"/>
          <w:sz w:val="24"/>
          <w:highlight w:val="none"/>
        </w:rPr>
        <w:br w:type="page"/>
      </w:r>
    </w:p>
    <w:p>
      <w:pPr>
        <w:pStyle w:val="6"/>
        <w:shd w:val="clear"/>
        <w:spacing w:before="0" w:after="0" w:line="360" w:lineRule="auto"/>
        <w:ind w:firstLine="482" w:firstLineChars="200"/>
        <w:rPr>
          <w:rFonts w:ascii="仿宋" w:hAnsi="仿宋" w:eastAsia="仿宋" w:cs="仿宋"/>
          <w:color w:val="auto"/>
          <w:sz w:val="24"/>
          <w:szCs w:val="24"/>
          <w:highlight w:val="none"/>
        </w:rPr>
      </w:pPr>
      <w:bookmarkStart w:id="619" w:name="_Toc30509"/>
      <w:r>
        <w:rPr>
          <w:rFonts w:hint="eastAsia" w:ascii="仿宋" w:hAnsi="仿宋" w:eastAsia="仿宋" w:cs="仿宋"/>
          <w:color w:val="auto"/>
          <w:sz w:val="24"/>
          <w:szCs w:val="24"/>
          <w:highlight w:val="none"/>
        </w:rPr>
        <w:t>（二）类似项目情况表</w:t>
      </w:r>
      <w:bookmarkEnd w:id="619"/>
    </w:p>
    <w:tbl>
      <w:tblPr>
        <w:tblStyle w:val="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1407"/>
        <w:gridCol w:w="1407"/>
        <w:gridCol w:w="1407"/>
        <w:gridCol w:w="1973"/>
        <w:gridCol w:w="1407"/>
        <w:gridCol w:w="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序号</w:t>
            </w:r>
          </w:p>
        </w:tc>
        <w:tc>
          <w:tcPr>
            <w:tcW w:w="757"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委托单位</w:t>
            </w:r>
          </w:p>
        </w:tc>
        <w:tc>
          <w:tcPr>
            <w:tcW w:w="757"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项目名称</w:t>
            </w:r>
          </w:p>
        </w:tc>
        <w:tc>
          <w:tcPr>
            <w:tcW w:w="757"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项目金额</w:t>
            </w:r>
          </w:p>
        </w:tc>
        <w:tc>
          <w:tcPr>
            <w:tcW w:w="1062"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合同签订时间</w:t>
            </w:r>
          </w:p>
        </w:tc>
        <w:tc>
          <w:tcPr>
            <w:tcW w:w="757"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项目类别</w:t>
            </w:r>
          </w:p>
        </w:tc>
        <w:tc>
          <w:tcPr>
            <w:tcW w:w="453"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 w:type="pct"/>
            <w:noWrap/>
            <w:vAlign w:val="center"/>
          </w:tcPr>
          <w:p>
            <w:pPr>
              <w:shd w:val="clear"/>
              <w:wordWrap w:val="0"/>
              <w:rPr>
                <w:rFonts w:ascii="仿宋" w:hAnsi="仿宋" w:eastAsia="仿宋" w:cs="仿宋"/>
                <w:b/>
                <w:bCs/>
                <w:color w:val="auto"/>
                <w:sz w:val="24"/>
                <w:highlight w:val="none"/>
              </w:rPr>
            </w:pPr>
          </w:p>
        </w:tc>
        <w:tc>
          <w:tcPr>
            <w:tcW w:w="757" w:type="pct"/>
            <w:noWrap/>
            <w:vAlign w:val="center"/>
          </w:tcPr>
          <w:p>
            <w:pPr>
              <w:shd w:val="clear"/>
              <w:wordWrap w:val="0"/>
              <w:rPr>
                <w:rFonts w:ascii="仿宋" w:hAnsi="仿宋" w:eastAsia="仿宋" w:cs="仿宋"/>
                <w:b/>
                <w:bCs/>
                <w:color w:val="auto"/>
                <w:sz w:val="24"/>
                <w:highlight w:val="none"/>
              </w:rPr>
            </w:pPr>
          </w:p>
        </w:tc>
        <w:tc>
          <w:tcPr>
            <w:tcW w:w="757" w:type="pct"/>
            <w:noWrap/>
            <w:vAlign w:val="center"/>
          </w:tcPr>
          <w:p>
            <w:pPr>
              <w:shd w:val="clear"/>
              <w:wordWrap w:val="0"/>
              <w:rPr>
                <w:rFonts w:ascii="仿宋" w:hAnsi="仿宋" w:eastAsia="仿宋" w:cs="仿宋"/>
                <w:b/>
                <w:bCs/>
                <w:color w:val="auto"/>
                <w:sz w:val="24"/>
                <w:highlight w:val="none"/>
              </w:rPr>
            </w:pPr>
          </w:p>
        </w:tc>
        <w:tc>
          <w:tcPr>
            <w:tcW w:w="757" w:type="pct"/>
            <w:noWrap/>
            <w:vAlign w:val="center"/>
          </w:tcPr>
          <w:p>
            <w:pPr>
              <w:shd w:val="clear"/>
              <w:wordWrap w:val="0"/>
              <w:rPr>
                <w:rFonts w:ascii="仿宋" w:hAnsi="仿宋" w:eastAsia="仿宋" w:cs="仿宋"/>
                <w:b/>
                <w:bCs/>
                <w:color w:val="auto"/>
                <w:sz w:val="24"/>
                <w:highlight w:val="none"/>
              </w:rPr>
            </w:pPr>
          </w:p>
        </w:tc>
        <w:tc>
          <w:tcPr>
            <w:tcW w:w="1062" w:type="pct"/>
            <w:noWrap/>
            <w:vAlign w:val="center"/>
          </w:tcPr>
          <w:p>
            <w:pPr>
              <w:shd w:val="clear"/>
              <w:wordWrap w:val="0"/>
              <w:rPr>
                <w:rFonts w:ascii="仿宋" w:hAnsi="仿宋" w:eastAsia="仿宋" w:cs="仿宋"/>
                <w:b/>
                <w:bCs/>
                <w:color w:val="auto"/>
                <w:sz w:val="24"/>
                <w:highlight w:val="none"/>
              </w:rPr>
            </w:pPr>
          </w:p>
        </w:tc>
        <w:tc>
          <w:tcPr>
            <w:tcW w:w="757" w:type="pct"/>
            <w:noWrap/>
            <w:vAlign w:val="center"/>
          </w:tcPr>
          <w:p>
            <w:pPr>
              <w:shd w:val="clear"/>
              <w:wordWrap w:val="0"/>
              <w:rPr>
                <w:rFonts w:ascii="仿宋" w:hAnsi="仿宋" w:eastAsia="仿宋" w:cs="仿宋"/>
                <w:b/>
                <w:bCs/>
                <w:color w:val="auto"/>
                <w:sz w:val="24"/>
                <w:highlight w:val="none"/>
              </w:rPr>
            </w:pPr>
          </w:p>
        </w:tc>
        <w:tc>
          <w:tcPr>
            <w:tcW w:w="453" w:type="pct"/>
            <w:noWrap/>
            <w:vAlign w:val="center"/>
          </w:tcPr>
          <w:p>
            <w:pPr>
              <w:shd w:val="clear"/>
              <w:wordWrap w:val="0"/>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1062"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1062"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1062"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1062"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1062"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1062"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1062"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1062"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1062"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1062"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1062" w:type="pct"/>
            <w:noWrap/>
          </w:tcPr>
          <w:p>
            <w:pPr>
              <w:shd w:val="clear"/>
              <w:wordWrap w:val="0"/>
              <w:jc w:val="center"/>
              <w:rPr>
                <w:rFonts w:ascii="仿宋" w:hAnsi="仿宋" w:eastAsia="仿宋" w:cs="仿宋"/>
                <w:b/>
                <w:bCs/>
                <w:color w:val="auto"/>
                <w:sz w:val="24"/>
                <w:highlight w:val="none"/>
              </w:rPr>
            </w:pPr>
          </w:p>
        </w:tc>
        <w:tc>
          <w:tcPr>
            <w:tcW w:w="757"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bl>
    <w:p>
      <w:pPr>
        <w:shd w:val="clear"/>
        <w:wordWrap w:val="0"/>
        <w:rPr>
          <w:rFonts w:ascii="仿宋" w:hAnsi="仿宋" w:eastAsia="仿宋" w:cs="仿宋"/>
          <w:color w:val="auto"/>
          <w:sz w:val="24"/>
          <w:highlight w:val="none"/>
        </w:rPr>
      </w:pPr>
    </w:p>
    <w:p>
      <w:pPr>
        <w:pStyle w:val="23"/>
        <w:shd w:val="clear"/>
        <w:spacing w:line="360" w:lineRule="auto"/>
        <w:ind w:left="0" w:leftChars="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注：供应商按“第三章 评审办法前附表 服务经验”中要求的填写并附相关证明材料。</w:t>
      </w:r>
    </w:p>
    <w:p>
      <w:pPr>
        <w:shd w:val="clear"/>
        <w:rPr>
          <w:rFonts w:ascii="仿宋" w:hAnsi="仿宋" w:eastAsia="仿宋" w:cs="仿宋"/>
          <w:color w:val="auto"/>
          <w:highlight w:val="none"/>
        </w:rPr>
      </w:pPr>
      <w:bookmarkStart w:id="620" w:name="_Toc17039"/>
      <w:bookmarkStart w:id="621" w:name="_Toc7138"/>
      <w:r>
        <w:rPr>
          <w:rFonts w:hint="eastAsia" w:ascii="仿宋" w:hAnsi="仿宋" w:eastAsia="仿宋" w:cs="仿宋"/>
          <w:color w:val="auto"/>
          <w:highlight w:val="none"/>
          <w:lang w:val="zh-CN"/>
        </w:rPr>
        <w:br w:type="page"/>
      </w:r>
      <w:bookmarkEnd w:id="620"/>
      <w:bookmarkEnd w:id="621"/>
    </w:p>
    <w:p>
      <w:pPr>
        <w:pStyle w:val="6"/>
        <w:shd w:val="clear"/>
        <w:spacing w:before="0" w:after="0" w:line="360" w:lineRule="auto"/>
        <w:ind w:firstLine="482" w:firstLineChars="200"/>
        <w:rPr>
          <w:rFonts w:ascii="仿宋" w:hAnsi="仿宋" w:eastAsia="仿宋" w:cs="仿宋"/>
          <w:color w:val="auto"/>
          <w:sz w:val="24"/>
          <w:szCs w:val="24"/>
          <w:highlight w:val="none"/>
        </w:rPr>
      </w:pPr>
      <w:bookmarkStart w:id="622" w:name="_Toc6793"/>
      <w:bookmarkStart w:id="623" w:name="_Toc12994"/>
      <w:r>
        <w:rPr>
          <w:rFonts w:hint="eastAsia" w:ascii="仿宋" w:hAnsi="仿宋" w:eastAsia="仿宋" w:cs="仿宋"/>
          <w:color w:val="auto"/>
          <w:sz w:val="24"/>
          <w:szCs w:val="24"/>
          <w:highlight w:val="none"/>
        </w:rPr>
        <w:t>（三）项目负责人简历表</w:t>
      </w:r>
      <w:bookmarkEnd w:id="622"/>
    </w:p>
    <w:tbl>
      <w:tblPr>
        <w:tblStyle w:val="29"/>
        <w:tblW w:w="9082" w:type="dxa"/>
        <w:jc w:val="center"/>
        <w:tblLayout w:type="fixed"/>
        <w:tblCellMar>
          <w:top w:w="0" w:type="dxa"/>
          <w:left w:w="0" w:type="dxa"/>
          <w:bottom w:w="0" w:type="dxa"/>
          <w:right w:w="0" w:type="dxa"/>
        </w:tblCellMar>
      </w:tblPr>
      <w:tblGrid>
        <w:gridCol w:w="1263"/>
        <w:gridCol w:w="382"/>
        <w:gridCol w:w="737"/>
        <w:gridCol w:w="1020"/>
        <w:gridCol w:w="1298"/>
        <w:gridCol w:w="591"/>
        <w:gridCol w:w="1343"/>
        <w:gridCol w:w="427"/>
        <w:gridCol w:w="2021"/>
      </w:tblGrid>
      <w:tr>
        <w:trPr>
          <w:jc w:val="center"/>
        </w:trPr>
        <w:tc>
          <w:tcPr>
            <w:tcW w:w="1263" w:type="dxa"/>
            <w:tcBorders>
              <w:top w:val="single" w:color="000000" w:sz="4" w:space="0"/>
              <w:left w:val="single" w:color="000000" w:sz="4" w:space="0"/>
              <w:bottom w:val="single" w:color="000000" w:sz="4" w:space="0"/>
              <w:right w:val="single" w:color="000000" w:sz="4" w:space="0"/>
            </w:tcBorders>
            <w:noWrap/>
            <w:vAlign w:val="center"/>
          </w:tcPr>
          <w:p>
            <w:pPr>
              <w:shd w:val="clear"/>
              <w:tabs>
                <w:tab w:val="left" w:pos="680"/>
              </w:tabs>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姓名</w:t>
            </w:r>
          </w:p>
        </w:tc>
        <w:tc>
          <w:tcPr>
            <w:tcW w:w="1119" w:type="dxa"/>
            <w:gridSpan w:val="2"/>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1020" w:type="dxa"/>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年龄</w:t>
            </w:r>
          </w:p>
        </w:tc>
        <w:tc>
          <w:tcPr>
            <w:tcW w:w="1298" w:type="dxa"/>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2361" w:type="dxa"/>
            <w:gridSpan w:val="3"/>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执业</w:t>
            </w:r>
            <w:r>
              <w:rPr>
                <w:rFonts w:hint="eastAsia" w:ascii="仿宋" w:hAnsi="仿宋" w:eastAsia="仿宋" w:cs="仿宋"/>
                <w:color w:val="auto"/>
                <w:spacing w:val="-2"/>
                <w:kern w:val="0"/>
                <w:szCs w:val="21"/>
                <w:highlight w:val="none"/>
              </w:rPr>
              <w:t>资</w:t>
            </w:r>
            <w:r>
              <w:rPr>
                <w:rFonts w:hint="eastAsia" w:ascii="仿宋" w:hAnsi="仿宋" w:eastAsia="仿宋" w:cs="仿宋"/>
                <w:color w:val="auto"/>
                <w:kern w:val="0"/>
                <w:szCs w:val="21"/>
                <w:highlight w:val="none"/>
              </w:rPr>
              <w:t>格</w:t>
            </w:r>
            <w:r>
              <w:rPr>
                <w:rFonts w:hint="eastAsia" w:ascii="仿宋" w:hAnsi="仿宋" w:eastAsia="仿宋" w:cs="仿宋"/>
                <w:color w:val="auto"/>
                <w:spacing w:val="-2"/>
                <w:kern w:val="0"/>
                <w:szCs w:val="21"/>
                <w:highlight w:val="none"/>
              </w:rPr>
              <w:t>证</w:t>
            </w:r>
            <w:r>
              <w:rPr>
                <w:rFonts w:hint="eastAsia" w:ascii="仿宋" w:hAnsi="仿宋" w:eastAsia="仿宋" w:cs="仿宋"/>
                <w:color w:val="auto"/>
                <w:kern w:val="0"/>
                <w:szCs w:val="21"/>
                <w:highlight w:val="none"/>
              </w:rPr>
              <w:t>书名称</w:t>
            </w:r>
          </w:p>
        </w:tc>
        <w:tc>
          <w:tcPr>
            <w:tcW w:w="2021" w:type="dxa"/>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r>
      <w:tr>
        <w:trPr>
          <w:jc w:val="center"/>
        </w:trPr>
        <w:tc>
          <w:tcPr>
            <w:tcW w:w="1263" w:type="dxa"/>
            <w:tcBorders>
              <w:top w:val="single" w:color="000000" w:sz="4" w:space="0"/>
              <w:left w:val="single" w:color="000000" w:sz="4" w:space="0"/>
              <w:bottom w:val="single" w:color="000000" w:sz="4" w:space="0"/>
              <w:right w:val="single" w:color="000000" w:sz="4" w:space="0"/>
            </w:tcBorders>
            <w:noWrap/>
            <w:vAlign w:val="center"/>
          </w:tcPr>
          <w:p>
            <w:pPr>
              <w:shd w:val="clear"/>
              <w:tabs>
                <w:tab w:val="left" w:pos="680"/>
              </w:tabs>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职称</w:t>
            </w:r>
          </w:p>
        </w:tc>
        <w:tc>
          <w:tcPr>
            <w:tcW w:w="1119" w:type="dxa"/>
            <w:gridSpan w:val="2"/>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1020" w:type="dxa"/>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学历</w:t>
            </w:r>
          </w:p>
        </w:tc>
        <w:tc>
          <w:tcPr>
            <w:tcW w:w="1298" w:type="dxa"/>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2361" w:type="dxa"/>
            <w:gridSpan w:val="3"/>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执业资格证书取得年限</w:t>
            </w:r>
          </w:p>
        </w:tc>
        <w:tc>
          <w:tcPr>
            <w:tcW w:w="2021" w:type="dxa"/>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r>
      <w:tr>
        <w:trPr>
          <w:jc w:val="center"/>
        </w:trPr>
        <w:tc>
          <w:tcPr>
            <w:tcW w:w="1263" w:type="dxa"/>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工作</w:t>
            </w:r>
            <w:r>
              <w:rPr>
                <w:rFonts w:hint="eastAsia" w:ascii="仿宋" w:hAnsi="仿宋" w:eastAsia="仿宋" w:cs="仿宋"/>
                <w:color w:val="auto"/>
                <w:spacing w:val="-2"/>
                <w:kern w:val="0"/>
                <w:szCs w:val="21"/>
                <w:highlight w:val="none"/>
              </w:rPr>
              <w:t>年</w:t>
            </w:r>
            <w:r>
              <w:rPr>
                <w:rFonts w:hint="eastAsia" w:ascii="仿宋" w:hAnsi="仿宋" w:eastAsia="仿宋" w:cs="仿宋"/>
                <w:color w:val="auto"/>
                <w:kern w:val="0"/>
                <w:szCs w:val="21"/>
                <w:highlight w:val="none"/>
              </w:rPr>
              <w:t>限</w:t>
            </w:r>
          </w:p>
        </w:tc>
        <w:tc>
          <w:tcPr>
            <w:tcW w:w="3437" w:type="dxa"/>
            <w:gridSpan w:val="4"/>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2361" w:type="dxa"/>
            <w:gridSpan w:val="3"/>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spacing w:val="-2"/>
                <w:kern w:val="0"/>
                <w:szCs w:val="21"/>
                <w:highlight w:val="none"/>
              </w:rPr>
              <w:t>从事本行业工</w:t>
            </w:r>
            <w:r>
              <w:rPr>
                <w:rFonts w:hint="eastAsia" w:ascii="仿宋" w:hAnsi="仿宋" w:eastAsia="仿宋" w:cs="仿宋"/>
                <w:color w:val="auto"/>
                <w:kern w:val="0"/>
                <w:szCs w:val="21"/>
                <w:highlight w:val="none"/>
              </w:rPr>
              <w:t>作</w:t>
            </w:r>
            <w:r>
              <w:rPr>
                <w:rFonts w:hint="eastAsia" w:ascii="仿宋" w:hAnsi="仿宋" w:eastAsia="仿宋" w:cs="仿宋"/>
                <w:color w:val="auto"/>
                <w:spacing w:val="-2"/>
                <w:kern w:val="0"/>
                <w:szCs w:val="21"/>
                <w:highlight w:val="none"/>
              </w:rPr>
              <w:t>年</w:t>
            </w:r>
            <w:r>
              <w:rPr>
                <w:rFonts w:hint="eastAsia" w:ascii="仿宋" w:hAnsi="仿宋" w:eastAsia="仿宋" w:cs="仿宋"/>
                <w:color w:val="auto"/>
                <w:kern w:val="0"/>
                <w:szCs w:val="21"/>
                <w:highlight w:val="none"/>
              </w:rPr>
              <w:t>限</w:t>
            </w:r>
          </w:p>
        </w:tc>
        <w:tc>
          <w:tcPr>
            <w:tcW w:w="2021" w:type="dxa"/>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r>
      <w:tr>
        <w:trPr>
          <w:jc w:val="center"/>
        </w:trPr>
        <w:tc>
          <w:tcPr>
            <w:tcW w:w="1263" w:type="dxa"/>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毕业</w:t>
            </w:r>
            <w:r>
              <w:rPr>
                <w:rFonts w:hint="eastAsia" w:ascii="仿宋" w:hAnsi="仿宋" w:eastAsia="仿宋" w:cs="仿宋"/>
                <w:color w:val="auto"/>
                <w:spacing w:val="-2"/>
                <w:kern w:val="0"/>
                <w:szCs w:val="21"/>
                <w:highlight w:val="none"/>
              </w:rPr>
              <w:t>学</w:t>
            </w:r>
            <w:r>
              <w:rPr>
                <w:rFonts w:hint="eastAsia" w:ascii="仿宋" w:hAnsi="仿宋" w:eastAsia="仿宋" w:cs="仿宋"/>
                <w:color w:val="auto"/>
                <w:kern w:val="0"/>
                <w:szCs w:val="21"/>
                <w:highlight w:val="none"/>
              </w:rPr>
              <w:t>校</w:t>
            </w:r>
          </w:p>
        </w:tc>
        <w:tc>
          <w:tcPr>
            <w:tcW w:w="7819" w:type="dxa"/>
            <w:gridSpan w:val="8"/>
            <w:tcBorders>
              <w:top w:val="single" w:color="000000" w:sz="4" w:space="0"/>
              <w:left w:val="single" w:color="000000" w:sz="4" w:space="0"/>
              <w:bottom w:val="single" w:color="000000" w:sz="4" w:space="0"/>
              <w:right w:val="single" w:color="000000" w:sz="4" w:space="0"/>
            </w:tcBorders>
            <w:noWrap/>
            <w:vAlign w:val="center"/>
          </w:tcPr>
          <w:p>
            <w:pPr>
              <w:shd w:val="clear"/>
              <w:tabs>
                <w:tab w:val="left" w:pos="3340"/>
                <w:tab w:val="left" w:pos="4620"/>
              </w:tabs>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年毕</w:t>
            </w:r>
            <w:r>
              <w:rPr>
                <w:rFonts w:hint="eastAsia" w:ascii="仿宋" w:hAnsi="仿宋" w:eastAsia="仿宋" w:cs="仿宋"/>
                <w:color w:val="auto"/>
                <w:spacing w:val="-2"/>
                <w:kern w:val="0"/>
                <w:szCs w:val="21"/>
                <w:highlight w:val="none"/>
              </w:rPr>
              <w:t>业</w:t>
            </w:r>
            <w:r>
              <w:rPr>
                <w:rFonts w:hint="eastAsia" w:ascii="仿宋" w:hAnsi="仿宋" w:eastAsia="仿宋" w:cs="仿宋"/>
                <w:color w:val="auto"/>
                <w:kern w:val="0"/>
                <w:szCs w:val="21"/>
                <w:highlight w:val="none"/>
              </w:rPr>
              <w:t>于</w:t>
            </w:r>
            <w:r>
              <w:rPr>
                <w:rFonts w:hint="eastAsia" w:ascii="仿宋" w:hAnsi="仿宋" w:eastAsia="仿宋" w:cs="仿宋"/>
                <w:color w:val="auto"/>
                <w:kern w:val="0"/>
                <w:szCs w:val="21"/>
                <w:highlight w:val="none"/>
              </w:rPr>
              <w:tab/>
            </w:r>
            <w:r>
              <w:rPr>
                <w:rFonts w:hint="eastAsia" w:ascii="仿宋" w:hAnsi="仿宋" w:eastAsia="仿宋" w:cs="仿宋"/>
                <w:color w:val="auto"/>
                <w:spacing w:val="-2"/>
                <w:kern w:val="0"/>
                <w:szCs w:val="21"/>
                <w:highlight w:val="none"/>
              </w:rPr>
              <w:t>学</w:t>
            </w:r>
            <w:r>
              <w:rPr>
                <w:rFonts w:hint="eastAsia" w:ascii="仿宋" w:hAnsi="仿宋" w:eastAsia="仿宋" w:cs="仿宋"/>
                <w:color w:val="auto"/>
                <w:kern w:val="0"/>
                <w:szCs w:val="21"/>
                <w:highlight w:val="none"/>
              </w:rPr>
              <w:t>校</w:t>
            </w:r>
            <w:r>
              <w:rPr>
                <w:rFonts w:hint="eastAsia" w:ascii="仿宋" w:hAnsi="仿宋" w:eastAsia="仿宋" w:cs="仿宋"/>
                <w:color w:val="auto"/>
                <w:kern w:val="0"/>
                <w:szCs w:val="21"/>
                <w:highlight w:val="none"/>
              </w:rPr>
              <w:tab/>
            </w:r>
            <w:r>
              <w:rPr>
                <w:rFonts w:hint="eastAsia" w:ascii="仿宋" w:hAnsi="仿宋" w:eastAsia="仿宋" w:cs="仿宋"/>
                <w:color w:val="auto"/>
                <w:kern w:val="0"/>
                <w:szCs w:val="21"/>
                <w:highlight w:val="none"/>
              </w:rPr>
              <w:t>专业</w:t>
            </w:r>
          </w:p>
        </w:tc>
      </w:tr>
      <w:tr>
        <w:trPr>
          <w:jc w:val="center"/>
        </w:trPr>
        <w:tc>
          <w:tcPr>
            <w:tcW w:w="9082" w:type="dxa"/>
            <w:gridSpan w:val="9"/>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主要</w:t>
            </w:r>
            <w:r>
              <w:rPr>
                <w:rFonts w:hint="eastAsia" w:ascii="仿宋" w:hAnsi="仿宋" w:eastAsia="仿宋" w:cs="仿宋"/>
                <w:color w:val="auto"/>
                <w:spacing w:val="-2"/>
                <w:kern w:val="0"/>
                <w:szCs w:val="21"/>
                <w:highlight w:val="none"/>
              </w:rPr>
              <w:t>工</w:t>
            </w:r>
            <w:r>
              <w:rPr>
                <w:rFonts w:hint="eastAsia" w:ascii="仿宋" w:hAnsi="仿宋" w:eastAsia="仿宋" w:cs="仿宋"/>
                <w:color w:val="auto"/>
                <w:kern w:val="0"/>
                <w:szCs w:val="21"/>
                <w:highlight w:val="none"/>
              </w:rPr>
              <w:t>作</w:t>
            </w:r>
            <w:r>
              <w:rPr>
                <w:rFonts w:hint="eastAsia" w:ascii="仿宋" w:hAnsi="仿宋" w:eastAsia="仿宋" w:cs="仿宋"/>
                <w:color w:val="auto"/>
                <w:spacing w:val="-2"/>
                <w:kern w:val="0"/>
                <w:szCs w:val="21"/>
                <w:highlight w:val="none"/>
              </w:rPr>
              <w:t>经</w:t>
            </w:r>
            <w:r>
              <w:rPr>
                <w:rFonts w:hint="eastAsia" w:ascii="仿宋" w:hAnsi="仿宋" w:eastAsia="仿宋" w:cs="仿宋"/>
                <w:color w:val="auto"/>
                <w:kern w:val="0"/>
                <w:szCs w:val="21"/>
                <w:highlight w:val="none"/>
              </w:rPr>
              <w:t>历</w:t>
            </w:r>
          </w:p>
        </w:tc>
      </w:tr>
      <w:tr>
        <w:tblPrEx>
          <w:tblCellMar>
            <w:top w:w="0" w:type="dxa"/>
            <w:left w:w="0" w:type="dxa"/>
            <w:bottom w:w="0" w:type="dxa"/>
            <w:right w:w="0" w:type="dxa"/>
          </w:tblCellMar>
        </w:tblPrEx>
        <w:trPr>
          <w:jc w:val="center"/>
        </w:trPr>
        <w:tc>
          <w:tcPr>
            <w:tcW w:w="1645" w:type="dxa"/>
            <w:gridSpan w:val="2"/>
            <w:tcBorders>
              <w:top w:val="single" w:color="000000" w:sz="4" w:space="0"/>
              <w:left w:val="single" w:color="000000" w:sz="4" w:space="0"/>
              <w:bottom w:val="single" w:color="000000" w:sz="4" w:space="0"/>
              <w:right w:val="single" w:color="000000" w:sz="4" w:space="0"/>
            </w:tcBorders>
            <w:noWrap/>
            <w:vAlign w:val="center"/>
          </w:tcPr>
          <w:p>
            <w:pPr>
              <w:shd w:val="clear"/>
              <w:tabs>
                <w:tab w:val="left" w:pos="860"/>
              </w:tabs>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时</w:t>
            </w:r>
            <w:r>
              <w:rPr>
                <w:rFonts w:hint="eastAsia" w:ascii="仿宋" w:hAnsi="仿宋" w:eastAsia="仿宋" w:cs="仿宋"/>
                <w:color w:val="auto"/>
                <w:kern w:val="0"/>
                <w:szCs w:val="21"/>
                <w:highlight w:val="none"/>
              </w:rPr>
              <w:tab/>
            </w:r>
            <w:r>
              <w:rPr>
                <w:rFonts w:hint="eastAsia" w:ascii="仿宋" w:hAnsi="仿宋" w:eastAsia="仿宋" w:cs="仿宋"/>
                <w:color w:val="auto"/>
                <w:kern w:val="0"/>
                <w:szCs w:val="21"/>
                <w:highlight w:val="none"/>
              </w:rPr>
              <w:t>间</w:t>
            </w:r>
          </w:p>
        </w:tc>
        <w:tc>
          <w:tcPr>
            <w:tcW w:w="3646" w:type="dxa"/>
            <w:gridSpan w:val="4"/>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参加</w:t>
            </w:r>
            <w:r>
              <w:rPr>
                <w:rFonts w:hint="eastAsia" w:ascii="仿宋" w:hAnsi="仿宋" w:eastAsia="仿宋" w:cs="仿宋"/>
                <w:color w:val="auto"/>
                <w:spacing w:val="-2"/>
                <w:kern w:val="0"/>
                <w:szCs w:val="21"/>
                <w:highlight w:val="none"/>
              </w:rPr>
              <w:t>过</w:t>
            </w:r>
            <w:r>
              <w:rPr>
                <w:rFonts w:hint="eastAsia" w:ascii="仿宋" w:hAnsi="仿宋" w:eastAsia="仿宋" w:cs="仿宋"/>
                <w:color w:val="auto"/>
                <w:kern w:val="0"/>
                <w:szCs w:val="21"/>
                <w:highlight w:val="none"/>
              </w:rPr>
              <w:t>的</w:t>
            </w:r>
            <w:r>
              <w:rPr>
                <w:rFonts w:hint="eastAsia" w:ascii="仿宋" w:hAnsi="仿宋" w:eastAsia="仿宋" w:cs="仿宋"/>
                <w:color w:val="auto"/>
                <w:spacing w:val="-2"/>
                <w:kern w:val="0"/>
                <w:szCs w:val="21"/>
                <w:highlight w:val="none"/>
              </w:rPr>
              <w:t>类</w:t>
            </w:r>
            <w:r>
              <w:rPr>
                <w:rFonts w:hint="eastAsia" w:ascii="仿宋" w:hAnsi="仿宋" w:eastAsia="仿宋" w:cs="仿宋"/>
                <w:color w:val="auto"/>
                <w:kern w:val="0"/>
                <w:szCs w:val="21"/>
                <w:highlight w:val="none"/>
              </w:rPr>
              <w:t>似</w:t>
            </w:r>
            <w:r>
              <w:rPr>
                <w:rFonts w:hint="eastAsia" w:ascii="仿宋" w:hAnsi="仿宋" w:eastAsia="仿宋" w:cs="仿宋"/>
                <w:color w:val="auto"/>
                <w:spacing w:val="-2"/>
                <w:kern w:val="0"/>
                <w:szCs w:val="21"/>
                <w:highlight w:val="none"/>
              </w:rPr>
              <w:t>项</w:t>
            </w:r>
            <w:r>
              <w:rPr>
                <w:rFonts w:hint="eastAsia" w:ascii="仿宋" w:hAnsi="仿宋" w:eastAsia="仿宋" w:cs="仿宋"/>
                <w:color w:val="auto"/>
                <w:kern w:val="0"/>
                <w:szCs w:val="21"/>
                <w:highlight w:val="none"/>
              </w:rPr>
              <w:t>目</w:t>
            </w:r>
          </w:p>
        </w:tc>
        <w:tc>
          <w:tcPr>
            <w:tcW w:w="1343" w:type="dxa"/>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担任</w:t>
            </w:r>
            <w:r>
              <w:rPr>
                <w:rFonts w:hint="eastAsia" w:ascii="仿宋" w:hAnsi="仿宋" w:eastAsia="仿宋" w:cs="仿宋"/>
                <w:color w:val="auto"/>
                <w:spacing w:val="-2"/>
                <w:kern w:val="0"/>
                <w:szCs w:val="21"/>
                <w:highlight w:val="none"/>
              </w:rPr>
              <w:t>职</w:t>
            </w:r>
            <w:r>
              <w:rPr>
                <w:rFonts w:hint="eastAsia" w:ascii="仿宋" w:hAnsi="仿宋" w:eastAsia="仿宋" w:cs="仿宋"/>
                <w:color w:val="auto"/>
                <w:kern w:val="0"/>
                <w:szCs w:val="21"/>
                <w:highlight w:val="none"/>
              </w:rPr>
              <w:t>务</w:t>
            </w:r>
          </w:p>
        </w:tc>
        <w:tc>
          <w:tcPr>
            <w:tcW w:w="2448" w:type="dxa"/>
            <w:gridSpan w:val="2"/>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委托</w:t>
            </w:r>
            <w:r>
              <w:rPr>
                <w:rFonts w:hint="eastAsia" w:ascii="仿宋" w:hAnsi="仿宋" w:eastAsia="仿宋" w:cs="仿宋"/>
                <w:color w:val="auto"/>
                <w:spacing w:val="-2"/>
                <w:kern w:val="0"/>
                <w:szCs w:val="21"/>
                <w:highlight w:val="none"/>
              </w:rPr>
              <w:t>人</w:t>
            </w:r>
            <w:r>
              <w:rPr>
                <w:rFonts w:hint="eastAsia" w:ascii="仿宋" w:hAnsi="仿宋" w:eastAsia="仿宋" w:cs="仿宋"/>
                <w:color w:val="auto"/>
                <w:kern w:val="0"/>
                <w:szCs w:val="21"/>
                <w:highlight w:val="none"/>
              </w:rPr>
              <w:t>及</w:t>
            </w:r>
            <w:r>
              <w:rPr>
                <w:rFonts w:hint="eastAsia" w:ascii="仿宋" w:hAnsi="仿宋" w:eastAsia="仿宋" w:cs="仿宋"/>
                <w:color w:val="auto"/>
                <w:spacing w:val="-2"/>
                <w:kern w:val="0"/>
                <w:szCs w:val="21"/>
                <w:highlight w:val="none"/>
              </w:rPr>
              <w:t>联</w:t>
            </w:r>
            <w:r>
              <w:rPr>
                <w:rFonts w:hint="eastAsia" w:ascii="仿宋" w:hAnsi="仿宋" w:eastAsia="仿宋" w:cs="仿宋"/>
                <w:color w:val="auto"/>
                <w:kern w:val="0"/>
                <w:szCs w:val="21"/>
                <w:highlight w:val="none"/>
              </w:rPr>
              <w:t>系</w:t>
            </w:r>
            <w:r>
              <w:rPr>
                <w:rFonts w:hint="eastAsia" w:ascii="仿宋" w:hAnsi="仿宋" w:eastAsia="仿宋" w:cs="仿宋"/>
                <w:color w:val="auto"/>
                <w:spacing w:val="-2"/>
                <w:kern w:val="0"/>
                <w:szCs w:val="21"/>
                <w:highlight w:val="none"/>
              </w:rPr>
              <w:t>电</w:t>
            </w:r>
            <w:r>
              <w:rPr>
                <w:rFonts w:hint="eastAsia" w:ascii="仿宋" w:hAnsi="仿宋" w:eastAsia="仿宋" w:cs="仿宋"/>
                <w:color w:val="auto"/>
                <w:kern w:val="0"/>
                <w:szCs w:val="21"/>
                <w:highlight w:val="none"/>
              </w:rPr>
              <w:t>话</w:t>
            </w:r>
          </w:p>
        </w:tc>
      </w:tr>
      <w:tr>
        <w:tblPrEx>
          <w:tblCellMar>
            <w:top w:w="0" w:type="dxa"/>
            <w:left w:w="0" w:type="dxa"/>
            <w:bottom w:w="0" w:type="dxa"/>
            <w:right w:w="0" w:type="dxa"/>
          </w:tblCellMar>
        </w:tblPrEx>
        <w:trPr>
          <w:jc w:val="center"/>
        </w:trPr>
        <w:tc>
          <w:tcPr>
            <w:tcW w:w="1645" w:type="dxa"/>
            <w:gridSpan w:val="2"/>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3646" w:type="dxa"/>
            <w:gridSpan w:val="4"/>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2448" w:type="dxa"/>
            <w:gridSpan w:val="2"/>
            <w:tcBorders>
              <w:top w:val="single" w:color="000000" w:sz="4" w:space="0"/>
              <w:left w:val="single" w:color="000000" w:sz="4" w:space="0"/>
              <w:bottom w:val="single" w:color="000000" w:sz="4" w:space="0"/>
              <w:right w:val="single" w:color="000000" w:sz="4" w:space="0"/>
            </w:tcBorders>
            <w:noWrap/>
            <w:vAlign w:val="center"/>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r>
      <w:tr>
        <w:tblPrEx>
          <w:tblCellMar>
            <w:top w:w="0" w:type="dxa"/>
            <w:left w:w="0" w:type="dxa"/>
            <w:bottom w:w="0" w:type="dxa"/>
            <w:right w:w="0" w:type="dxa"/>
          </w:tblCellMar>
        </w:tblPrEx>
        <w:trPr>
          <w:jc w:val="center"/>
        </w:trPr>
        <w:tc>
          <w:tcPr>
            <w:tcW w:w="1645" w:type="dxa"/>
            <w:gridSpan w:val="2"/>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3646" w:type="dxa"/>
            <w:gridSpan w:val="4"/>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1343" w:type="dxa"/>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2448" w:type="dxa"/>
            <w:gridSpan w:val="2"/>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r>
      <w:tr>
        <w:trPr>
          <w:jc w:val="center"/>
        </w:trPr>
        <w:tc>
          <w:tcPr>
            <w:tcW w:w="1645" w:type="dxa"/>
            <w:gridSpan w:val="2"/>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3646" w:type="dxa"/>
            <w:gridSpan w:val="4"/>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1343" w:type="dxa"/>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2448" w:type="dxa"/>
            <w:gridSpan w:val="2"/>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r>
      <w:tr>
        <w:trPr>
          <w:jc w:val="center"/>
        </w:trPr>
        <w:tc>
          <w:tcPr>
            <w:tcW w:w="1645" w:type="dxa"/>
            <w:gridSpan w:val="2"/>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3646" w:type="dxa"/>
            <w:gridSpan w:val="4"/>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1343" w:type="dxa"/>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2448" w:type="dxa"/>
            <w:gridSpan w:val="2"/>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r>
      <w:tr>
        <w:trPr>
          <w:jc w:val="center"/>
        </w:trPr>
        <w:tc>
          <w:tcPr>
            <w:tcW w:w="1645" w:type="dxa"/>
            <w:gridSpan w:val="2"/>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3646" w:type="dxa"/>
            <w:gridSpan w:val="4"/>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1343" w:type="dxa"/>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2448" w:type="dxa"/>
            <w:gridSpan w:val="2"/>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r>
      <w:tr>
        <w:trPr>
          <w:jc w:val="center"/>
        </w:trPr>
        <w:tc>
          <w:tcPr>
            <w:tcW w:w="1645" w:type="dxa"/>
            <w:gridSpan w:val="2"/>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3646" w:type="dxa"/>
            <w:gridSpan w:val="4"/>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1343" w:type="dxa"/>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2448" w:type="dxa"/>
            <w:gridSpan w:val="2"/>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r>
      <w:tr>
        <w:trPr>
          <w:jc w:val="center"/>
        </w:trPr>
        <w:tc>
          <w:tcPr>
            <w:tcW w:w="1645" w:type="dxa"/>
            <w:gridSpan w:val="2"/>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3646" w:type="dxa"/>
            <w:gridSpan w:val="4"/>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1343" w:type="dxa"/>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c>
          <w:tcPr>
            <w:tcW w:w="2448" w:type="dxa"/>
            <w:gridSpan w:val="2"/>
            <w:tcBorders>
              <w:top w:val="single" w:color="000000" w:sz="4" w:space="0"/>
              <w:left w:val="single" w:color="000000" w:sz="4" w:space="0"/>
              <w:bottom w:val="single" w:color="000000" w:sz="4" w:space="0"/>
              <w:right w:val="single" w:color="000000" w:sz="4" w:space="0"/>
            </w:tcBorders>
            <w:noWrap/>
          </w:tcPr>
          <w:p>
            <w:pPr>
              <w:shd w:val="clear"/>
              <w:autoSpaceDE w:val="0"/>
              <w:autoSpaceDN w:val="0"/>
              <w:adjustRightInd w:val="0"/>
              <w:spacing w:beforeLines="50" w:afterLines="50"/>
              <w:jc w:val="center"/>
              <w:rPr>
                <w:rFonts w:ascii="仿宋" w:hAnsi="仿宋" w:eastAsia="仿宋" w:cs="仿宋"/>
                <w:color w:val="auto"/>
                <w:kern w:val="0"/>
                <w:szCs w:val="21"/>
                <w:highlight w:val="none"/>
              </w:rPr>
            </w:pPr>
          </w:p>
        </w:tc>
      </w:tr>
    </w:tbl>
    <w:p>
      <w:pPr>
        <w:shd w:val="clear"/>
        <w:autoSpaceDE w:val="0"/>
        <w:autoSpaceDN w:val="0"/>
        <w:adjustRightInd w:val="0"/>
        <w:spacing w:line="360" w:lineRule="auto"/>
        <w:rPr>
          <w:rFonts w:ascii="仿宋" w:hAnsi="仿宋" w:eastAsia="仿宋" w:cs="仿宋"/>
          <w:color w:val="auto"/>
          <w:kern w:val="0"/>
          <w:sz w:val="11"/>
          <w:szCs w:val="11"/>
          <w:highlight w:val="none"/>
        </w:rPr>
      </w:pPr>
    </w:p>
    <w:p>
      <w:pPr>
        <w:pStyle w:val="23"/>
        <w:shd w:val="clear"/>
        <w:spacing w:line="360" w:lineRule="auto"/>
        <w:ind w:left="0" w:leftChars="0" w:firstLine="0" w:firstLineChars="0"/>
        <w:rPr>
          <w:rFonts w:ascii="仿宋" w:hAnsi="仿宋" w:eastAsia="仿宋" w:cs="仿宋"/>
          <w:color w:val="auto"/>
          <w:highlight w:val="none"/>
        </w:rPr>
      </w:pPr>
      <w:r>
        <w:rPr>
          <w:rFonts w:hint="eastAsia" w:ascii="仿宋" w:hAnsi="仿宋" w:eastAsia="仿宋" w:cs="仿宋"/>
          <w:color w:val="auto"/>
          <w:highlight w:val="none"/>
        </w:rPr>
        <w:t>注：供应商按“第三章 评审办法前附表 供应商履约能力”中要求的填写并附相关证明材料。</w:t>
      </w:r>
    </w:p>
    <w:p>
      <w:pPr>
        <w:shd w:val="clear"/>
        <w:rPr>
          <w:rFonts w:ascii="仿宋" w:hAnsi="仿宋" w:eastAsia="仿宋" w:cs="仿宋"/>
          <w:color w:val="auto"/>
          <w:sz w:val="24"/>
          <w:highlight w:val="none"/>
        </w:rPr>
      </w:pPr>
      <w:r>
        <w:rPr>
          <w:rFonts w:hint="eastAsia" w:ascii="仿宋" w:hAnsi="仿宋" w:eastAsia="仿宋" w:cs="仿宋"/>
          <w:color w:val="auto"/>
          <w:sz w:val="24"/>
          <w:highlight w:val="none"/>
        </w:rPr>
        <w:br w:type="page"/>
      </w:r>
    </w:p>
    <w:p>
      <w:pPr>
        <w:pStyle w:val="6"/>
        <w:shd w:val="clear"/>
        <w:spacing w:before="0" w:after="0" w:line="360" w:lineRule="auto"/>
        <w:ind w:firstLine="482" w:firstLineChars="200"/>
        <w:rPr>
          <w:rFonts w:ascii="仿宋" w:hAnsi="仿宋" w:eastAsia="仿宋" w:cs="仿宋"/>
          <w:color w:val="auto"/>
          <w:sz w:val="24"/>
          <w:szCs w:val="24"/>
          <w:highlight w:val="none"/>
        </w:rPr>
      </w:pPr>
      <w:bookmarkStart w:id="624" w:name="_Toc25869"/>
      <w:r>
        <w:rPr>
          <w:rFonts w:hint="eastAsia" w:ascii="仿宋" w:hAnsi="仿宋" w:eastAsia="仿宋" w:cs="仿宋"/>
          <w:color w:val="auto"/>
          <w:sz w:val="24"/>
          <w:szCs w:val="24"/>
          <w:highlight w:val="none"/>
        </w:rPr>
        <w:t>（四）</w:t>
      </w:r>
      <w:r>
        <w:rPr>
          <w:rFonts w:hint="eastAsia" w:ascii="仿宋" w:hAnsi="仿宋" w:eastAsia="仿宋" w:cs="仿宋"/>
          <w:color w:val="auto"/>
          <w:sz w:val="24"/>
          <w:szCs w:val="24"/>
          <w:highlight w:val="none"/>
          <w:lang w:val="zh-CN"/>
        </w:rPr>
        <w:t>拟</w:t>
      </w:r>
      <w:bookmarkStart w:id="625" w:name="_Toc6509"/>
      <w:r>
        <w:rPr>
          <w:rFonts w:hint="eastAsia" w:ascii="仿宋" w:hAnsi="仿宋" w:eastAsia="仿宋" w:cs="仿宋"/>
          <w:color w:val="auto"/>
          <w:sz w:val="24"/>
          <w:szCs w:val="24"/>
          <w:highlight w:val="none"/>
          <w:lang w:val="zh-CN"/>
        </w:rPr>
        <w:t>派</w:t>
      </w:r>
      <w:bookmarkEnd w:id="623"/>
      <w:bookmarkEnd w:id="625"/>
      <w:r>
        <w:rPr>
          <w:rFonts w:hint="eastAsia" w:ascii="仿宋" w:hAnsi="仿宋" w:eastAsia="仿宋" w:cs="仿宋"/>
          <w:color w:val="auto"/>
          <w:sz w:val="24"/>
          <w:szCs w:val="24"/>
          <w:highlight w:val="none"/>
        </w:rPr>
        <w:t>其他参审人员一览表</w:t>
      </w:r>
      <w:bookmarkEnd w:id="624"/>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842"/>
        <w:gridCol w:w="842"/>
        <w:gridCol w:w="842"/>
        <w:gridCol w:w="2257"/>
        <w:gridCol w:w="1408"/>
        <w:gridCol w:w="1408"/>
        <w:gridCol w:w="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53"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序号</w:t>
            </w:r>
          </w:p>
        </w:tc>
        <w:tc>
          <w:tcPr>
            <w:tcW w:w="453"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姓名</w:t>
            </w:r>
          </w:p>
        </w:tc>
        <w:tc>
          <w:tcPr>
            <w:tcW w:w="453"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性别</w:t>
            </w:r>
          </w:p>
        </w:tc>
        <w:tc>
          <w:tcPr>
            <w:tcW w:w="453"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年龄</w:t>
            </w:r>
          </w:p>
        </w:tc>
        <w:tc>
          <w:tcPr>
            <w:tcW w:w="1215"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职称、执业资格</w:t>
            </w:r>
          </w:p>
        </w:tc>
        <w:tc>
          <w:tcPr>
            <w:tcW w:w="758"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证书编号</w:t>
            </w:r>
          </w:p>
        </w:tc>
        <w:tc>
          <w:tcPr>
            <w:tcW w:w="758"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从业时间</w:t>
            </w:r>
          </w:p>
        </w:tc>
        <w:tc>
          <w:tcPr>
            <w:tcW w:w="453" w:type="pct"/>
            <w:noWrap/>
            <w:vAlign w:val="center"/>
          </w:tcPr>
          <w:p>
            <w:pPr>
              <w:shd w:val="clear"/>
              <w:wordWrap w:val="0"/>
              <w:jc w:val="cente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4" w:hRule="atLeast"/>
          <w:jc w:val="center"/>
        </w:trPr>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1215"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1215"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1215"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1215"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1215"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1215"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1215"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1215"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1215"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1215"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1215"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1215"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c>
          <w:tcPr>
            <w:tcW w:w="1215"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758" w:type="pct"/>
            <w:noWrap/>
          </w:tcPr>
          <w:p>
            <w:pPr>
              <w:shd w:val="clear"/>
              <w:wordWrap w:val="0"/>
              <w:jc w:val="center"/>
              <w:rPr>
                <w:rFonts w:ascii="仿宋" w:hAnsi="仿宋" w:eastAsia="仿宋" w:cs="仿宋"/>
                <w:b/>
                <w:bCs/>
                <w:color w:val="auto"/>
                <w:sz w:val="24"/>
                <w:highlight w:val="none"/>
              </w:rPr>
            </w:pPr>
          </w:p>
        </w:tc>
        <w:tc>
          <w:tcPr>
            <w:tcW w:w="453" w:type="pct"/>
            <w:noWrap/>
          </w:tcPr>
          <w:p>
            <w:pPr>
              <w:shd w:val="clear"/>
              <w:wordWrap w:val="0"/>
              <w:jc w:val="center"/>
              <w:rPr>
                <w:rFonts w:ascii="仿宋" w:hAnsi="仿宋" w:eastAsia="仿宋" w:cs="仿宋"/>
                <w:b/>
                <w:bCs/>
                <w:color w:val="auto"/>
                <w:sz w:val="24"/>
                <w:highlight w:val="none"/>
              </w:rPr>
            </w:pPr>
          </w:p>
        </w:tc>
      </w:tr>
    </w:tbl>
    <w:p>
      <w:pPr>
        <w:shd w:val="clear"/>
        <w:wordWrap w:val="0"/>
        <w:rPr>
          <w:rFonts w:ascii="仿宋" w:hAnsi="仿宋" w:eastAsia="仿宋" w:cs="仿宋"/>
          <w:color w:val="auto"/>
          <w:sz w:val="24"/>
          <w:highlight w:val="none"/>
        </w:rPr>
      </w:pPr>
    </w:p>
    <w:bookmarkEnd w:id="614"/>
    <w:p>
      <w:pPr>
        <w:shd w:val="clear"/>
        <w:spacing w:line="360" w:lineRule="auto"/>
        <w:rPr>
          <w:rFonts w:ascii="仿宋" w:hAnsi="仿宋" w:eastAsia="仿宋" w:cs="仿宋"/>
          <w:color w:val="auto"/>
          <w:highlight w:val="none"/>
        </w:rPr>
      </w:pPr>
      <w:bookmarkStart w:id="626" w:name="_Toc22210"/>
      <w:bookmarkStart w:id="627" w:name="_Toc312133600"/>
      <w:r>
        <w:rPr>
          <w:rFonts w:hint="eastAsia" w:ascii="仿宋" w:hAnsi="仿宋" w:eastAsia="仿宋" w:cs="仿宋"/>
          <w:color w:val="auto"/>
          <w:highlight w:val="none"/>
        </w:rPr>
        <w:t>注：供应商按“第三章 评审办法前附表 供应商履约能力”中要求的填写并附相关证明材料。</w:t>
      </w:r>
      <w:bookmarkEnd w:id="626"/>
      <w:bookmarkEnd w:id="627"/>
    </w:p>
    <w:p>
      <w:pPr>
        <w:shd w:val="clear"/>
        <w:rPr>
          <w:rFonts w:ascii="仿宋" w:hAnsi="仿宋" w:eastAsia="仿宋" w:cs="仿宋"/>
          <w:color w:val="auto"/>
          <w:highlight w:val="none"/>
        </w:rPr>
      </w:pPr>
      <w:r>
        <w:rPr>
          <w:rFonts w:hint="eastAsia" w:ascii="仿宋" w:hAnsi="仿宋" w:eastAsia="仿宋" w:cs="仿宋"/>
          <w:color w:val="auto"/>
          <w:highlight w:val="none"/>
        </w:rPr>
        <w:br w:type="page"/>
      </w:r>
    </w:p>
    <w:p>
      <w:pPr>
        <w:shd w:val="clear"/>
        <w:rPr>
          <w:rFonts w:ascii="仿宋" w:hAnsi="仿宋" w:eastAsia="仿宋" w:cs="仿宋"/>
          <w:color w:val="auto"/>
          <w:highlight w:val="none"/>
        </w:rPr>
      </w:pPr>
    </w:p>
    <w:p>
      <w:pPr>
        <w:pStyle w:val="5"/>
        <w:numPr>
          <w:ilvl w:val="0"/>
          <w:numId w:val="21"/>
        </w:numPr>
        <w:shd w:val="clear"/>
        <w:tabs>
          <w:tab w:val="clear" w:pos="567"/>
        </w:tabs>
        <w:spacing w:beforeLines="1500" w:afterLines="100" w:line="240" w:lineRule="auto"/>
        <w:ind w:left="0" w:firstLine="0"/>
        <w:rPr>
          <w:rFonts w:ascii="仿宋" w:hAnsi="仿宋" w:eastAsia="仿宋" w:cs="仿宋"/>
          <w:color w:val="auto"/>
          <w:szCs w:val="32"/>
          <w:highlight w:val="none"/>
        </w:rPr>
      </w:pPr>
      <w:bookmarkStart w:id="628" w:name="_Toc15017"/>
      <w:bookmarkStart w:id="629" w:name="_Toc275795959"/>
      <w:bookmarkStart w:id="630" w:name="_Toc355809725"/>
      <w:bookmarkStart w:id="631" w:name="_Toc339972632"/>
      <w:r>
        <w:rPr>
          <w:rFonts w:hint="eastAsia" w:ascii="仿宋" w:hAnsi="仿宋" w:eastAsia="仿宋" w:cs="仿宋"/>
          <w:color w:val="auto"/>
          <w:szCs w:val="32"/>
          <w:highlight w:val="none"/>
        </w:rPr>
        <w:t>供应商认为应附的其他材料</w:t>
      </w:r>
      <w:bookmarkEnd w:id="628"/>
    </w:p>
    <w:p>
      <w:pPr>
        <w:shd w:val="clear"/>
        <w:rPr>
          <w:rFonts w:ascii="仿宋" w:hAnsi="仿宋" w:eastAsia="仿宋" w:cs="仿宋"/>
          <w:color w:val="auto"/>
          <w:sz w:val="24"/>
          <w:highlight w:val="none"/>
        </w:rPr>
      </w:pPr>
      <w:r>
        <w:rPr>
          <w:rFonts w:hint="eastAsia" w:ascii="仿宋" w:hAnsi="仿宋" w:eastAsia="仿宋" w:cs="仿宋"/>
          <w:color w:val="auto"/>
          <w:sz w:val="24"/>
          <w:highlight w:val="none"/>
        </w:rPr>
        <w:br w:type="page"/>
      </w:r>
    </w:p>
    <w:p>
      <w:pPr>
        <w:shd w:val="clear"/>
        <w:rPr>
          <w:rFonts w:ascii="仿宋" w:hAnsi="仿宋" w:eastAsia="仿宋" w:cs="仿宋"/>
          <w:color w:val="auto"/>
          <w:highlight w:val="none"/>
        </w:rPr>
      </w:pPr>
    </w:p>
    <w:p>
      <w:pPr>
        <w:pStyle w:val="6"/>
        <w:shd w:val="clear"/>
        <w:jc w:val="center"/>
        <w:rPr>
          <w:rFonts w:ascii="仿宋" w:hAnsi="仿宋" w:eastAsia="仿宋" w:cs="仿宋"/>
          <w:color w:val="auto"/>
          <w:sz w:val="28"/>
          <w:szCs w:val="28"/>
          <w:highlight w:val="none"/>
        </w:rPr>
      </w:pPr>
      <w:bookmarkStart w:id="632" w:name="_Toc24974"/>
      <w:r>
        <w:rPr>
          <w:rFonts w:hint="eastAsia" w:ascii="仿宋" w:hAnsi="仿宋" w:eastAsia="仿宋" w:cs="仿宋"/>
          <w:color w:val="auto"/>
          <w:sz w:val="28"/>
          <w:szCs w:val="28"/>
          <w:highlight w:val="none"/>
        </w:rPr>
        <w:t>（一）郑州市政府采购供应商信用承诺书</w:t>
      </w:r>
      <w:bookmarkEnd w:id="632"/>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市场主体名称：</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证件类型：（统一社会信用代码）</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证件号码：</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行政区划代码：</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主管部门：</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承诺内容：</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为维护公开、公平、公正的政府采购市场秩序，树立诚实守信的政府采购供应商形象，本单位自愿做出以下承诺：</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一、本单位严格遵守国家法律、法规和规章，全面履行应尽的责任和义务，全面做到履约守信，具备《政府采购法》第二十二条第一款规定的条件。</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二、本单位提供给注册登记部门、行业管理部门、司法部门、行业组织以及在政府采购活动中提交的所有资料均合法、真实、有效，无任何伪造、修改、虚假成份，并对所提供资料的真实性负责。</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三、本单位不与其他政府采购当事人相互串通损害国家利益、社会公共利益和其他当事人的合法权益；不以任何手段排斥其他供应商参与竞争；不以向其他政府采购当事人行贿或者采取其他不正当手段谋取中标或者成交。</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四、本单位开标后不擅自撤销投标，对招标文件的相关内容不再进行质疑；同意财政监管部门予以公示且一年内不参与郑州市政府采购项目。</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五、本单位中标后积极与采购单位签订合同、履行合同义务；不擅自变更、中止或者终止合同；不将中标项目转让给他人或非法转包他人。</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六、本单位对政府采购质疑和投诉坚持依法依规、诚实信用，不存在无实据、捏造事实或提供虚假材料的恶意投诉行为。</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七、本单位积极配合相关部门监督检查，不提供虚假材料和情况。</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八、本单位遵守政府采购相关法律法规规定需要作出的其他承诺。</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九、本单位同意承诺内容在“信用河南”及相关网站公示，接受社会监督。</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承诺单位（盖章）：</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法定代表人或负责人（签字或盖章）：</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承诺日期：</w:t>
      </w:r>
    </w:p>
    <w:p>
      <w:pPr>
        <w:shd w:val="clear"/>
        <w:rPr>
          <w:rFonts w:ascii="仿宋" w:hAnsi="仿宋" w:eastAsia="仿宋" w:cs="仿宋"/>
          <w:color w:val="auto"/>
          <w:highlight w:val="none"/>
        </w:rPr>
      </w:pPr>
      <w:r>
        <w:rPr>
          <w:rFonts w:hint="eastAsia" w:ascii="仿宋" w:hAnsi="仿宋" w:eastAsia="仿宋" w:cs="仿宋"/>
          <w:color w:val="auto"/>
          <w:highlight w:val="none"/>
        </w:rPr>
        <w:br w:type="page"/>
      </w:r>
    </w:p>
    <w:p>
      <w:pPr>
        <w:shd w:val="clear"/>
        <w:rPr>
          <w:rFonts w:ascii="仿宋" w:hAnsi="仿宋" w:eastAsia="仿宋" w:cs="仿宋"/>
          <w:color w:val="auto"/>
          <w:highlight w:val="none"/>
        </w:rPr>
      </w:pPr>
    </w:p>
    <w:p>
      <w:pPr>
        <w:pStyle w:val="6"/>
        <w:shd w:val="clear"/>
        <w:jc w:val="center"/>
        <w:rPr>
          <w:rFonts w:ascii="仿宋" w:hAnsi="仿宋" w:eastAsia="仿宋" w:cs="仿宋"/>
          <w:color w:val="auto"/>
          <w:sz w:val="28"/>
          <w:szCs w:val="28"/>
          <w:highlight w:val="none"/>
        </w:rPr>
      </w:pPr>
      <w:bookmarkStart w:id="633" w:name="_Toc24614"/>
      <w:r>
        <w:rPr>
          <w:rFonts w:hint="eastAsia" w:ascii="仿宋" w:hAnsi="仿宋" w:eastAsia="仿宋" w:cs="仿宋"/>
          <w:color w:val="auto"/>
          <w:sz w:val="28"/>
          <w:szCs w:val="28"/>
          <w:highlight w:val="none"/>
        </w:rPr>
        <w:t>（二）反商业贿赂承诺书</w:t>
      </w:r>
      <w:bookmarkEnd w:id="629"/>
      <w:bookmarkEnd w:id="630"/>
      <w:bookmarkEnd w:id="631"/>
      <w:bookmarkEnd w:id="633"/>
    </w:p>
    <w:p>
      <w:pPr>
        <w:shd w:val="clea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（项目名称）</w:t>
      </w:r>
      <w:r>
        <w:rPr>
          <w:rFonts w:hint="eastAsia" w:ascii="仿宋" w:hAnsi="仿宋" w:eastAsia="仿宋" w:cs="仿宋"/>
          <w:color w:val="auto"/>
          <w:sz w:val="24"/>
          <w:highlight w:val="none"/>
        </w:rPr>
        <w:t>招标活动中，我单位郑重承诺：</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一、公平竞争参加本次招标活动。</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二、杜绝任何形式的商业贿赂行为。不向国家工作人员、政府采购代理机构工作人员、评审专家及其亲属提供礼品、有价证券、购物券、回扣、佣金、咨询费、劳务费、赞助费、宣传费、宴请；不为其报销各种消费凭证，不支付其旅游、娱乐等费用。</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三、若出现上述行为，我单位及参与投标的工作人员愿意接受按照国家法律法规等有关规定给予的处罚。</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承诺人：单位名称（公章）</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法定代表人（或负责人）或委托代理人：（签字或盖章）</w:t>
      </w:r>
    </w:p>
    <w:p>
      <w:pPr>
        <w:shd w:val="clea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年   月   日</w:t>
      </w:r>
    </w:p>
    <w:p>
      <w:pPr>
        <w:shd w:val="clear"/>
        <w:rPr>
          <w:rFonts w:ascii="仿宋" w:hAnsi="仿宋" w:eastAsia="仿宋" w:cs="仿宋"/>
          <w:color w:val="auto"/>
          <w:szCs w:val="21"/>
          <w:highlight w:val="none"/>
        </w:rPr>
      </w:pPr>
      <w:r>
        <w:rPr>
          <w:rFonts w:hint="eastAsia" w:ascii="仿宋" w:hAnsi="仿宋" w:eastAsia="仿宋" w:cs="仿宋"/>
          <w:color w:val="auto"/>
          <w:szCs w:val="21"/>
          <w:highlight w:val="none"/>
        </w:rPr>
        <w:br w:type="page"/>
      </w:r>
    </w:p>
    <w:p>
      <w:pPr>
        <w:shd w:val="clear"/>
        <w:rPr>
          <w:rFonts w:ascii="仿宋" w:hAnsi="仿宋" w:eastAsia="仿宋" w:cs="仿宋"/>
          <w:color w:val="auto"/>
          <w:highlight w:val="none"/>
        </w:rPr>
      </w:pPr>
    </w:p>
    <w:p>
      <w:pPr>
        <w:pStyle w:val="6"/>
        <w:shd w:val="clear"/>
        <w:jc w:val="center"/>
        <w:rPr>
          <w:rFonts w:ascii="仿宋" w:hAnsi="仿宋" w:eastAsia="仿宋" w:cs="仿宋"/>
          <w:color w:val="auto"/>
          <w:sz w:val="28"/>
          <w:szCs w:val="28"/>
          <w:highlight w:val="none"/>
        </w:rPr>
      </w:pPr>
      <w:bookmarkStart w:id="634" w:name="_Toc2869"/>
      <w:r>
        <w:rPr>
          <w:rFonts w:hint="eastAsia" w:ascii="仿宋" w:hAnsi="仿宋" w:eastAsia="仿宋" w:cs="仿宋"/>
          <w:color w:val="auto"/>
          <w:sz w:val="28"/>
          <w:szCs w:val="28"/>
          <w:highlight w:val="none"/>
        </w:rPr>
        <w:t>（三）中小企业声明函（如有）</w:t>
      </w:r>
      <w:bookmarkEnd w:id="634"/>
    </w:p>
    <w:p>
      <w:pPr>
        <w:pStyle w:val="51"/>
        <w:shd w:val="clear"/>
        <w:spacing w:line="480" w:lineRule="exact"/>
        <w:jc w:val="center"/>
        <w:rPr>
          <w:rFonts w:ascii="仿宋" w:hAnsi="仿宋" w:eastAsia="仿宋" w:cs="仿宋"/>
          <w:b/>
          <w:bCs/>
          <w:color w:val="auto"/>
          <w:sz w:val="21"/>
          <w:szCs w:val="21"/>
          <w:highlight w:val="none"/>
        </w:rPr>
      </w:pPr>
      <w:bookmarkStart w:id="635" w:name="OLE_LINK14"/>
      <w:bookmarkStart w:id="636" w:name="OLE_LINK13"/>
      <w:r>
        <w:rPr>
          <w:rFonts w:hint="eastAsia" w:ascii="仿宋" w:hAnsi="仿宋" w:eastAsia="仿宋" w:cs="仿宋"/>
          <w:b/>
          <w:bCs/>
          <w:color w:val="auto"/>
          <w:sz w:val="21"/>
          <w:szCs w:val="21"/>
          <w:highlight w:val="none"/>
        </w:rPr>
        <w:t>中小企业声明函（工程、服务）</w:t>
      </w:r>
    </w:p>
    <w:p>
      <w:pPr>
        <w:shd w:val="clear"/>
        <w:rPr>
          <w:rFonts w:ascii="仿宋" w:hAnsi="仿宋" w:eastAsia="仿宋" w:cs="仿宋"/>
          <w:color w:val="auto"/>
          <w:szCs w:val="21"/>
          <w:highlight w:val="none"/>
        </w:rPr>
      </w:pPr>
    </w:p>
    <w:p>
      <w:pPr>
        <w:pStyle w:val="16"/>
        <w:shd w:val="clear"/>
        <w:spacing w:line="360" w:lineRule="auto"/>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本公司（联合体）郑重声明，根据《政府采购促进中小企业发展管理办法》（财库﹝2020﹞46 号）的规定，本公司（联合体）参加</w:t>
      </w:r>
      <w:r>
        <w:rPr>
          <w:rFonts w:hint="eastAsia" w:ascii="仿宋" w:hAnsi="仿宋" w:eastAsia="仿宋" w:cs="仿宋"/>
          <w:color w:val="auto"/>
          <w:highlight w:val="none"/>
          <w:u w:val="single"/>
        </w:rPr>
        <w:t xml:space="preserve">    （单位名称）    </w:t>
      </w:r>
      <w:r>
        <w:rPr>
          <w:rFonts w:hint="eastAsia" w:ascii="仿宋" w:hAnsi="仿宋" w:eastAsia="仿宋" w:cs="仿宋"/>
          <w:color w:val="auto"/>
          <w:highlight w:val="none"/>
        </w:rPr>
        <w:t>的</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pStyle w:val="16"/>
        <w:shd w:val="clear"/>
        <w:spacing w:line="360" w:lineRule="auto"/>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u w:val="single"/>
        </w:rPr>
        <w:t xml:space="preserve">   （标的名称）   </w:t>
      </w:r>
      <w:r>
        <w:rPr>
          <w:rFonts w:hint="eastAsia" w:ascii="仿宋" w:hAnsi="仿宋" w:eastAsia="仿宋" w:cs="仿宋"/>
          <w:color w:val="auto"/>
          <w:highlight w:val="none"/>
        </w:rPr>
        <w:t>，属于</w:t>
      </w:r>
      <w:r>
        <w:rPr>
          <w:rFonts w:hint="eastAsia" w:ascii="仿宋" w:hAnsi="仿宋" w:eastAsia="仿宋" w:cs="仿宋"/>
          <w:color w:val="auto"/>
          <w:highlight w:val="none"/>
          <w:u w:val="single"/>
        </w:rPr>
        <w:t xml:space="preserve">   （采购文件中明确的所属行业）   </w:t>
      </w:r>
      <w:r>
        <w:rPr>
          <w:rFonts w:hint="eastAsia" w:ascii="仿宋" w:hAnsi="仿宋" w:eastAsia="仿宋" w:cs="仿宋"/>
          <w:color w:val="auto"/>
          <w:highlight w:val="none"/>
        </w:rPr>
        <w:t>；承建（承接）企业为</w:t>
      </w:r>
      <w:r>
        <w:rPr>
          <w:rFonts w:hint="eastAsia" w:ascii="仿宋" w:hAnsi="仿宋" w:eastAsia="仿宋" w:cs="仿宋"/>
          <w:color w:val="auto"/>
          <w:highlight w:val="none"/>
          <w:u w:val="single"/>
        </w:rPr>
        <w:t xml:space="preserve">   （企业名称）   </w:t>
      </w:r>
      <w:r>
        <w:rPr>
          <w:rFonts w:hint="eastAsia" w:ascii="仿宋" w:hAnsi="仿宋" w:eastAsia="仿宋" w:cs="仿宋"/>
          <w:color w:val="auto"/>
          <w:highlight w:val="none"/>
        </w:rPr>
        <w:t>，从业人员人，营业收入为万元，资产总额为万元，属于</w:t>
      </w:r>
      <w:r>
        <w:rPr>
          <w:rFonts w:hint="eastAsia" w:ascii="仿宋" w:hAnsi="仿宋" w:eastAsia="仿宋" w:cs="仿宋"/>
          <w:color w:val="auto"/>
          <w:highlight w:val="none"/>
          <w:u w:val="single"/>
        </w:rPr>
        <w:t xml:space="preserve">   （中型企业、小型企业、微型企业）   </w:t>
      </w:r>
      <w:r>
        <w:rPr>
          <w:rFonts w:hint="eastAsia" w:ascii="仿宋" w:hAnsi="仿宋" w:eastAsia="仿宋" w:cs="仿宋"/>
          <w:color w:val="auto"/>
          <w:highlight w:val="none"/>
        </w:rPr>
        <w:t>；</w:t>
      </w:r>
    </w:p>
    <w:p>
      <w:pPr>
        <w:pStyle w:val="16"/>
        <w:shd w:val="clear"/>
        <w:spacing w:line="360" w:lineRule="auto"/>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u w:val="single"/>
        </w:rPr>
        <w:t xml:space="preserve">   （标的名称）   </w:t>
      </w:r>
      <w:r>
        <w:rPr>
          <w:rFonts w:hint="eastAsia" w:ascii="仿宋" w:hAnsi="仿宋" w:eastAsia="仿宋" w:cs="仿宋"/>
          <w:color w:val="auto"/>
          <w:highlight w:val="none"/>
        </w:rPr>
        <w:t>，属于</w:t>
      </w:r>
      <w:r>
        <w:rPr>
          <w:rFonts w:hint="eastAsia" w:ascii="仿宋" w:hAnsi="仿宋" w:eastAsia="仿宋" w:cs="仿宋"/>
          <w:color w:val="auto"/>
          <w:highlight w:val="none"/>
          <w:u w:val="single"/>
        </w:rPr>
        <w:t xml:space="preserve">   （采购文件中明确的所属行业）   </w:t>
      </w:r>
      <w:r>
        <w:rPr>
          <w:rFonts w:hint="eastAsia" w:ascii="仿宋" w:hAnsi="仿宋" w:eastAsia="仿宋" w:cs="仿宋"/>
          <w:color w:val="auto"/>
          <w:highlight w:val="none"/>
        </w:rPr>
        <w:t>；承建（承接）企业为</w:t>
      </w:r>
      <w:r>
        <w:rPr>
          <w:rFonts w:hint="eastAsia" w:ascii="仿宋" w:hAnsi="仿宋" w:eastAsia="仿宋" w:cs="仿宋"/>
          <w:color w:val="auto"/>
          <w:highlight w:val="none"/>
          <w:u w:val="single"/>
        </w:rPr>
        <w:t xml:space="preserve">   （企业名称）   </w:t>
      </w:r>
      <w:r>
        <w:rPr>
          <w:rFonts w:hint="eastAsia" w:ascii="仿宋" w:hAnsi="仿宋" w:eastAsia="仿宋" w:cs="仿宋"/>
          <w:color w:val="auto"/>
          <w:highlight w:val="none"/>
        </w:rPr>
        <w:t>，从业人员人，营业收入为万元，资产总额为万元，属于</w:t>
      </w:r>
      <w:r>
        <w:rPr>
          <w:rFonts w:hint="eastAsia" w:ascii="仿宋" w:hAnsi="仿宋" w:eastAsia="仿宋" w:cs="仿宋"/>
          <w:color w:val="auto"/>
          <w:highlight w:val="none"/>
          <w:u w:val="single"/>
        </w:rPr>
        <w:t xml:space="preserve">   （中型企业、小型企业、微型企业）   </w:t>
      </w:r>
      <w:r>
        <w:rPr>
          <w:rFonts w:hint="eastAsia" w:ascii="仿宋" w:hAnsi="仿宋" w:eastAsia="仿宋" w:cs="仿宋"/>
          <w:color w:val="auto"/>
          <w:highlight w:val="none"/>
        </w:rPr>
        <w:t>；</w:t>
      </w:r>
    </w:p>
    <w:p>
      <w:pPr>
        <w:pStyle w:val="16"/>
        <w:shd w:val="clear"/>
        <w:spacing w:line="360" w:lineRule="auto"/>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w:t>
      </w:r>
    </w:p>
    <w:p>
      <w:pPr>
        <w:pStyle w:val="16"/>
        <w:shd w:val="clear"/>
        <w:spacing w:line="360" w:lineRule="auto"/>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以上企业，不属于大企业的分支机构，不存在控股股东为大企业的情形，也不存在与大企业的负责人为同一人的情形。</w:t>
      </w:r>
    </w:p>
    <w:p>
      <w:pPr>
        <w:pStyle w:val="16"/>
        <w:shd w:val="clear"/>
        <w:spacing w:line="360" w:lineRule="auto"/>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本企业对上述声明内容的真实性负责。如有虚假，将依法承担相应责任。</w:t>
      </w:r>
    </w:p>
    <w:p>
      <w:pPr>
        <w:pStyle w:val="16"/>
        <w:shd w:val="clear"/>
        <w:spacing w:line="360" w:lineRule="auto"/>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企业名称（盖章）：</w:t>
      </w:r>
    </w:p>
    <w:p>
      <w:pPr>
        <w:pStyle w:val="16"/>
        <w:shd w:val="clear"/>
        <w:spacing w:line="360" w:lineRule="auto"/>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日期：</w:t>
      </w:r>
    </w:p>
    <w:p>
      <w:pPr>
        <w:shd w:val="clear"/>
        <w:spacing w:line="360" w:lineRule="auto"/>
        <w:ind w:firstLine="420" w:firstLineChars="200"/>
        <w:jc w:val="left"/>
        <w:rPr>
          <w:rFonts w:ascii="仿宋" w:hAnsi="仿宋" w:eastAsia="仿宋" w:cs="仿宋"/>
          <w:color w:val="auto"/>
          <w:szCs w:val="21"/>
          <w:highlight w:val="none"/>
        </w:rPr>
      </w:pPr>
    </w:p>
    <w:p>
      <w:pPr>
        <w:pStyle w:val="2"/>
        <w:shd w:val="clear"/>
        <w:rPr>
          <w:rFonts w:ascii="仿宋" w:hAnsi="仿宋" w:eastAsia="仿宋" w:cs="仿宋"/>
          <w:color w:val="auto"/>
          <w:sz w:val="21"/>
          <w:szCs w:val="21"/>
          <w:highlight w:val="none"/>
        </w:rPr>
      </w:pPr>
    </w:p>
    <w:p>
      <w:pPr>
        <w:shd w:val="clear"/>
        <w:spacing w:line="360" w:lineRule="auto"/>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说明：</w:t>
      </w:r>
    </w:p>
    <w:p>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ascii="仿宋" w:hAnsi="仿宋" w:eastAsia="仿宋" w:cs="仿宋"/>
          <w:b w:val="0"/>
          <w:bCs w:val="0"/>
          <w:color w:val="auto"/>
          <w:szCs w:val="21"/>
          <w:highlight w:val="none"/>
        </w:rPr>
      </w:pPr>
      <w:r>
        <w:rPr>
          <w:rFonts w:hint="eastAsia" w:ascii="仿宋" w:hAnsi="仿宋" w:eastAsia="仿宋" w:cs="仿宋"/>
          <w:b w:val="0"/>
          <w:bCs w:val="0"/>
          <w:color w:val="auto"/>
          <w:szCs w:val="21"/>
          <w:highlight w:val="none"/>
        </w:rPr>
        <w:t>（1）如果供应商不满足中小企业的认定标准，则不需要提供《中小企业声明函》。否则，因此导致虚假响应的后果由供应商自行承担。</w:t>
      </w:r>
    </w:p>
    <w:p>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ascii="仿宋" w:hAnsi="仿宋" w:eastAsia="仿宋" w:cs="仿宋"/>
          <w:b w:val="0"/>
          <w:bCs w:val="0"/>
          <w:color w:val="auto"/>
          <w:szCs w:val="21"/>
          <w:highlight w:val="none"/>
        </w:rPr>
      </w:pPr>
      <w:r>
        <w:rPr>
          <w:rFonts w:hint="eastAsia" w:ascii="仿宋" w:hAnsi="仿宋" w:eastAsia="仿宋" w:cs="仿宋"/>
          <w:b w:val="0"/>
          <w:bCs w:val="0"/>
          <w:color w:val="auto"/>
          <w:szCs w:val="21"/>
          <w:highlight w:val="none"/>
        </w:rPr>
        <w:t>（2）从业人员、营业收入、资产总额填报上一年度数据，无上一年度数据的新成立企业可不填报。</w:t>
      </w:r>
    </w:p>
    <w:p>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ascii="仿宋" w:hAnsi="仿宋" w:eastAsia="仿宋" w:cs="仿宋"/>
          <w:color w:val="auto"/>
          <w:szCs w:val="21"/>
          <w:highlight w:val="none"/>
        </w:rPr>
      </w:pPr>
      <w:r>
        <w:rPr>
          <w:rFonts w:hint="eastAsia" w:ascii="仿宋" w:hAnsi="仿宋" w:eastAsia="仿宋" w:cs="仿宋"/>
          <w:b w:val="0"/>
          <w:bCs w:val="0"/>
          <w:color w:val="auto"/>
          <w:szCs w:val="21"/>
          <w:highlight w:val="none"/>
        </w:rPr>
        <w:t>（3）</w:t>
      </w:r>
      <w:r>
        <w:rPr>
          <w:rFonts w:hint="eastAsia" w:ascii="仿宋" w:hAnsi="仿宋" w:eastAsia="仿宋" w:cs="仿宋"/>
          <w:b w:val="0"/>
          <w:bCs w:val="0"/>
          <w:color w:val="auto"/>
          <w:kern w:val="0"/>
          <w:szCs w:val="21"/>
          <w:highlight w:val="none"/>
        </w:rPr>
        <w:t>监狱企业视同小型、微型企业，需提供省级及以上监狱管理局、戒毒管理局（含新疆生产建设兵团）出具的属于监狱企业的证明文件</w:t>
      </w:r>
      <w:r>
        <w:rPr>
          <w:rFonts w:hint="eastAsia" w:ascii="仿宋" w:hAnsi="仿宋" w:eastAsia="仿宋" w:cs="仿宋"/>
          <w:b w:val="0"/>
          <w:bCs w:val="0"/>
          <w:color w:val="auto"/>
          <w:szCs w:val="21"/>
          <w:highlight w:val="none"/>
        </w:rPr>
        <w:t>。</w:t>
      </w:r>
    </w:p>
    <w:p>
      <w:pPr>
        <w:shd w:val="clear"/>
        <w:rPr>
          <w:rFonts w:ascii="仿宋" w:hAnsi="仿宋" w:eastAsia="仿宋" w:cs="仿宋"/>
          <w:color w:val="auto"/>
          <w:szCs w:val="21"/>
          <w:highlight w:val="none"/>
        </w:rPr>
      </w:pPr>
      <w:r>
        <w:rPr>
          <w:rFonts w:hint="eastAsia" w:ascii="仿宋" w:hAnsi="仿宋" w:eastAsia="仿宋" w:cs="仿宋"/>
          <w:color w:val="auto"/>
          <w:szCs w:val="21"/>
          <w:highlight w:val="none"/>
        </w:rPr>
        <w:br w:type="page"/>
      </w:r>
    </w:p>
    <w:p>
      <w:pPr>
        <w:shd w:val="clear"/>
        <w:rPr>
          <w:rFonts w:ascii="仿宋" w:hAnsi="仿宋" w:eastAsia="仿宋" w:cs="仿宋"/>
          <w:color w:val="auto"/>
          <w:highlight w:val="none"/>
        </w:rPr>
      </w:pPr>
    </w:p>
    <w:p>
      <w:pPr>
        <w:pStyle w:val="6"/>
        <w:shd w:val="clear"/>
        <w:jc w:val="center"/>
        <w:rPr>
          <w:rFonts w:ascii="仿宋" w:hAnsi="仿宋" w:eastAsia="仿宋" w:cs="仿宋"/>
          <w:color w:val="auto"/>
          <w:sz w:val="28"/>
          <w:szCs w:val="28"/>
          <w:highlight w:val="none"/>
        </w:rPr>
      </w:pPr>
      <w:bookmarkStart w:id="637" w:name="_Toc21364"/>
      <w:r>
        <w:rPr>
          <w:rFonts w:hint="eastAsia" w:ascii="仿宋" w:hAnsi="仿宋" w:eastAsia="仿宋" w:cs="仿宋"/>
          <w:color w:val="auto"/>
          <w:sz w:val="28"/>
          <w:szCs w:val="28"/>
          <w:highlight w:val="none"/>
        </w:rPr>
        <w:t>（四）残疾人福利性单位声明函（如有）</w:t>
      </w:r>
      <w:bookmarkEnd w:id="637"/>
    </w:p>
    <w:bookmarkEnd w:id="635"/>
    <w:bookmarkEnd w:id="636"/>
    <w:p>
      <w:pPr>
        <w:shd w:val="clear"/>
        <w:spacing w:line="360" w:lineRule="auto"/>
        <w:rPr>
          <w:rFonts w:ascii="仿宋" w:hAnsi="仿宋" w:eastAsia="仿宋" w:cs="仿宋"/>
          <w:b/>
          <w:color w:val="auto"/>
          <w:spacing w:val="6"/>
          <w:szCs w:val="21"/>
          <w:highlight w:val="none"/>
        </w:rPr>
      </w:pPr>
    </w:p>
    <w:p>
      <w:pPr>
        <w:shd w:val="clear"/>
        <w:spacing w:line="360" w:lineRule="auto"/>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残疾人福利性单位声明函</w:t>
      </w:r>
    </w:p>
    <w:p>
      <w:pPr>
        <w:shd w:val="clear"/>
        <w:spacing w:line="360" w:lineRule="auto"/>
        <w:ind w:firstLine="630" w:firstLineChars="300"/>
        <w:rPr>
          <w:rFonts w:ascii="仿宋" w:hAnsi="仿宋" w:eastAsia="仿宋" w:cs="仿宋"/>
          <w:color w:val="auto"/>
          <w:szCs w:val="21"/>
          <w:highlight w:val="none"/>
        </w:rPr>
      </w:pPr>
      <w:r>
        <w:rPr>
          <w:rFonts w:hint="eastAsia" w:ascii="仿宋" w:hAnsi="仿宋" w:eastAsia="仿宋" w:cs="仿宋"/>
          <w:color w:val="auto"/>
          <w:szCs w:val="21"/>
          <w:highlight w:val="none"/>
        </w:rPr>
        <w:t>本单位郑重声明，根据《财政部 民政部 中国残疾人联合会关于促进残疾人就业政府采购政策的通知》（财库〔2017〕141号）的规定，本单位为符合条件的残疾人福利性单位，且本单位参加单位的 项目采购活动提供本单位制造的货物（由本单位承担工程/提供服务），或者提供其他残疾人福利性单位制造的货物（不包括使用非残疾人福利性单位注册商标的货物）。</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本单位对上述声明的真实性负责。如有虚假，将依法承担相应责任。</w:t>
      </w:r>
    </w:p>
    <w:p>
      <w:pPr>
        <w:shd w:val="clear"/>
        <w:spacing w:line="360" w:lineRule="auto"/>
        <w:jc w:val="right"/>
        <w:rPr>
          <w:rFonts w:ascii="仿宋" w:hAnsi="仿宋" w:eastAsia="仿宋" w:cs="仿宋"/>
          <w:color w:val="auto"/>
          <w:szCs w:val="21"/>
          <w:highlight w:val="none"/>
        </w:rPr>
      </w:pPr>
    </w:p>
    <w:p>
      <w:pPr>
        <w:shd w:val="clear"/>
        <w:spacing w:line="360" w:lineRule="auto"/>
        <w:ind w:right="210" w:firstLine="5460" w:firstLineChars="2600"/>
        <w:rPr>
          <w:rFonts w:ascii="仿宋" w:hAnsi="仿宋" w:eastAsia="仿宋" w:cs="仿宋"/>
          <w:color w:val="auto"/>
          <w:szCs w:val="21"/>
          <w:highlight w:val="none"/>
        </w:rPr>
      </w:pPr>
      <w:r>
        <w:rPr>
          <w:rFonts w:hint="eastAsia" w:ascii="仿宋" w:hAnsi="仿宋" w:eastAsia="仿宋" w:cs="仿宋"/>
          <w:color w:val="auto"/>
          <w:szCs w:val="21"/>
          <w:highlight w:val="none"/>
        </w:rPr>
        <w:t>单位名称（公章）：</w:t>
      </w:r>
    </w:p>
    <w:p>
      <w:pPr>
        <w:shd w:val="clear"/>
        <w:spacing w:line="360" w:lineRule="auto"/>
        <w:ind w:firstLine="5460" w:firstLineChars="2600"/>
        <w:rPr>
          <w:rFonts w:ascii="仿宋" w:hAnsi="仿宋" w:eastAsia="仿宋" w:cs="仿宋"/>
          <w:color w:val="auto"/>
          <w:szCs w:val="21"/>
          <w:highlight w:val="none"/>
        </w:rPr>
      </w:pPr>
      <w:r>
        <w:rPr>
          <w:rFonts w:hint="eastAsia" w:ascii="仿宋" w:hAnsi="仿宋" w:eastAsia="仿宋" w:cs="仿宋"/>
          <w:color w:val="auto"/>
          <w:szCs w:val="21"/>
          <w:highlight w:val="none"/>
        </w:rPr>
        <w:t>日  期：</w:t>
      </w:r>
      <w:bookmarkStart w:id="638" w:name="_Toc17210008"/>
    </w:p>
    <w:p>
      <w:pPr>
        <w:shd w:val="clea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说明：</w:t>
      </w:r>
    </w:p>
    <w:p>
      <w:pPr>
        <w:shd w:val="clea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《财政部 民政部 中国残疾人联合会关于促进残疾人就业政府采购政策的通知》（财库（2017〔141〕号）的规定：</w:t>
      </w:r>
      <w:bookmarkEnd w:id="638"/>
    </w:p>
    <w:p>
      <w:pPr>
        <w:shd w:val="clear"/>
        <w:spacing w:line="360" w:lineRule="auto"/>
        <w:ind w:firstLine="420" w:firstLineChars="200"/>
        <w:rPr>
          <w:rFonts w:ascii="仿宋" w:hAnsi="仿宋" w:eastAsia="仿宋" w:cs="仿宋"/>
          <w:color w:val="auto"/>
          <w:szCs w:val="21"/>
          <w:highlight w:val="none"/>
        </w:rPr>
      </w:pPr>
      <w:bookmarkStart w:id="639" w:name="_Toc17210009"/>
      <w:r>
        <w:rPr>
          <w:rFonts w:hint="eastAsia" w:ascii="仿宋" w:hAnsi="仿宋" w:eastAsia="仿宋" w:cs="仿宋"/>
          <w:color w:val="auto"/>
          <w:szCs w:val="21"/>
          <w:highlight w:val="none"/>
        </w:rPr>
        <w:t>一、享受政府采购支持政策的残疾人福利性单位应当同时满足以下条件：</w:t>
      </w:r>
      <w:bookmarkEnd w:id="639"/>
    </w:p>
    <w:p>
      <w:pPr>
        <w:shd w:val="clear"/>
        <w:spacing w:line="360" w:lineRule="auto"/>
        <w:ind w:firstLine="420" w:firstLineChars="200"/>
        <w:rPr>
          <w:rFonts w:ascii="仿宋" w:hAnsi="仿宋" w:eastAsia="仿宋" w:cs="仿宋"/>
          <w:color w:val="auto"/>
          <w:szCs w:val="21"/>
          <w:highlight w:val="none"/>
        </w:rPr>
      </w:pPr>
      <w:bookmarkStart w:id="640" w:name="_Toc17210010"/>
      <w:r>
        <w:rPr>
          <w:rFonts w:hint="eastAsia" w:ascii="仿宋" w:hAnsi="仿宋" w:eastAsia="仿宋" w:cs="仿宋"/>
          <w:color w:val="auto"/>
          <w:szCs w:val="21"/>
          <w:highlight w:val="none"/>
        </w:rPr>
        <w:t>（一）安置的残疾人占本单位在职职工人数的比例不低于25%（含25%），并且安置的残疾人人数不少于10人（含10人）；</w:t>
      </w:r>
      <w:bookmarkEnd w:id="640"/>
    </w:p>
    <w:p>
      <w:pPr>
        <w:shd w:val="clear"/>
        <w:spacing w:line="360" w:lineRule="auto"/>
        <w:ind w:firstLine="420" w:firstLineChars="200"/>
        <w:rPr>
          <w:rFonts w:ascii="仿宋" w:hAnsi="仿宋" w:eastAsia="仿宋" w:cs="仿宋"/>
          <w:color w:val="auto"/>
          <w:szCs w:val="21"/>
          <w:highlight w:val="none"/>
        </w:rPr>
      </w:pPr>
      <w:bookmarkStart w:id="641" w:name="_Toc17210011"/>
      <w:r>
        <w:rPr>
          <w:rFonts w:hint="eastAsia" w:ascii="仿宋" w:hAnsi="仿宋" w:eastAsia="仿宋" w:cs="仿宋"/>
          <w:color w:val="auto"/>
          <w:szCs w:val="21"/>
          <w:highlight w:val="none"/>
        </w:rPr>
        <w:t>（二）依法与安置的每位残疾人签订了一年以上（含一年）的劳动合同或服务协议；</w:t>
      </w:r>
      <w:bookmarkEnd w:id="641"/>
    </w:p>
    <w:p>
      <w:pPr>
        <w:shd w:val="clear"/>
        <w:spacing w:line="360" w:lineRule="auto"/>
        <w:ind w:firstLine="420" w:firstLineChars="200"/>
        <w:rPr>
          <w:rFonts w:ascii="仿宋" w:hAnsi="仿宋" w:eastAsia="仿宋" w:cs="仿宋"/>
          <w:color w:val="auto"/>
          <w:szCs w:val="21"/>
          <w:highlight w:val="none"/>
        </w:rPr>
      </w:pPr>
      <w:bookmarkStart w:id="642" w:name="_Toc17210012"/>
      <w:r>
        <w:rPr>
          <w:rFonts w:hint="eastAsia" w:ascii="仿宋" w:hAnsi="仿宋" w:eastAsia="仿宋" w:cs="仿宋"/>
          <w:color w:val="auto"/>
          <w:szCs w:val="21"/>
          <w:highlight w:val="none"/>
        </w:rPr>
        <w:t>（三）为安置的每位残疾人按月足额缴纳了基本养老保险、基本医疗保险、失业保险、工伤保险和生育保险等社会保险费；</w:t>
      </w:r>
      <w:bookmarkEnd w:id="642"/>
    </w:p>
    <w:p>
      <w:pPr>
        <w:shd w:val="clear"/>
        <w:spacing w:line="360" w:lineRule="auto"/>
        <w:ind w:firstLine="420" w:firstLineChars="200"/>
        <w:rPr>
          <w:rFonts w:ascii="仿宋" w:hAnsi="仿宋" w:eastAsia="仿宋" w:cs="仿宋"/>
          <w:color w:val="auto"/>
          <w:szCs w:val="21"/>
          <w:highlight w:val="none"/>
        </w:rPr>
      </w:pPr>
      <w:bookmarkStart w:id="643" w:name="_Toc17210013"/>
      <w:r>
        <w:rPr>
          <w:rFonts w:hint="eastAsia" w:ascii="仿宋" w:hAnsi="仿宋" w:eastAsia="仿宋" w:cs="仿宋"/>
          <w:color w:val="auto"/>
          <w:szCs w:val="21"/>
          <w:highlight w:val="none"/>
        </w:rPr>
        <w:t>（四）通过银行等金融机构向安置的每位残疾人，按月支付了不低于单位所在区县适用的经省级人民政府批准的月最低工资标准的工资；</w:t>
      </w:r>
      <w:bookmarkEnd w:id="643"/>
    </w:p>
    <w:p>
      <w:pPr>
        <w:shd w:val="clear"/>
        <w:spacing w:line="360" w:lineRule="auto"/>
        <w:ind w:firstLine="420" w:firstLineChars="200"/>
        <w:rPr>
          <w:rFonts w:ascii="仿宋" w:hAnsi="仿宋" w:eastAsia="仿宋" w:cs="仿宋"/>
          <w:color w:val="auto"/>
          <w:szCs w:val="21"/>
          <w:highlight w:val="none"/>
        </w:rPr>
      </w:pPr>
      <w:bookmarkStart w:id="644" w:name="_Toc17210014"/>
      <w:r>
        <w:rPr>
          <w:rFonts w:hint="eastAsia" w:ascii="仿宋" w:hAnsi="仿宋" w:eastAsia="仿宋" w:cs="仿宋"/>
          <w:color w:val="auto"/>
          <w:szCs w:val="21"/>
          <w:highlight w:val="none"/>
        </w:rPr>
        <w:t>（五）提供本单位制造的货物、承担的工程或者服务（以下简称产品），或者提供其他残疾人福利性单位制造的货物（不包括使用非残疾人福利性单位注册商标的货物）。</w:t>
      </w:r>
      <w:bookmarkEnd w:id="644"/>
    </w:p>
    <w:p>
      <w:pPr>
        <w:shd w:val="clear"/>
        <w:spacing w:line="360" w:lineRule="auto"/>
        <w:ind w:firstLine="422" w:firstLineChars="200"/>
        <w:rPr>
          <w:rFonts w:ascii="仿宋" w:hAnsi="仿宋" w:eastAsia="仿宋" w:cs="仿宋"/>
          <w:b/>
          <w:color w:val="auto"/>
          <w:szCs w:val="21"/>
          <w:highlight w:val="none"/>
        </w:rPr>
      </w:pPr>
      <w:r>
        <w:rPr>
          <w:rFonts w:hint="eastAsia" w:ascii="仿宋" w:hAnsi="仿宋" w:eastAsia="仿宋" w:cs="仿宋"/>
          <w:b/>
          <w:color w:val="auto"/>
          <w:kern w:val="0"/>
          <w:szCs w:val="21"/>
          <w:highlight w:val="none"/>
        </w:rPr>
        <w:t>注意：如果供应商不是残疾人福利性单位，则不需要提供《残疾人福利性单位声明函》。否则，因此导致虚假响应的后果由供应商自行承担。</w:t>
      </w:r>
    </w:p>
    <w:p>
      <w:pPr>
        <w:shd w:val="clear"/>
        <w:rPr>
          <w:rFonts w:ascii="仿宋" w:hAnsi="仿宋" w:eastAsia="仿宋" w:cs="仿宋"/>
          <w:b/>
          <w:color w:val="auto"/>
          <w:sz w:val="24"/>
          <w:highlight w:val="none"/>
        </w:rPr>
      </w:pPr>
      <w:r>
        <w:rPr>
          <w:rFonts w:hint="eastAsia" w:ascii="仿宋" w:hAnsi="仿宋" w:eastAsia="仿宋" w:cs="仿宋"/>
          <w:b/>
          <w:color w:val="auto"/>
          <w:sz w:val="24"/>
          <w:highlight w:val="none"/>
        </w:rPr>
        <w:br w:type="page"/>
      </w:r>
    </w:p>
    <w:p>
      <w:pPr>
        <w:shd w:val="clear"/>
        <w:spacing w:line="360" w:lineRule="auto"/>
        <w:rPr>
          <w:rFonts w:ascii="仿宋" w:hAnsi="仿宋" w:eastAsia="仿宋" w:cs="仿宋"/>
          <w:color w:val="auto"/>
          <w:highlight w:val="none"/>
        </w:rPr>
      </w:pPr>
    </w:p>
    <w:p>
      <w:pPr>
        <w:pStyle w:val="6"/>
        <w:shd w:val="clear"/>
        <w:jc w:val="center"/>
        <w:rPr>
          <w:rFonts w:ascii="仿宋" w:hAnsi="仿宋" w:eastAsia="仿宋" w:cs="仿宋"/>
          <w:color w:val="auto"/>
          <w:sz w:val="28"/>
          <w:szCs w:val="28"/>
          <w:highlight w:val="none"/>
        </w:rPr>
      </w:pPr>
      <w:bookmarkStart w:id="645" w:name="_Toc9380"/>
      <w:r>
        <w:rPr>
          <w:rFonts w:hint="eastAsia" w:ascii="仿宋" w:hAnsi="仿宋" w:eastAsia="仿宋" w:cs="仿宋"/>
          <w:color w:val="auto"/>
          <w:sz w:val="28"/>
          <w:szCs w:val="28"/>
          <w:highlight w:val="none"/>
        </w:rPr>
        <w:t>（五）监狱企业证明材料（如有）</w:t>
      </w:r>
      <w:bookmarkEnd w:id="645"/>
    </w:p>
    <w:p>
      <w:pPr>
        <w:shd w:val="clear"/>
        <w:spacing w:line="360" w:lineRule="auto"/>
        <w:ind w:firstLine="420" w:firstLineChars="200"/>
        <w:rPr>
          <w:rFonts w:ascii="仿宋" w:hAnsi="仿宋" w:eastAsia="仿宋" w:cs="仿宋"/>
          <w:color w:val="auto"/>
          <w:highlight w:val="none"/>
        </w:rPr>
      </w:pPr>
      <w:r>
        <w:rPr>
          <w:rFonts w:hint="eastAsia" w:ascii="仿宋" w:hAnsi="仿宋" w:eastAsia="仿宋" w:cs="仿宋"/>
          <w:color w:val="auto"/>
          <w:highlight w:val="none"/>
          <w:lang w:val="en-GB"/>
        </w:rPr>
        <w:t>监狱企业参加政府采购活动时，应当提供由省级以上监狱管理局、戒毒管理局（含新疆生产建设兵团）出具的属于监狱企业的证明文件。</w:t>
      </w:r>
    </w:p>
    <w:sectPr>
      <w:headerReference r:id="rId9" w:type="default"/>
      <w:footerReference r:id="rId10" w:type="default"/>
      <w:pgSz w:w="11906" w:h="16838"/>
      <w:pgMar w:top="1417" w:right="1417" w:bottom="1417" w:left="1417" w:header="777" w:footer="64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top w:val="single" w:color="auto" w:sz="4" w:space="0"/>
      </w:pBd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9"/>
                          </w:pPr>
                          <w:r>
                            <w:fldChar w:fldCharType="begin"/>
                          </w:r>
                          <w:r>
                            <w:instrText xml:space="preserve"> PAGE  \* MERGEFORMAT </w:instrText>
                          </w:r>
                          <w: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Si84BAACnAwAADgAAAGRycy9lMm9Eb2MueG1srVPNjtMwEL4j8Q6W&#10;7zRptU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Pv5kovOAQAApwMAAA4AAAAAAAAAAQAgAAAAHgEAAGRycy9l&#10;Mm9Eb2MueG1sUEsFBgAAAAAGAAYAWQEAAF4FAAAAAA==&#10;">
              <v:fill on="f" focussize="0,0"/>
              <v:stroke on="f"/>
              <v:imagedata o:title=""/>
              <o:lock v:ext="edit" aspectratio="f"/>
              <v:textbox inset="0mm,0mm,0mm,0mm" style="mso-fit-shape-to-text:t;">
                <w:txbxContent>
                  <w:p>
                    <w:pPr>
                      <w:pStyle w:val="19"/>
                    </w:pPr>
                    <w:r>
                      <w:fldChar w:fldCharType="begin"/>
                    </w:r>
                    <w:r>
                      <w:instrText xml:space="preserve"> PAGE  \* MERGEFORMAT </w:instrText>
                    </w:r>
                    <w:r>
                      <w:fldChar w:fldCharType="separate"/>
                    </w:r>
                    <w:r>
                      <w:rPr>
                        <w:rFonts w:hint="eastAsia"/>
                      </w:rPr>
                      <w:t>1</w:t>
                    </w:r>
                    <w:r>
                      <w:rPr>
                        <w:rFonts w:hint="eastAsia"/>
                      </w:rPr>
                      <w:fldChar w:fldCharType="end"/>
                    </w:r>
                  </w:p>
                </w:txbxContent>
              </v:textbox>
            </v:shape>
          </w:pict>
        </mc:Fallback>
      </mc:AlternateContent>
    </w:r>
    <w:r>
      <w:rPr>
        <w:rFonts w:hint="eastAsia"/>
      </w:rPr>
      <w:drawing>
        <wp:anchor distT="0" distB="0" distL="114300" distR="114300" simplePos="0" relativeHeight="251659264" behindDoc="0" locked="0" layoutInCell="1" allowOverlap="1">
          <wp:simplePos x="0" y="0"/>
          <wp:positionH relativeFrom="column">
            <wp:posOffset>-368300</wp:posOffset>
          </wp:positionH>
          <wp:positionV relativeFrom="paragraph">
            <wp:posOffset>-44450</wp:posOffset>
          </wp:positionV>
          <wp:extent cx="339725" cy="254635"/>
          <wp:effectExtent l="0" t="0" r="3175" b="12065"/>
          <wp:wrapNone/>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icPr>
                <pic:blipFill>
                  <a:blip r:embed="rId1" r:link="rId2"/>
                  <a:stretch>
                    <a:fillRect/>
                  </a:stretch>
                </pic:blipFill>
                <pic:spPr>
                  <a:xfrm>
                    <a:off x="0" y="0"/>
                    <a:ext cx="339725" cy="254635"/>
                  </a:xfrm>
                  <a:prstGeom prst="rect">
                    <a:avLst/>
                  </a:prstGeom>
                  <a:noFill/>
                  <a:ln>
                    <a:noFill/>
                  </a:ln>
                </pic:spPr>
              </pic:pic>
            </a:graphicData>
          </a:graphic>
        </wp:anchor>
      </w:drawing>
    </w:r>
    <w:r>
      <w:rPr>
        <w:rStyle w:val="32"/>
        <w:rFonts w:hint="eastAsia"/>
      </w:rPr>
      <w:t>河南瑞珂工程管理有限公司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9"/>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jc w:val="right"/>
    </w:pPr>
    <w:r>
      <w:rPr>
        <w:rFonts w:hint="eastAsia"/>
        <w:sz w:val="18"/>
        <w:szCs w:val="18"/>
      </w:rPr>
      <w:t xml:space="preserve">    ××项目征集文件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B5857E"/>
    <w:multiLevelType w:val="singleLevel"/>
    <w:tmpl w:val="98B5857E"/>
    <w:lvl w:ilvl="0" w:tentative="0">
      <w:start w:val="1"/>
      <w:numFmt w:val="decimal"/>
      <w:suff w:val="nothing"/>
      <w:lvlText w:val="%1、"/>
      <w:lvlJc w:val="left"/>
      <w:rPr>
        <w:rFonts w:hint="default" w:ascii="宋体" w:hAnsi="宋体" w:eastAsia="宋体" w:cs="宋体"/>
        <w:sz w:val="21"/>
        <w:szCs w:val="21"/>
      </w:rPr>
    </w:lvl>
  </w:abstractNum>
  <w:abstractNum w:abstractNumId="1">
    <w:nsid w:val="9FC76817"/>
    <w:multiLevelType w:val="singleLevel"/>
    <w:tmpl w:val="9FC76817"/>
    <w:lvl w:ilvl="0" w:tentative="0">
      <w:start w:val="1"/>
      <w:numFmt w:val="chineseCounting"/>
      <w:suff w:val="nothing"/>
      <w:lvlText w:val="%1、"/>
      <w:lvlJc w:val="left"/>
      <w:pPr>
        <w:ind w:left="0" w:firstLine="420"/>
      </w:pPr>
      <w:rPr>
        <w:rFonts w:hint="eastAsia"/>
      </w:rPr>
    </w:lvl>
  </w:abstractNum>
  <w:abstractNum w:abstractNumId="2">
    <w:nsid w:val="A0647C4F"/>
    <w:multiLevelType w:val="multilevel"/>
    <w:tmpl w:val="A0647C4F"/>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A111A2F1"/>
    <w:multiLevelType w:val="singleLevel"/>
    <w:tmpl w:val="A111A2F1"/>
    <w:lvl w:ilvl="0" w:tentative="0">
      <w:start w:val="1"/>
      <w:numFmt w:val="decimal"/>
      <w:suff w:val="nothing"/>
      <w:lvlText w:val="%1、"/>
      <w:lvlJc w:val="left"/>
      <w:rPr>
        <w:rFonts w:hint="default" w:ascii="宋体" w:hAnsi="宋体" w:eastAsia="宋体" w:cs="宋体"/>
        <w:sz w:val="21"/>
        <w:szCs w:val="21"/>
      </w:rPr>
    </w:lvl>
  </w:abstractNum>
  <w:abstractNum w:abstractNumId="4">
    <w:nsid w:val="A2C959E2"/>
    <w:multiLevelType w:val="multilevel"/>
    <w:tmpl w:val="A2C959E2"/>
    <w:lvl w:ilvl="0" w:tentative="0">
      <w:start w:val="1"/>
      <w:numFmt w:val="decimal"/>
      <w:suff w:val="space"/>
      <w:lvlText w:val="%1."/>
      <w:lvlJc w:val="left"/>
    </w:lvl>
    <w:lvl w:ilvl="1" w:tentative="0">
      <w:start w:val="1"/>
      <w:numFmt w:val="decimal"/>
      <w:suff w:val="space"/>
      <w:lvlText w:val="%1.%2"/>
      <w:lvlJc w:val="left"/>
      <w:pPr>
        <w:ind w:left="0" w:firstLine="0"/>
      </w:pPr>
      <w:rPr>
        <w:rFonts w:hint="default" w:ascii="宋体" w:hAnsi="宋体" w:eastAsia="宋体" w:cs="宋体"/>
        <w:b/>
        <w:bCs/>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5">
    <w:nsid w:val="BB886446"/>
    <w:multiLevelType w:val="singleLevel"/>
    <w:tmpl w:val="BB886446"/>
    <w:lvl w:ilvl="0" w:tentative="0">
      <w:start w:val="1"/>
      <w:numFmt w:val="chineseCounting"/>
      <w:suff w:val="nothing"/>
      <w:lvlText w:val="%1、"/>
      <w:lvlJc w:val="left"/>
      <w:rPr>
        <w:rFonts w:hint="eastAsia"/>
      </w:rPr>
    </w:lvl>
  </w:abstractNum>
  <w:abstractNum w:abstractNumId="6">
    <w:nsid w:val="CB467A39"/>
    <w:multiLevelType w:val="multilevel"/>
    <w:tmpl w:val="CB467A39"/>
    <w:lvl w:ilvl="0" w:tentative="0">
      <w:start w:val="1"/>
      <w:numFmt w:val="decimal"/>
      <w:suff w:val="space"/>
      <w:lvlText w:val="%1."/>
      <w:lvlJc w:val="left"/>
    </w:lvl>
    <w:lvl w:ilvl="1" w:tentative="0">
      <w:start w:val="1"/>
      <w:numFmt w:val="decimal"/>
      <w:suff w:val="space"/>
      <w:lvlText w:val="%1.%2"/>
      <w:lvlJc w:val="left"/>
      <w:pPr>
        <w:ind w:left="0" w:firstLine="0"/>
      </w:pPr>
      <w:rPr>
        <w:rFonts w:hint="default" w:ascii="宋体" w:hAnsi="宋体" w:eastAsia="宋体" w:cs="宋体"/>
        <w:b/>
        <w:bCs/>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7">
    <w:nsid w:val="F44DDB14"/>
    <w:multiLevelType w:val="singleLevel"/>
    <w:tmpl w:val="F44DDB14"/>
    <w:lvl w:ilvl="0" w:tentative="0">
      <w:start w:val="1"/>
      <w:numFmt w:val="decimal"/>
      <w:suff w:val="nothing"/>
      <w:lvlText w:val="%1、"/>
      <w:lvlJc w:val="left"/>
      <w:rPr>
        <w:rFonts w:hint="default" w:ascii="宋体" w:hAnsi="宋体" w:eastAsia="宋体" w:cs="宋体"/>
        <w:sz w:val="21"/>
        <w:szCs w:val="21"/>
      </w:rPr>
    </w:lvl>
  </w:abstractNum>
  <w:abstractNum w:abstractNumId="8">
    <w:nsid w:val="0583F1C0"/>
    <w:multiLevelType w:val="singleLevel"/>
    <w:tmpl w:val="0583F1C0"/>
    <w:lvl w:ilvl="0" w:tentative="0">
      <w:start w:val="1"/>
      <w:numFmt w:val="decimal"/>
      <w:suff w:val="nothing"/>
      <w:lvlText w:val="%1、"/>
      <w:lvlJc w:val="left"/>
      <w:rPr>
        <w:rFonts w:hint="default" w:ascii="宋体" w:hAnsi="宋体" w:eastAsia="宋体" w:cs="宋体"/>
      </w:rPr>
    </w:lvl>
  </w:abstractNum>
  <w:abstractNum w:abstractNumId="9">
    <w:nsid w:val="075AEE9D"/>
    <w:multiLevelType w:val="singleLevel"/>
    <w:tmpl w:val="075AEE9D"/>
    <w:lvl w:ilvl="0" w:tentative="0">
      <w:start w:val="1"/>
      <w:numFmt w:val="decimal"/>
      <w:suff w:val="nothing"/>
      <w:lvlText w:val="%1、"/>
      <w:lvlJc w:val="left"/>
      <w:rPr>
        <w:rFonts w:hint="default" w:ascii="宋体" w:hAnsi="宋体" w:eastAsia="宋体" w:cs="宋体"/>
        <w:sz w:val="21"/>
        <w:szCs w:val="21"/>
      </w:rPr>
    </w:lvl>
  </w:abstractNum>
  <w:abstractNum w:abstractNumId="10">
    <w:nsid w:val="1301BF32"/>
    <w:multiLevelType w:val="singleLevel"/>
    <w:tmpl w:val="1301BF32"/>
    <w:lvl w:ilvl="0" w:tentative="0">
      <w:start w:val="1"/>
      <w:numFmt w:val="decimal"/>
      <w:suff w:val="nothing"/>
      <w:lvlText w:val="%1、"/>
      <w:lvlJc w:val="left"/>
      <w:rPr>
        <w:rFonts w:hint="default" w:ascii="宋体" w:hAnsi="宋体" w:eastAsia="宋体" w:cs="宋体"/>
        <w:sz w:val="21"/>
        <w:szCs w:val="21"/>
      </w:rPr>
    </w:lvl>
  </w:abstractNum>
  <w:abstractNum w:abstractNumId="11">
    <w:nsid w:val="281E951A"/>
    <w:multiLevelType w:val="singleLevel"/>
    <w:tmpl w:val="281E951A"/>
    <w:lvl w:ilvl="0" w:tentative="0">
      <w:start w:val="4"/>
      <w:numFmt w:val="chineseCounting"/>
      <w:suff w:val="nothing"/>
      <w:lvlText w:val="%1、"/>
      <w:lvlJc w:val="left"/>
      <w:rPr>
        <w:rFonts w:hint="eastAsia" w:ascii="宋体" w:hAnsi="宋体" w:eastAsia="宋体" w:cs="宋体"/>
        <w:color w:val="auto"/>
        <w:sz w:val="21"/>
        <w:szCs w:val="21"/>
      </w:rPr>
    </w:lvl>
  </w:abstractNum>
  <w:abstractNum w:abstractNumId="12">
    <w:nsid w:val="3F706843"/>
    <w:multiLevelType w:val="singleLevel"/>
    <w:tmpl w:val="3F706843"/>
    <w:lvl w:ilvl="0" w:tentative="0">
      <w:start w:val="1"/>
      <w:numFmt w:val="decimal"/>
      <w:suff w:val="nothing"/>
      <w:lvlText w:val="%1、"/>
      <w:lvlJc w:val="left"/>
      <w:rPr>
        <w:rFonts w:hint="default" w:ascii="宋体" w:hAnsi="宋体" w:eastAsia="宋体" w:cs="宋体"/>
        <w:sz w:val="21"/>
        <w:szCs w:val="21"/>
      </w:rPr>
    </w:lvl>
  </w:abstractNum>
  <w:abstractNum w:abstractNumId="13">
    <w:nsid w:val="4C7E4318"/>
    <w:multiLevelType w:val="multilevel"/>
    <w:tmpl w:val="4C7E4318"/>
    <w:lvl w:ilvl="0" w:tentative="0">
      <w:start w:val="1"/>
      <w:numFmt w:val="japaneseCounting"/>
      <w:lvlText w:val="第%1章"/>
      <w:lvlJc w:val="left"/>
      <w:pPr>
        <w:tabs>
          <w:tab w:val="left" w:pos="1980"/>
        </w:tabs>
        <w:ind w:left="1980" w:hanging="1260"/>
      </w:pPr>
      <w:rPr>
        <w:rFonts w:hint="eastAsia"/>
      </w:rPr>
    </w:lvl>
    <w:lvl w:ilvl="1" w:tentative="0">
      <w:start w:val="1"/>
      <w:numFmt w:val="decimal"/>
      <w:lvlText w:val="(%2)"/>
      <w:lvlJc w:val="left"/>
      <w:pPr>
        <w:tabs>
          <w:tab w:val="left" w:pos="1500"/>
        </w:tabs>
        <w:ind w:left="1500" w:hanging="360"/>
      </w:pPr>
      <w:rPr>
        <w:rFonts w:hint="default"/>
      </w:rPr>
    </w:lvl>
    <w:lvl w:ilvl="2" w:tentative="0">
      <w:start w:val="1"/>
      <w:numFmt w:val="decimal"/>
      <w:lvlText w:val="%3)"/>
      <w:lvlJc w:val="left"/>
      <w:pPr>
        <w:tabs>
          <w:tab w:val="left" w:pos="1980"/>
        </w:tabs>
        <w:ind w:left="1980" w:hanging="420"/>
      </w:pPr>
      <w:rPr>
        <w:rFonts w:hint="eastAsia"/>
      </w:rPr>
    </w:lvl>
    <w:lvl w:ilvl="3" w:tentative="0">
      <w:start w:val="4"/>
      <w:numFmt w:val="japaneseCounting"/>
      <w:lvlText w:val="%4、"/>
      <w:lvlJc w:val="left"/>
      <w:pPr>
        <w:tabs>
          <w:tab w:val="left" w:pos="2700"/>
        </w:tabs>
        <w:ind w:left="2700" w:hanging="720"/>
      </w:pPr>
      <w:rPr>
        <w:rFonts w:hint="default"/>
      </w:rPr>
    </w:lvl>
    <w:lvl w:ilvl="4" w:tentative="0">
      <w:start w:val="1"/>
      <w:numFmt w:val="decimal"/>
      <w:lvlText w:val="%5）"/>
      <w:lvlJc w:val="left"/>
      <w:pPr>
        <w:tabs>
          <w:tab w:val="left" w:pos="3120"/>
        </w:tabs>
        <w:ind w:left="3120" w:hanging="720"/>
      </w:pPr>
      <w:rPr>
        <w:rFonts w:hint="default"/>
        <w:b w:val="0"/>
      </w:rPr>
    </w:lvl>
    <w:lvl w:ilvl="5" w:tentative="0">
      <w:start w:val="1"/>
      <w:numFmt w:val="lowerRoman"/>
      <w:lvlText w:val="%6."/>
      <w:lvlJc w:val="right"/>
      <w:pPr>
        <w:tabs>
          <w:tab w:val="left" w:pos="3240"/>
        </w:tabs>
        <w:ind w:left="3240" w:hanging="420"/>
      </w:pPr>
    </w:lvl>
    <w:lvl w:ilvl="6" w:tentative="0">
      <w:start w:val="1"/>
      <w:numFmt w:val="decimal"/>
      <w:lvlText w:val="%7."/>
      <w:lvlJc w:val="left"/>
      <w:pPr>
        <w:tabs>
          <w:tab w:val="left" w:pos="3660"/>
        </w:tabs>
        <w:ind w:left="3660" w:hanging="420"/>
      </w:pPr>
    </w:lvl>
    <w:lvl w:ilvl="7" w:tentative="0">
      <w:start w:val="1"/>
      <w:numFmt w:val="lowerLetter"/>
      <w:lvlText w:val="%8)"/>
      <w:lvlJc w:val="left"/>
      <w:pPr>
        <w:tabs>
          <w:tab w:val="left" w:pos="4080"/>
        </w:tabs>
        <w:ind w:left="4080" w:hanging="420"/>
      </w:pPr>
    </w:lvl>
    <w:lvl w:ilvl="8" w:tentative="0">
      <w:start w:val="1"/>
      <w:numFmt w:val="lowerRoman"/>
      <w:lvlText w:val="%9."/>
      <w:lvlJc w:val="right"/>
      <w:pPr>
        <w:tabs>
          <w:tab w:val="left" w:pos="4500"/>
        </w:tabs>
        <w:ind w:left="4500" w:hanging="420"/>
      </w:pPr>
    </w:lvl>
  </w:abstractNum>
  <w:abstractNum w:abstractNumId="14">
    <w:nsid w:val="51EB138D"/>
    <w:multiLevelType w:val="singleLevel"/>
    <w:tmpl w:val="51EB138D"/>
    <w:lvl w:ilvl="0" w:tentative="0">
      <w:start w:val="1"/>
      <w:numFmt w:val="decimal"/>
      <w:suff w:val="nothing"/>
      <w:lvlText w:val="%1、"/>
      <w:lvlJc w:val="left"/>
      <w:rPr>
        <w:rFonts w:hint="default" w:ascii="宋体" w:hAnsi="宋体" w:eastAsia="宋体" w:cs="宋体"/>
        <w:sz w:val="21"/>
        <w:szCs w:val="21"/>
      </w:rPr>
    </w:lvl>
  </w:abstractNum>
  <w:abstractNum w:abstractNumId="15">
    <w:nsid w:val="56EE9CA3"/>
    <w:multiLevelType w:val="multilevel"/>
    <w:tmpl w:val="56EE9CA3"/>
    <w:lvl w:ilvl="0" w:tentative="0">
      <w:start w:val="1"/>
      <w:numFmt w:val="chineseCountingThousand"/>
      <w:lvlText w:val="(%1)"/>
      <w:lvlJc w:val="left"/>
      <w:pPr>
        <w:tabs>
          <w:tab w:val="left" w:pos="420"/>
        </w:tabs>
        <w:ind w:left="420" w:hanging="420"/>
      </w:pPr>
      <w:rPr>
        <w:rFonts w:hint="eastAsia"/>
      </w:rPr>
    </w:lvl>
    <w:lvl w:ilvl="1" w:tentative="0">
      <w:start w:val="1"/>
      <w:numFmt w:val="decimal"/>
      <w:pStyle w:val="5"/>
      <w:lvlText w:val="%2."/>
      <w:lvlJc w:val="left"/>
      <w:pPr>
        <w:tabs>
          <w:tab w:val="left" w:pos="567"/>
        </w:tabs>
        <w:ind w:left="567" w:hanging="147"/>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6">
    <w:nsid w:val="59CF4BD5"/>
    <w:multiLevelType w:val="multilevel"/>
    <w:tmpl w:val="59CF4BD5"/>
    <w:lvl w:ilvl="0" w:tentative="0">
      <w:start w:val="1"/>
      <w:numFmt w:val="chineseCountingThousand"/>
      <w:lvlText w:val="%1、"/>
      <w:lvlJc w:val="left"/>
      <w:pPr>
        <w:tabs>
          <w:tab w:val="left" w:pos="420"/>
        </w:tabs>
        <w:ind w:left="420" w:hanging="420"/>
      </w:pPr>
      <w:rPr>
        <w:rFonts w:hint="eastAsia" w:ascii="宋体" w:hAnsi="宋体" w:eastAsia="宋体" w:cs="宋体"/>
        <w:sz w:val="28"/>
        <w:szCs w:val="2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5D08314D"/>
    <w:multiLevelType w:val="singleLevel"/>
    <w:tmpl w:val="5D08314D"/>
    <w:lvl w:ilvl="0" w:tentative="0">
      <w:start w:val="1"/>
      <w:numFmt w:val="decimal"/>
      <w:suff w:val="nothing"/>
      <w:lvlText w:val="%1、"/>
      <w:lvlJc w:val="left"/>
      <w:rPr>
        <w:rFonts w:hint="default" w:ascii="宋体" w:hAnsi="宋体" w:eastAsia="宋体" w:cs="宋体"/>
        <w:sz w:val="21"/>
        <w:szCs w:val="21"/>
      </w:rPr>
    </w:lvl>
  </w:abstractNum>
  <w:abstractNum w:abstractNumId="18">
    <w:nsid w:val="636E47B0"/>
    <w:multiLevelType w:val="multilevel"/>
    <w:tmpl w:val="636E47B0"/>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65B5EC54"/>
    <w:multiLevelType w:val="singleLevel"/>
    <w:tmpl w:val="65B5EC54"/>
    <w:lvl w:ilvl="0" w:tentative="0">
      <w:start w:val="1"/>
      <w:numFmt w:val="decimal"/>
      <w:suff w:val="nothing"/>
      <w:lvlText w:val="%1、"/>
      <w:lvlJc w:val="left"/>
      <w:rPr>
        <w:rFonts w:hint="default" w:ascii="宋体" w:hAnsi="宋体" w:eastAsia="宋体" w:cs="宋体"/>
        <w:sz w:val="21"/>
        <w:szCs w:val="21"/>
      </w:rPr>
    </w:lvl>
  </w:abstractNum>
  <w:abstractNum w:abstractNumId="20">
    <w:nsid w:val="67162E11"/>
    <w:multiLevelType w:val="singleLevel"/>
    <w:tmpl w:val="67162E11"/>
    <w:lvl w:ilvl="0" w:tentative="0">
      <w:start w:val="1"/>
      <w:numFmt w:val="decimal"/>
      <w:suff w:val="nothing"/>
      <w:lvlText w:val="%1、"/>
      <w:lvlJc w:val="left"/>
      <w:rPr>
        <w:rFonts w:hint="default" w:ascii="宋体" w:hAnsi="宋体" w:eastAsia="宋体" w:cs="宋体"/>
        <w:sz w:val="21"/>
        <w:szCs w:val="21"/>
      </w:rPr>
    </w:lvl>
  </w:abstractNum>
  <w:abstractNum w:abstractNumId="21">
    <w:nsid w:val="781C1448"/>
    <w:multiLevelType w:val="singleLevel"/>
    <w:tmpl w:val="781C1448"/>
    <w:lvl w:ilvl="0" w:tentative="0">
      <w:start w:val="1"/>
      <w:numFmt w:val="decimal"/>
      <w:suff w:val="nothing"/>
      <w:lvlText w:val="%1、"/>
      <w:lvlJc w:val="left"/>
      <w:rPr>
        <w:rFonts w:hint="default" w:ascii="宋体" w:hAnsi="宋体" w:eastAsia="宋体" w:cs="宋体"/>
        <w:sz w:val="21"/>
        <w:szCs w:val="21"/>
      </w:rPr>
    </w:lvl>
  </w:abstractNum>
  <w:num w:numId="1">
    <w:abstractNumId w:val="15"/>
  </w:num>
  <w:num w:numId="2">
    <w:abstractNumId w:val="5"/>
  </w:num>
  <w:num w:numId="3">
    <w:abstractNumId w:val="4"/>
  </w:num>
  <w:num w:numId="4">
    <w:abstractNumId w:val="2"/>
  </w:num>
  <w:num w:numId="5">
    <w:abstractNumId w:val="13"/>
  </w:num>
  <w:num w:numId="6">
    <w:abstractNumId w:val="6"/>
  </w:num>
  <w:num w:numId="7">
    <w:abstractNumId w:val="7"/>
  </w:num>
  <w:num w:numId="8">
    <w:abstractNumId w:val="17"/>
  </w:num>
  <w:num w:numId="9">
    <w:abstractNumId w:val="19"/>
  </w:num>
  <w:num w:numId="10">
    <w:abstractNumId w:val="11"/>
  </w:num>
  <w:num w:numId="11">
    <w:abstractNumId w:val="0"/>
  </w:num>
  <w:num w:numId="12">
    <w:abstractNumId w:val="10"/>
  </w:num>
  <w:num w:numId="13">
    <w:abstractNumId w:val="8"/>
  </w:num>
  <w:num w:numId="14">
    <w:abstractNumId w:val="9"/>
  </w:num>
  <w:num w:numId="15">
    <w:abstractNumId w:val="3"/>
  </w:num>
  <w:num w:numId="16">
    <w:abstractNumId w:val="14"/>
  </w:num>
  <w:num w:numId="17">
    <w:abstractNumId w:val="20"/>
  </w:num>
  <w:num w:numId="18">
    <w:abstractNumId w:val="21"/>
  </w:num>
  <w:num w:numId="19">
    <w:abstractNumId w:val="12"/>
  </w:num>
  <w:num w:numId="20">
    <w:abstractNumId w:val="1"/>
  </w:num>
  <w:num w:numId="21">
    <w:abstractNumId w:val="16"/>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wOGM2ODZlY2YwM2NmMmJkZWJmYThlZDk2MTc3MzMifQ=="/>
  </w:docVars>
  <w:rsids>
    <w:rsidRoot w:val="27D6751A"/>
    <w:rsid w:val="00013ADF"/>
    <w:rsid w:val="001D61EC"/>
    <w:rsid w:val="00220284"/>
    <w:rsid w:val="002B02A8"/>
    <w:rsid w:val="002D4F22"/>
    <w:rsid w:val="00346688"/>
    <w:rsid w:val="00351CC1"/>
    <w:rsid w:val="003C28DE"/>
    <w:rsid w:val="00643BE3"/>
    <w:rsid w:val="00650AB3"/>
    <w:rsid w:val="006924F1"/>
    <w:rsid w:val="008077E0"/>
    <w:rsid w:val="008937F0"/>
    <w:rsid w:val="008A0D17"/>
    <w:rsid w:val="00932325"/>
    <w:rsid w:val="00951FEE"/>
    <w:rsid w:val="00A10993"/>
    <w:rsid w:val="00A77FFB"/>
    <w:rsid w:val="00B701B7"/>
    <w:rsid w:val="00BC76D9"/>
    <w:rsid w:val="00CE571D"/>
    <w:rsid w:val="00DF3269"/>
    <w:rsid w:val="00E656AD"/>
    <w:rsid w:val="00F4461B"/>
    <w:rsid w:val="00F619CC"/>
    <w:rsid w:val="00F937BB"/>
    <w:rsid w:val="010971E7"/>
    <w:rsid w:val="01141165"/>
    <w:rsid w:val="01174ECE"/>
    <w:rsid w:val="01253372"/>
    <w:rsid w:val="012B4701"/>
    <w:rsid w:val="01403972"/>
    <w:rsid w:val="01545A05"/>
    <w:rsid w:val="015C2B0C"/>
    <w:rsid w:val="015D22F0"/>
    <w:rsid w:val="016027CA"/>
    <w:rsid w:val="018333B4"/>
    <w:rsid w:val="01874D0F"/>
    <w:rsid w:val="018B135F"/>
    <w:rsid w:val="01980114"/>
    <w:rsid w:val="01993D60"/>
    <w:rsid w:val="01A249C3"/>
    <w:rsid w:val="01AE534D"/>
    <w:rsid w:val="01B42948"/>
    <w:rsid w:val="01B97F5E"/>
    <w:rsid w:val="01C012ED"/>
    <w:rsid w:val="01C42535"/>
    <w:rsid w:val="01D163BD"/>
    <w:rsid w:val="01E66FA5"/>
    <w:rsid w:val="01F44E8F"/>
    <w:rsid w:val="02080F1A"/>
    <w:rsid w:val="021C29C7"/>
    <w:rsid w:val="024B12DA"/>
    <w:rsid w:val="02564BEC"/>
    <w:rsid w:val="0273635F"/>
    <w:rsid w:val="02A24F36"/>
    <w:rsid w:val="02CB524D"/>
    <w:rsid w:val="02CE3596"/>
    <w:rsid w:val="02CF7A3A"/>
    <w:rsid w:val="02DB6B5E"/>
    <w:rsid w:val="02F9157D"/>
    <w:rsid w:val="02FA25DD"/>
    <w:rsid w:val="030560A3"/>
    <w:rsid w:val="030A1C88"/>
    <w:rsid w:val="034B4BE6"/>
    <w:rsid w:val="035E700F"/>
    <w:rsid w:val="037203C5"/>
    <w:rsid w:val="038D1B08"/>
    <w:rsid w:val="038F541B"/>
    <w:rsid w:val="039E565E"/>
    <w:rsid w:val="03AE3AF3"/>
    <w:rsid w:val="03BD3D36"/>
    <w:rsid w:val="03C84E6D"/>
    <w:rsid w:val="03D11A2A"/>
    <w:rsid w:val="03E77005"/>
    <w:rsid w:val="04022FB6"/>
    <w:rsid w:val="04073C46"/>
    <w:rsid w:val="04117ADE"/>
    <w:rsid w:val="043A5387"/>
    <w:rsid w:val="04446841"/>
    <w:rsid w:val="045D28BA"/>
    <w:rsid w:val="046643CE"/>
    <w:rsid w:val="04697A1A"/>
    <w:rsid w:val="047012BB"/>
    <w:rsid w:val="04787C5D"/>
    <w:rsid w:val="049E63F5"/>
    <w:rsid w:val="04A210AB"/>
    <w:rsid w:val="04A902E8"/>
    <w:rsid w:val="04BB010F"/>
    <w:rsid w:val="04DA26C6"/>
    <w:rsid w:val="04E7176F"/>
    <w:rsid w:val="05047743"/>
    <w:rsid w:val="05202CEB"/>
    <w:rsid w:val="053C3C3A"/>
    <w:rsid w:val="055727FC"/>
    <w:rsid w:val="055D7941"/>
    <w:rsid w:val="055E3F94"/>
    <w:rsid w:val="05A44CA7"/>
    <w:rsid w:val="05B537F8"/>
    <w:rsid w:val="05BE78F1"/>
    <w:rsid w:val="05DF0774"/>
    <w:rsid w:val="06043E9E"/>
    <w:rsid w:val="060C7681"/>
    <w:rsid w:val="062D3E42"/>
    <w:rsid w:val="065A1D10"/>
    <w:rsid w:val="066A7A79"/>
    <w:rsid w:val="067D3568"/>
    <w:rsid w:val="06C66BA2"/>
    <w:rsid w:val="06D41A55"/>
    <w:rsid w:val="06DB4B92"/>
    <w:rsid w:val="06E42523"/>
    <w:rsid w:val="06F07F7E"/>
    <w:rsid w:val="06F16DB8"/>
    <w:rsid w:val="071F2612"/>
    <w:rsid w:val="07202ED2"/>
    <w:rsid w:val="073A70F4"/>
    <w:rsid w:val="074844BB"/>
    <w:rsid w:val="0765299A"/>
    <w:rsid w:val="0766313B"/>
    <w:rsid w:val="07675A5B"/>
    <w:rsid w:val="0768045D"/>
    <w:rsid w:val="079052BE"/>
    <w:rsid w:val="07926B92"/>
    <w:rsid w:val="07A80859"/>
    <w:rsid w:val="07AC107F"/>
    <w:rsid w:val="07E44D1E"/>
    <w:rsid w:val="07F65A68"/>
    <w:rsid w:val="080E2562"/>
    <w:rsid w:val="081A3997"/>
    <w:rsid w:val="08344F54"/>
    <w:rsid w:val="08674270"/>
    <w:rsid w:val="08753B69"/>
    <w:rsid w:val="087A758A"/>
    <w:rsid w:val="088E3EF3"/>
    <w:rsid w:val="089B1EC4"/>
    <w:rsid w:val="08A60005"/>
    <w:rsid w:val="08AC25CB"/>
    <w:rsid w:val="08B165BE"/>
    <w:rsid w:val="08D4468A"/>
    <w:rsid w:val="08D57A2A"/>
    <w:rsid w:val="08E408B3"/>
    <w:rsid w:val="08F33D56"/>
    <w:rsid w:val="08F80A48"/>
    <w:rsid w:val="08FC3791"/>
    <w:rsid w:val="091E4F7D"/>
    <w:rsid w:val="09297778"/>
    <w:rsid w:val="09300B06"/>
    <w:rsid w:val="09322AD0"/>
    <w:rsid w:val="09423CC1"/>
    <w:rsid w:val="0969226A"/>
    <w:rsid w:val="097525CD"/>
    <w:rsid w:val="09765351"/>
    <w:rsid w:val="09813405"/>
    <w:rsid w:val="0985741A"/>
    <w:rsid w:val="09905A49"/>
    <w:rsid w:val="09BA02A1"/>
    <w:rsid w:val="09CA5B4D"/>
    <w:rsid w:val="09F417D4"/>
    <w:rsid w:val="0A0B23D2"/>
    <w:rsid w:val="0A176851"/>
    <w:rsid w:val="0A2E773B"/>
    <w:rsid w:val="0A60366D"/>
    <w:rsid w:val="0A6462CF"/>
    <w:rsid w:val="0A6544DB"/>
    <w:rsid w:val="0A71587A"/>
    <w:rsid w:val="0A873492"/>
    <w:rsid w:val="0A92134D"/>
    <w:rsid w:val="0A984BB5"/>
    <w:rsid w:val="0AC7549A"/>
    <w:rsid w:val="0ACE6829"/>
    <w:rsid w:val="0AEB3CF1"/>
    <w:rsid w:val="0AFF7ECA"/>
    <w:rsid w:val="0B151566"/>
    <w:rsid w:val="0B3A5C6C"/>
    <w:rsid w:val="0B3B311A"/>
    <w:rsid w:val="0B440899"/>
    <w:rsid w:val="0B48482D"/>
    <w:rsid w:val="0B6727D9"/>
    <w:rsid w:val="0B733F46"/>
    <w:rsid w:val="0B796FFB"/>
    <w:rsid w:val="0B86206A"/>
    <w:rsid w:val="0B872A8F"/>
    <w:rsid w:val="0B880732"/>
    <w:rsid w:val="0B8C422C"/>
    <w:rsid w:val="0B9611D0"/>
    <w:rsid w:val="0BAD4690"/>
    <w:rsid w:val="0BB84952"/>
    <w:rsid w:val="0BBC0D77"/>
    <w:rsid w:val="0BC55E7E"/>
    <w:rsid w:val="0BD86E92"/>
    <w:rsid w:val="0BF40D5C"/>
    <w:rsid w:val="0C0D512F"/>
    <w:rsid w:val="0C180AA3"/>
    <w:rsid w:val="0C1C7A68"/>
    <w:rsid w:val="0C264442"/>
    <w:rsid w:val="0C2A3F33"/>
    <w:rsid w:val="0C321039"/>
    <w:rsid w:val="0C34750C"/>
    <w:rsid w:val="0C405B63"/>
    <w:rsid w:val="0C731D04"/>
    <w:rsid w:val="0C89081B"/>
    <w:rsid w:val="0C8C2717"/>
    <w:rsid w:val="0C9828F2"/>
    <w:rsid w:val="0CA85B84"/>
    <w:rsid w:val="0CB3217A"/>
    <w:rsid w:val="0CB47CA0"/>
    <w:rsid w:val="0CC170B3"/>
    <w:rsid w:val="0CC47099"/>
    <w:rsid w:val="0CCD4A3B"/>
    <w:rsid w:val="0CDD0D06"/>
    <w:rsid w:val="0CEF3474"/>
    <w:rsid w:val="0D26294C"/>
    <w:rsid w:val="0D2C54CB"/>
    <w:rsid w:val="0D4224E0"/>
    <w:rsid w:val="0D4E37F0"/>
    <w:rsid w:val="0D725B91"/>
    <w:rsid w:val="0D772860"/>
    <w:rsid w:val="0D7C75AA"/>
    <w:rsid w:val="0D831BE2"/>
    <w:rsid w:val="0D896A37"/>
    <w:rsid w:val="0D953218"/>
    <w:rsid w:val="0D9A6E96"/>
    <w:rsid w:val="0DA16476"/>
    <w:rsid w:val="0DA50C06"/>
    <w:rsid w:val="0DAD6BC9"/>
    <w:rsid w:val="0DC21F49"/>
    <w:rsid w:val="0DD30BCF"/>
    <w:rsid w:val="0DE3525C"/>
    <w:rsid w:val="0DE916F2"/>
    <w:rsid w:val="0DFD64FC"/>
    <w:rsid w:val="0E02137E"/>
    <w:rsid w:val="0E211365"/>
    <w:rsid w:val="0E212639"/>
    <w:rsid w:val="0E2551CB"/>
    <w:rsid w:val="0E402A74"/>
    <w:rsid w:val="0E471764"/>
    <w:rsid w:val="0E5721EA"/>
    <w:rsid w:val="0E716B80"/>
    <w:rsid w:val="0E7A15F1"/>
    <w:rsid w:val="0E7F7B0E"/>
    <w:rsid w:val="0E811E04"/>
    <w:rsid w:val="0E84319E"/>
    <w:rsid w:val="0E8F5D32"/>
    <w:rsid w:val="0E947667"/>
    <w:rsid w:val="0E981627"/>
    <w:rsid w:val="0EA1103E"/>
    <w:rsid w:val="0EBB3A12"/>
    <w:rsid w:val="0EBD632C"/>
    <w:rsid w:val="0ECF491D"/>
    <w:rsid w:val="0ED96FBA"/>
    <w:rsid w:val="0EDB2095"/>
    <w:rsid w:val="0EE02FCE"/>
    <w:rsid w:val="0EE26D46"/>
    <w:rsid w:val="0EF13522"/>
    <w:rsid w:val="0EF97BEC"/>
    <w:rsid w:val="0F000F7B"/>
    <w:rsid w:val="0F1D1B2D"/>
    <w:rsid w:val="0F2C1FAB"/>
    <w:rsid w:val="0F5C24F2"/>
    <w:rsid w:val="0F5D6BC4"/>
    <w:rsid w:val="0F607BE9"/>
    <w:rsid w:val="0F6F1737"/>
    <w:rsid w:val="0F7A2ADB"/>
    <w:rsid w:val="0F7C616D"/>
    <w:rsid w:val="0F8552F5"/>
    <w:rsid w:val="0F890F70"/>
    <w:rsid w:val="0F9D0EBF"/>
    <w:rsid w:val="0FAC4C5F"/>
    <w:rsid w:val="0FBB7B4F"/>
    <w:rsid w:val="0FBC1346"/>
    <w:rsid w:val="0FC24BDA"/>
    <w:rsid w:val="0FD52407"/>
    <w:rsid w:val="0FDD2D2D"/>
    <w:rsid w:val="101A2510"/>
    <w:rsid w:val="10490802"/>
    <w:rsid w:val="104A4BA3"/>
    <w:rsid w:val="104C7D05"/>
    <w:rsid w:val="10511AEA"/>
    <w:rsid w:val="106E29B8"/>
    <w:rsid w:val="10835914"/>
    <w:rsid w:val="10867635"/>
    <w:rsid w:val="10A16A18"/>
    <w:rsid w:val="10B36C33"/>
    <w:rsid w:val="10C55FD8"/>
    <w:rsid w:val="10E36DA6"/>
    <w:rsid w:val="10FE773C"/>
    <w:rsid w:val="11056146"/>
    <w:rsid w:val="111D4066"/>
    <w:rsid w:val="1122342A"/>
    <w:rsid w:val="112278CE"/>
    <w:rsid w:val="114243AA"/>
    <w:rsid w:val="11436035"/>
    <w:rsid w:val="114535BD"/>
    <w:rsid w:val="11513438"/>
    <w:rsid w:val="11691059"/>
    <w:rsid w:val="116E041E"/>
    <w:rsid w:val="1183692D"/>
    <w:rsid w:val="11851C0B"/>
    <w:rsid w:val="118D41A1"/>
    <w:rsid w:val="119737B9"/>
    <w:rsid w:val="11976564"/>
    <w:rsid w:val="119A7465"/>
    <w:rsid w:val="119F0F1F"/>
    <w:rsid w:val="11BA40D6"/>
    <w:rsid w:val="11C546B3"/>
    <w:rsid w:val="11CE2534"/>
    <w:rsid w:val="11D16BFE"/>
    <w:rsid w:val="11D4369E"/>
    <w:rsid w:val="11E93F48"/>
    <w:rsid w:val="12154D3D"/>
    <w:rsid w:val="12281213"/>
    <w:rsid w:val="123A101D"/>
    <w:rsid w:val="12511FF2"/>
    <w:rsid w:val="12691182"/>
    <w:rsid w:val="12696E37"/>
    <w:rsid w:val="12C65BDC"/>
    <w:rsid w:val="12C729E0"/>
    <w:rsid w:val="12CB18A0"/>
    <w:rsid w:val="12D729C5"/>
    <w:rsid w:val="12E82452"/>
    <w:rsid w:val="13043A2A"/>
    <w:rsid w:val="130629CD"/>
    <w:rsid w:val="135225A0"/>
    <w:rsid w:val="135C409A"/>
    <w:rsid w:val="136748FF"/>
    <w:rsid w:val="13686C97"/>
    <w:rsid w:val="13734750"/>
    <w:rsid w:val="13A0020C"/>
    <w:rsid w:val="13A4281C"/>
    <w:rsid w:val="13A5694A"/>
    <w:rsid w:val="13DF4716"/>
    <w:rsid w:val="13E72709"/>
    <w:rsid w:val="13F34C8A"/>
    <w:rsid w:val="14200E89"/>
    <w:rsid w:val="14221993"/>
    <w:rsid w:val="14223741"/>
    <w:rsid w:val="14226B92"/>
    <w:rsid w:val="14353475"/>
    <w:rsid w:val="14513B66"/>
    <w:rsid w:val="148A7C64"/>
    <w:rsid w:val="14994D88"/>
    <w:rsid w:val="14AE7A5B"/>
    <w:rsid w:val="14B3630E"/>
    <w:rsid w:val="14BE346A"/>
    <w:rsid w:val="14C842E9"/>
    <w:rsid w:val="14C96393"/>
    <w:rsid w:val="14CD7B51"/>
    <w:rsid w:val="14CE7F13"/>
    <w:rsid w:val="14D00800"/>
    <w:rsid w:val="14D81917"/>
    <w:rsid w:val="14FC33DE"/>
    <w:rsid w:val="15001ED4"/>
    <w:rsid w:val="15097EAB"/>
    <w:rsid w:val="15286307"/>
    <w:rsid w:val="1529706A"/>
    <w:rsid w:val="15364B23"/>
    <w:rsid w:val="153B4ABB"/>
    <w:rsid w:val="15A530EA"/>
    <w:rsid w:val="15AA7E92"/>
    <w:rsid w:val="15B24AB7"/>
    <w:rsid w:val="15B71B1D"/>
    <w:rsid w:val="15D62A35"/>
    <w:rsid w:val="15EC2259"/>
    <w:rsid w:val="15F32DC0"/>
    <w:rsid w:val="15F746EC"/>
    <w:rsid w:val="15FC6940"/>
    <w:rsid w:val="16185145"/>
    <w:rsid w:val="162B5247"/>
    <w:rsid w:val="162D6610"/>
    <w:rsid w:val="16410620"/>
    <w:rsid w:val="16411224"/>
    <w:rsid w:val="16443E43"/>
    <w:rsid w:val="165879B7"/>
    <w:rsid w:val="1663076D"/>
    <w:rsid w:val="166A350D"/>
    <w:rsid w:val="16775FC6"/>
    <w:rsid w:val="16777D74"/>
    <w:rsid w:val="16783AEC"/>
    <w:rsid w:val="16821794"/>
    <w:rsid w:val="16A720B5"/>
    <w:rsid w:val="16A91EF8"/>
    <w:rsid w:val="16AE2E8C"/>
    <w:rsid w:val="16AE6146"/>
    <w:rsid w:val="16B40FC8"/>
    <w:rsid w:val="16B73E5A"/>
    <w:rsid w:val="16C32FBA"/>
    <w:rsid w:val="16CA0642"/>
    <w:rsid w:val="16CB2FD9"/>
    <w:rsid w:val="16DF3B6C"/>
    <w:rsid w:val="16E12CF7"/>
    <w:rsid w:val="16E3540A"/>
    <w:rsid w:val="16E64EFA"/>
    <w:rsid w:val="16FF6BC8"/>
    <w:rsid w:val="17231CAA"/>
    <w:rsid w:val="17251F3E"/>
    <w:rsid w:val="17253C74"/>
    <w:rsid w:val="172A128B"/>
    <w:rsid w:val="172D7FAD"/>
    <w:rsid w:val="172F4AF3"/>
    <w:rsid w:val="17647FE9"/>
    <w:rsid w:val="17681DB3"/>
    <w:rsid w:val="176A5B2B"/>
    <w:rsid w:val="17726EEA"/>
    <w:rsid w:val="17757C3C"/>
    <w:rsid w:val="1787048B"/>
    <w:rsid w:val="178F6412"/>
    <w:rsid w:val="17942CB5"/>
    <w:rsid w:val="179E7FD7"/>
    <w:rsid w:val="17A471A8"/>
    <w:rsid w:val="17A77A0D"/>
    <w:rsid w:val="17AB1078"/>
    <w:rsid w:val="17B103C8"/>
    <w:rsid w:val="17C57205"/>
    <w:rsid w:val="17DA689A"/>
    <w:rsid w:val="17E0618F"/>
    <w:rsid w:val="17E23913"/>
    <w:rsid w:val="17E870BE"/>
    <w:rsid w:val="17F502A8"/>
    <w:rsid w:val="17F7785D"/>
    <w:rsid w:val="18075128"/>
    <w:rsid w:val="181B6E25"/>
    <w:rsid w:val="181F4A63"/>
    <w:rsid w:val="182E6B59"/>
    <w:rsid w:val="1833416F"/>
    <w:rsid w:val="183879D7"/>
    <w:rsid w:val="184721C3"/>
    <w:rsid w:val="185F3DFA"/>
    <w:rsid w:val="188B3FAB"/>
    <w:rsid w:val="188B5D59"/>
    <w:rsid w:val="18911CE7"/>
    <w:rsid w:val="18A137CE"/>
    <w:rsid w:val="18B90B18"/>
    <w:rsid w:val="18BA663E"/>
    <w:rsid w:val="18C81719"/>
    <w:rsid w:val="18DA17E7"/>
    <w:rsid w:val="18DD567D"/>
    <w:rsid w:val="18EF297B"/>
    <w:rsid w:val="18F338FE"/>
    <w:rsid w:val="18FC27B3"/>
    <w:rsid w:val="18FF22A3"/>
    <w:rsid w:val="19045B0B"/>
    <w:rsid w:val="191E097B"/>
    <w:rsid w:val="1926420A"/>
    <w:rsid w:val="19341F4D"/>
    <w:rsid w:val="19543217"/>
    <w:rsid w:val="198F7C91"/>
    <w:rsid w:val="19AF7825"/>
    <w:rsid w:val="19D559E0"/>
    <w:rsid w:val="19E5593D"/>
    <w:rsid w:val="19E637D5"/>
    <w:rsid w:val="19EA6AAF"/>
    <w:rsid w:val="19FE44A2"/>
    <w:rsid w:val="1A004525"/>
    <w:rsid w:val="1A244A84"/>
    <w:rsid w:val="1A293A7B"/>
    <w:rsid w:val="1A495ECC"/>
    <w:rsid w:val="1A4C32C6"/>
    <w:rsid w:val="1A4E7FDF"/>
    <w:rsid w:val="1A54594C"/>
    <w:rsid w:val="1A5C1707"/>
    <w:rsid w:val="1A601654"/>
    <w:rsid w:val="1A606D71"/>
    <w:rsid w:val="1A607D62"/>
    <w:rsid w:val="1A6C5BE5"/>
    <w:rsid w:val="1A756CC1"/>
    <w:rsid w:val="1AA032BF"/>
    <w:rsid w:val="1AF2536A"/>
    <w:rsid w:val="1B040045"/>
    <w:rsid w:val="1B0B42F7"/>
    <w:rsid w:val="1B0E2C71"/>
    <w:rsid w:val="1B1C670C"/>
    <w:rsid w:val="1B2812A6"/>
    <w:rsid w:val="1B2D74F2"/>
    <w:rsid w:val="1B6F4D9F"/>
    <w:rsid w:val="1B8D0DDA"/>
    <w:rsid w:val="1B9E2247"/>
    <w:rsid w:val="1BAF532C"/>
    <w:rsid w:val="1BC47EF0"/>
    <w:rsid w:val="1BD345CB"/>
    <w:rsid w:val="1BDB3120"/>
    <w:rsid w:val="1BEF2D2A"/>
    <w:rsid w:val="1BFD0D1C"/>
    <w:rsid w:val="1C02560E"/>
    <w:rsid w:val="1C3913EC"/>
    <w:rsid w:val="1C48169C"/>
    <w:rsid w:val="1C4B3B00"/>
    <w:rsid w:val="1C5F5D64"/>
    <w:rsid w:val="1C694603"/>
    <w:rsid w:val="1C6D08DF"/>
    <w:rsid w:val="1C7B7E93"/>
    <w:rsid w:val="1CB33715"/>
    <w:rsid w:val="1CC222FA"/>
    <w:rsid w:val="1CC57360"/>
    <w:rsid w:val="1CE82036"/>
    <w:rsid w:val="1CFF2872"/>
    <w:rsid w:val="1D033BEE"/>
    <w:rsid w:val="1D09129C"/>
    <w:rsid w:val="1D2D73DF"/>
    <w:rsid w:val="1D3C6327"/>
    <w:rsid w:val="1D4E55A7"/>
    <w:rsid w:val="1D544EA5"/>
    <w:rsid w:val="1D5469C0"/>
    <w:rsid w:val="1D646B79"/>
    <w:rsid w:val="1D6713B5"/>
    <w:rsid w:val="1D6923E1"/>
    <w:rsid w:val="1DA9445C"/>
    <w:rsid w:val="1DAD6772"/>
    <w:rsid w:val="1DB55626"/>
    <w:rsid w:val="1DBC69B5"/>
    <w:rsid w:val="1DDE2A08"/>
    <w:rsid w:val="1DEC729A"/>
    <w:rsid w:val="1E0255DB"/>
    <w:rsid w:val="1E0839A8"/>
    <w:rsid w:val="1E2D778F"/>
    <w:rsid w:val="1E3824DF"/>
    <w:rsid w:val="1E42510C"/>
    <w:rsid w:val="1E51534F"/>
    <w:rsid w:val="1E5C6EB8"/>
    <w:rsid w:val="1E5E181A"/>
    <w:rsid w:val="1E6250C9"/>
    <w:rsid w:val="1E696B3C"/>
    <w:rsid w:val="1E764DB5"/>
    <w:rsid w:val="1E79691E"/>
    <w:rsid w:val="1E7B3054"/>
    <w:rsid w:val="1E870D71"/>
    <w:rsid w:val="1E8766AF"/>
    <w:rsid w:val="1EA9518B"/>
    <w:rsid w:val="1EB23B88"/>
    <w:rsid w:val="1EB6080C"/>
    <w:rsid w:val="1EFA59E6"/>
    <w:rsid w:val="1F091A51"/>
    <w:rsid w:val="1F444EB4"/>
    <w:rsid w:val="1F612DBB"/>
    <w:rsid w:val="1F700DA4"/>
    <w:rsid w:val="1F703EFB"/>
    <w:rsid w:val="1F784B5D"/>
    <w:rsid w:val="1F8C4B6C"/>
    <w:rsid w:val="1F9279CD"/>
    <w:rsid w:val="1F9B4245"/>
    <w:rsid w:val="1FB723C0"/>
    <w:rsid w:val="1FBF6637"/>
    <w:rsid w:val="1FD5034D"/>
    <w:rsid w:val="1FDE0E64"/>
    <w:rsid w:val="1FDE70B6"/>
    <w:rsid w:val="1FF64400"/>
    <w:rsid w:val="1FFF2E24"/>
    <w:rsid w:val="200307FA"/>
    <w:rsid w:val="200F0EA1"/>
    <w:rsid w:val="20176124"/>
    <w:rsid w:val="203A744D"/>
    <w:rsid w:val="20491709"/>
    <w:rsid w:val="204F406D"/>
    <w:rsid w:val="20586E69"/>
    <w:rsid w:val="205C53A4"/>
    <w:rsid w:val="208A0422"/>
    <w:rsid w:val="20B14114"/>
    <w:rsid w:val="20B63B8F"/>
    <w:rsid w:val="20C04A0E"/>
    <w:rsid w:val="20C90D2B"/>
    <w:rsid w:val="20CF6B27"/>
    <w:rsid w:val="20D91494"/>
    <w:rsid w:val="20F3403C"/>
    <w:rsid w:val="20FA7F20"/>
    <w:rsid w:val="21246D4B"/>
    <w:rsid w:val="21667363"/>
    <w:rsid w:val="21775BEB"/>
    <w:rsid w:val="21923CC5"/>
    <w:rsid w:val="21997D2C"/>
    <w:rsid w:val="219B279C"/>
    <w:rsid w:val="219F63D1"/>
    <w:rsid w:val="21A62C0E"/>
    <w:rsid w:val="21A954A2"/>
    <w:rsid w:val="21B005DE"/>
    <w:rsid w:val="21BF3C59"/>
    <w:rsid w:val="21C701AF"/>
    <w:rsid w:val="21DE15EF"/>
    <w:rsid w:val="21E8421C"/>
    <w:rsid w:val="21F52495"/>
    <w:rsid w:val="220443C9"/>
    <w:rsid w:val="220D5A31"/>
    <w:rsid w:val="22147904"/>
    <w:rsid w:val="221779C6"/>
    <w:rsid w:val="223B156C"/>
    <w:rsid w:val="22576CAC"/>
    <w:rsid w:val="225E003A"/>
    <w:rsid w:val="2276270F"/>
    <w:rsid w:val="228E797C"/>
    <w:rsid w:val="229934FF"/>
    <w:rsid w:val="22AD2D70"/>
    <w:rsid w:val="22C37E78"/>
    <w:rsid w:val="22E9024C"/>
    <w:rsid w:val="2305495A"/>
    <w:rsid w:val="230839DB"/>
    <w:rsid w:val="23137077"/>
    <w:rsid w:val="231E4554"/>
    <w:rsid w:val="23272F9C"/>
    <w:rsid w:val="23333275"/>
    <w:rsid w:val="238B1303"/>
    <w:rsid w:val="238B4409"/>
    <w:rsid w:val="239D1036"/>
    <w:rsid w:val="239F4588"/>
    <w:rsid w:val="23BC3F4D"/>
    <w:rsid w:val="23CE2811"/>
    <w:rsid w:val="23D75530"/>
    <w:rsid w:val="23E7405F"/>
    <w:rsid w:val="240614E3"/>
    <w:rsid w:val="2407580F"/>
    <w:rsid w:val="240B41F8"/>
    <w:rsid w:val="24105918"/>
    <w:rsid w:val="243146B1"/>
    <w:rsid w:val="2432352D"/>
    <w:rsid w:val="244268EE"/>
    <w:rsid w:val="245416F5"/>
    <w:rsid w:val="245906BE"/>
    <w:rsid w:val="246F29A6"/>
    <w:rsid w:val="249217DB"/>
    <w:rsid w:val="24961D0D"/>
    <w:rsid w:val="24AD52A9"/>
    <w:rsid w:val="24C60977"/>
    <w:rsid w:val="24C745BD"/>
    <w:rsid w:val="24CC7FBF"/>
    <w:rsid w:val="24DB3BC4"/>
    <w:rsid w:val="24F408C1"/>
    <w:rsid w:val="250D579E"/>
    <w:rsid w:val="250F3889"/>
    <w:rsid w:val="25461985"/>
    <w:rsid w:val="254B6F9C"/>
    <w:rsid w:val="255312C4"/>
    <w:rsid w:val="2577464B"/>
    <w:rsid w:val="25902C01"/>
    <w:rsid w:val="25A84F00"/>
    <w:rsid w:val="25C96113"/>
    <w:rsid w:val="25DF5936"/>
    <w:rsid w:val="25E140B7"/>
    <w:rsid w:val="25FE4141"/>
    <w:rsid w:val="2602467A"/>
    <w:rsid w:val="260E3B25"/>
    <w:rsid w:val="26127ABA"/>
    <w:rsid w:val="26141C75"/>
    <w:rsid w:val="261849A4"/>
    <w:rsid w:val="262114A6"/>
    <w:rsid w:val="26321F0A"/>
    <w:rsid w:val="2644463F"/>
    <w:rsid w:val="264707E3"/>
    <w:rsid w:val="2668592C"/>
    <w:rsid w:val="26B648E9"/>
    <w:rsid w:val="26FE2633"/>
    <w:rsid w:val="26FE6B98"/>
    <w:rsid w:val="270A3CBC"/>
    <w:rsid w:val="27196C26"/>
    <w:rsid w:val="27210100"/>
    <w:rsid w:val="27231852"/>
    <w:rsid w:val="2727376E"/>
    <w:rsid w:val="27344752"/>
    <w:rsid w:val="273D2914"/>
    <w:rsid w:val="27421CD9"/>
    <w:rsid w:val="275859A0"/>
    <w:rsid w:val="276D2C27"/>
    <w:rsid w:val="27765E26"/>
    <w:rsid w:val="277822C5"/>
    <w:rsid w:val="279B763B"/>
    <w:rsid w:val="27A72484"/>
    <w:rsid w:val="27AB1F74"/>
    <w:rsid w:val="27AF3ADB"/>
    <w:rsid w:val="27B562E6"/>
    <w:rsid w:val="27B64BC2"/>
    <w:rsid w:val="27BD1CA7"/>
    <w:rsid w:val="27D05536"/>
    <w:rsid w:val="27D6751A"/>
    <w:rsid w:val="27EB4211"/>
    <w:rsid w:val="27EE3C0E"/>
    <w:rsid w:val="280662EC"/>
    <w:rsid w:val="280D5A34"/>
    <w:rsid w:val="281F2669"/>
    <w:rsid w:val="28277120"/>
    <w:rsid w:val="282A2EFA"/>
    <w:rsid w:val="283503B6"/>
    <w:rsid w:val="28404570"/>
    <w:rsid w:val="28546167"/>
    <w:rsid w:val="28806F96"/>
    <w:rsid w:val="28A13818"/>
    <w:rsid w:val="28A51D7B"/>
    <w:rsid w:val="28B001A2"/>
    <w:rsid w:val="28DC386E"/>
    <w:rsid w:val="28DC7F0B"/>
    <w:rsid w:val="28E219C5"/>
    <w:rsid w:val="29015BC3"/>
    <w:rsid w:val="290E7BA0"/>
    <w:rsid w:val="29183639"/>
    <w:rsid w:val="291D7223"/>
    <w:rsid w:val="294144D7"/>
    <w:rsid w:val="29533413"/>
    <w:rsid w:val="2953662D"/>
    <w:rsid w:val="295F015D"/>
    <w:rsid w:val="299D3B3E"/>
    <w:rsid w:val="29E55FCC"/>
    <w:rsid w:val="29ED4A29"/>
    <w:rsid w:val="29EE5390"/>
    <w:rsid w:val="29F63C2D"/>
    <w:rsid w:val="2A1C134D"/>
    <w:rsid w:val="2A2D265B"/>
    <w:rsid w:val="2A2D7C51"/>
    <w:rsid w:val="2A3F41AC"/>
    <w:rsid w:val="2A646A64"/>
    <w:rsid w:val="2A6D6825"/>
    <w:rsid w:val="2A7F3244"/>
    <w:rsid w:val="2A9C4150"/>
    <w:rsid w:val="2A9D068C"/>
    <w:rsid w:val="2AA84549"/>
    <w:rsid w:val="2ADC686D"/>
    <w:rsid w:val="2AEA1CAF"/>
    <w:rsid w:val="2AEF3A6B"/>
    <w:rsid w:val="2AF8540A"/>
    <w:rsid w:val="2B050473"/>
    <w:rsid w:val="2B0B1B03"/>
    <w:rsid w:val="2B261911"/>
    <w:rsid w:val="2B2F4C6A"/>
    <w:rsid w:val="2B4B2AFB"/>
    <w:rsid w:val="2B560448"/>
    <w:rsid w:val="2B840A6A"/>
    <w:rsid w:val="2B8D373E"/>
    <w:rsid w:val="2B920D55"/>
    <w:rsid w:val="2B98280F"/>
    <w:rsid w:val="2BB242BF"/>
    <w:rsid w:val="2BB974A6"/>
    <w:rsid w:val="2BC23F58"/>
    <w:rsid w:val="2BED6535"/>
    <w:rsid w:val="2BF3579D"/>
    <w:rsid w:val="2BF667AB"/>
    <w:rsid w:val="2BF86955"/>
    <w:rsid w:val="2C193BE3"/>
    <w:rsid w:val="2C2045B2"/>
    <w:rsid w:val="2C2220D9"/>
    <w:rsid w:val="2C2478F5"/>
    <w:rsid w:val="2C26606D"/>
    <w:rsid w:val="2C4165A8"/>
    <w:rsid w:val="2C532BDA"/>
    <w:rsid w:val="2C536736"/>
    <w:rsid w:val="2C5C383D"/>
    <w:rsid w:val="2C861AE6"/>
    <w:rsid w:val="2C9254B0"/>
    <w:rsid w:val="2C974875"/>
    <w:rsid w:val="2CA64AB8"/>
    <w:rsid w:val="2CA906D2"/>
    <w:rsid w:val="2CD177B2"/>
    <w:rsid w:val="2D3E7CFB"/>
    <w:rsid w:val="2D412A32"/>
    <w:rsid w:val="2D56396E"/>
    <w:rsid w:val="2D621714"/>
    <w:rsid w:val="2DA07759"/>
    <w:rsid w:val="2DA6257F"/>
    <w:rsid w:val="2DB30329"/>
    <w:rsid w:val="2DD009E3"/>
    <w:rsid w:val="2DD36BDE"/>
    <w:rsid w:val="2DD92C6B"/>
    <w:rsid w:val="2DEC7614"/>
    <w:rsid w:val="2DF02CA4"/>
    <w:rsid w:val="2DF61A6F"/>
    <w:rsid w:val="2E1168A9"/>
    <w:rsid w:val="2E1F2D74"/>
    <w:rsid w:val="2E2A18EC"/>
    <w:rsid w:val="2E67592B"/>
    <w:rsid w:val="2E6B7E1B"/>
    <w:rsid w:val="2E76670C"/>
    <w:rsid w:val="2E89343E"/>
    <w:rsid w:val="2E894691"/>
    <w:rsid w:val="2EB55486"/>
    <w:rsid w:val="2EBA5C96"/>
    <w:rsid w:val="2EE8585B"/>
    <w:rsid w:val="2EED2E72"/>
    <w:rsid w:val="2EF02962"/>
    <w:rsid w:val="2F0D75F5"/>
    <w:rsid w:val="2F1D0383"/>
    <w:rsid w:val="2F272289"/>
    <w:rsid w:val="2F330266"/>
    <w:rsid w:val="2F4308A5"/>
    <w:rsid w:val="2F4A14FC"/>
    <w:rsid w:val="2F4C7339"/>
    <w:rsid w:val="2F5A370E"/>
    <w:rsid w:val="2F5C3B54"/>
    <w:rsid w:val="2F7377FA"/>
    <w:rsid w:val="2F9477B2"/>
    <w:rsid w:val="2FB17C42"/>
    <w:rsid w:val="2FB41BE1"/>
    <w:rsid w:val="2FC03DA9"/>
    <w:rsid w:val="2FCA35C2"/>
    <w:rsid w:val="2FE853E7"/>
    <w:rsid w:val="2FEE6EA1"/>
    <w:rsid w:val="2FF95846"/>
    <w:rsid w:val="30110DE2"/>
    <w:rsid w:val="3019063E"/>
    <w:rsid w:val="30217B05"/>
    <w:rsid w:val="30275401"/>
    <w:rsid w:val="30405223"/>
    <w:rsid w:val="30662EDC"/>
    <w:rsid w:val="3067556B"/>
    <w:rsid w:val="306A22A0"/>
    <w:rsid w:val="30A43A04"/>
    <w:rsid w:val="30B434BA"/>
    <w:rsid w:val="30B8300C"/>
    <w:rsid w:val="30C322EC"/>
    <w:rsid w:val="30DF67EA"/>
    <w:rsid w:val="30E06BCF"/>
    <w:rsid w:val="30FA3FFD"/>
    <w:rsid w:val="3103697D"/>
    <w:rsid w:val="3106021B"/>
    <w:rsid w:val="310D77FB"/>
    <w:rsid w:val="31152BCA"/>
    <w:rsid w:val="31204624"/>
    <w:rsid w:val="31244B45"/>
    <w:rsid w:val="31551AC0"/>
    <w:rsid w:val="315E1E05"/>
    <w:rsid w:val="31752ADB"/>
    <w:rsid w:val="31757587"/>
    <w:rsid w:val="317A4765"/>
    <w:rsid w:val="31833619"/>
    <w:rsid w:val="31836236"/>
    <w:rsid w:val="318526C5"/>
    <w:rsid w:val="31884247"/>
    <w:rsid w:val="318B1C70"/>
    <w:rsid w:val="3194017B"/>
    <w:rsid w:val="31C66DBA"/>
    <w:rsid w:val="31DE6AA2"/>
    <w:rsid w:val="31EF5153"/>
    <w:rsid w:val="31F167D5"/>
    <w:rsid w:val="31F43832"/>
    <w:rsid w:val="31F6123B"/>
    <w:rsid w:val="31FF4854"/>
    <w:rsid w:val="32057AFA"/>
    <w:rsid w:val="32146851"/>
    <w:rsid w:val="321A7405"/>
    <w:rsid w:val="32292413"/>
    <w:rsid w:val="322F554F"/>
    <w:rsid w:val="323E59E8"/>
    <w:rsid w:val="3240775C"/>
    <w:rsid w:val="324A05DB"/>
    <w:rsid w:val="324F79A0"/>
    <w:rsid w:val="32747406"/>
    <w:rsid w:val="32755658"/>
    <w:rsid w:val="32AB5D01"/>
    <w:rsid w:val="32B65F96"/>
    <w:rsid w:val="32B76C1F"/>
    <w:rsid w:val="32DD4FAB"/>
    <w:rsid w:val="32FB6D5A"/>
    <w:rsid w:val="3330157F"/>
    <w:rsid w:val="334A46FB"/>
    <w:rsid w:val="33681AA0"/>
    <w:rsid w:val="33691CA7"/>
    <w:rsid w:val="336C3A6F"/>
    <w:rsid w:val="338B4C95"/>
    <w:rsid w:val="339B7340"/>
    <w:rsid w:val="33B83428"/>
    <w:rsid w:val="33C67CCC"/>
    <w:rsid w:val="33CB1BCD"/>
    <w:rsid w:val="33D26ADA"/>
    <w:rsid w:val="33E32C9F"/>
    <w:rsid w:val="33E7520D"/>
    <w:rsid w:val="341A3419"/>
    <w:rsid w:val="341C4A20"/>
    <w:rsid w:val="342235BE"/>
    <w:rsid w:val="343468C1"/>
    <w:rsid w:val="343B642D"/>
    <w:rsid w:val="344D6161"/>
    <w:rsid w:val="34591F09"/>
    <w:rsid w:val="34677222"/>
    <w:rsid w:val="34750606"/>
    <w:rsid w:val="3478372D"/>
    <w:rsid w:val="34DA3E98"/>
    <w:rsid w:val="34DC4076"/>
    <w:rsid w:val="34E02B31"/>
    <w:rsid w:val="350D0FEC"/>
    <w:rsid w:val="35223149"/>
    <w:rsid w:val="35227084"/>
    <w:rsid w:val="35284C04"/>
    <w:rsid w:val="35285EE9"/>
    <w:rsid w:val="352D1338"/>
    <w:rsid w:val="353101FF"/>
    <w:rsid w:val="35346101"/>
    <w:rsid w:val="354B26A0"/>
    <w:rsid w:val="3575596F"/>
    <w:rsid w:val="35856106"/>
    <w:rsid w:val="3598340C"/>
    <w:rsid w:val="35D95EFE"/>
    <w:rsid w:val="35E46651"/>
    <w:rsid w:val="35F5709E"/>
    <w:rsid w:val="35F76F4D"/>
    <w:rsid w:val="36080591"/>
    <w:rsid w:val="360B2EED"/>
    <w:rsid w:val="361D6B92"/>
    <w:rsid w:val="3629167E"/>
    <w:rsid w:val="3632560E"/>
    <w:rsid w:val="365A6A30"/>
    <w:rsid w:val="36791FB9"/>
    <w:rsid w:val="367C3E03"/>
    <w:rsid w:val="36B6623F"/>
    <w:rsid w:val="36CC15BF"/>
    <w:rsid w:val="36CE5337"/>
    <w:rsid w:val="36EB413B"/>
    <w:rsid w:val="36FF7429"/>
    <w:rsid w:val="37040D59"/>
    <w:rsid w:val="37113FF6"/>
    <w:rsid w:val="37147B15"/>
    <w:rsid w:val="371B6F99"/>
    <w:rsid w:val="37490126"/>
    <w:rsid w:val="376A5D3B"/>
    <w:rsid w:val="377E04A5"/>
    <w:rsid w:val="378D6FA0"/>
    <w:rsid w:val="37991DE9"/>
    <w:rsid w:val="379A7789"/>
    <w:rsid w:val="37DE5A4E"/>
    <w:rsid w:val="37ED1E46"/>
    <w:rsid w:val="380B6F7B"/>
    <w:rsid w:val="380F3E59"/>
    <w:rsid w:val="38400128"/>
    <w:rsid w:val="38454CBB"/>
    <w:rsid w:val="385264CE"/>
    <w:rsid w:val="386D6DD1"/>
    <w:rsid w:val="386E3E1F"/>
    <w:rsid w:val="38A32A72"/>
    <w:rsid w:val="38A71BB0"/>
    <w:rsid w:val="38B13162"/>
    <w:rsid w:val="38DE5291"/>
    <w:rsid w:val="38F566EC"/>
    <w:rsid w:val="38FB187D"/>
    <w:rsid w:val="38FF6F23"/>
    <w:rsid w:val="390252B8"/>
    <w:rsid w:val="390C261A"/>
    <w:rsid w:val="39111E53"/>
    <w:rsid w:val="39113C01"/>
    <w:rsid w:val="3916629D"/>
    <w:rsid w:val="394915ED"/>
    <w:rsid w:val="395775D8"/>
    <w:rsid w:val="39745863"/>
    <w:rsid w:val="39755F3E"/>
    <w:rsid w:val="3978732C"/>
    <w:rsid w:val="39820717"/>
    <w:rsid w:val="39B93D6E"/>
    <w:rsid w:val="39BA7DF4"/>
    <w:rsid w:val="3A00614F"/>
    <w:rsid w:val="3A016E0A"/>
    <w:rsid w:val="3A082459"/>
    <w:rsid w:val="3A2736D1"/>
    <w:rsid w:val="3A2B0CF2"/>
    <w:rsid w:val="3A2F2590"/>
    <w:rsid w:val="3A63048C"/>
    <w:rsid w:val="3A7417D5"/>
    <w:rsid w:val="3A7B26A3"/>
    <w:rsid w:val="3A836FDE"/>
    <w:rsid w:val="3A8F1281"/>
    <w:rsid w:val="3A9A190D"/>
    <w:rsid w:val="3AB22E71"/>
    <w:rsid w:val="3ABA5B9A"/>
    <w:rsid w:val="3ACA050B"/>
    <w:rsid w:val="3ACB0053"/>
    <w:rsid w:val="3ACB430B"/>
    <w:rsid w:val="3ADD6E62"/>
    <w:rsid w:val="3AE56270"/>
    <w:rsid w:val="3AED393C"/>
    <w:rsid w:val="3AEE2077"/>
    <w:rsid w:val="3AF46516"/>
    <w:rsid w:val="3B077069"/>
    <w:rsid w:val="3B1B6E04"/>
    <w:rsid w:val="3B2B1381"/>
    <w:rsid w:val="3B455DE4"/>
    <w:rsid w:val="3B48408B"/>
    <w:rsid w:val="3B530501"/>
    <w:rsid w:val="3B5D4A95"/>
    <w:rsid w:val="3B5D50BF"/>
    <w:rsid w:val="3B7F12F6"/>
    <w:rsid w:val="3BB70A8F"/>
    <w:rsid w:val="3BC74C5D"/>
    <w:rsid w:val="3BD11425"/>
    <w:rsid w:val="3BD93BD8"/>
    <w:rsid w:val="3BF07AFD"/>
    <w:rsid w:val="3C122EC5"/>
    <w:rsid w:val="3C1D522E"/>
    <w:rsid w:val="3C2F24BA"/>
    <w:rsid w:val="3C420AA3"/>
    <w:rsid w:val="3C485B8B"/>
    <w:rsid w:val="3C601127"/>
    <w:rsid w:val="3C620087"/>
    <w:rsid w:val="3C700C3E"/>
    <w:rsid w:val="3C797AF3"/>
    <w:rsid w:val="3C85183C"/>
    <w:rsid w:val="3CC801D9"/>
    <w:rsid w:val="3CCB1279"/>
    <w:rsid w:val="3CD236A7"/>
    <w:rsid w:val="3CE21B3C"/>
    <w:rsid w:val="3CF04229"/>
    <w:rsid w:val="3CFA4721"/>
    <w:rsid w:val="3D1141CF"/>
    <w:rsid w:val="3D22018A"/>
    <w:rsid w:val="3D251C58"/>
    <w:rsid w:val="3D3103CE"/>
    <w:rsid w:val="3D4829ED"/>
    <w:rsid w:val="3D64076C"/>
    <w:rsid w:val="3D65451B"/>
    <w:rsid w:val="3D695DB9"/>
    <w:rsid w:val="3D820C29"/>
    <w:rsid w:val="3D936D16"/>
    <w:rsid w:val="3DAC214A"/>
    <w:rsid w:val="3DB812B5"/>
    <w:rsid w:val="3DBD4389"/>
    <w:rsid w:val="3DCE75E8"/>
    <w:rsid w:val="3DDE2F12"/>
    <w:rsid w:val="3DEC28A6"/>
    <w:rsid w:val="3DED2CD7"/>
    <w:rsid w:val="3DFA15C3"/>
    <w:rsid w:val="3E0628EA"/>
    <w:rsid w:val="3E0E6961"/>
    <w:rsid w:val="3E427218"/>
    <w:rsid w:val="3E55633E"/>
    <w:rsid w:val="3E66679D"/>
    <w:rsid w:val="3E6B7013"/>
    <w:rsid w:val="3E6D23FA"/>
    <w:rsid w:val="3E6E11AD"/>
    <w:rsid w:val="3E7762B4"/>
    <w:rsid w:val="3E9822E0"/>
    <w:rsid w:val="3E9E7CE5"/>
    <w:rsid w:val="3EAF5499"/>
    <w:rsid w:val="3ED87FC6"/>
    <w:rsid w:val="3ED95827"/>
    <w:rsid w:val="3EF400BE"/>
    <w:rsid w:val="3F0D32E4"/>
    <w:rsid w:val="3F19736B"/>
    <w:rsid w:val="3F20270C"/>
    <w:rsid w:val="3F2F3033"/>
    <w:rsid w:val="3F4E1E62"/>
    <w:rsid w:val="3F5D7BA0"/>
    <w:rsid w:val="3F6528F5"/>
    <w:rsid w:val="3F695775"/>
    <w:rsid w:val="3F6C7DE3"/>
    <w:rsid w:val="3F9829AD"/>
    <w:rsid w:val="3F9A45A3"/>
    <w:rsid w:val="3F9D125E"/>
    <w:rsid w:val="3FA550A3"/>
    <w:rsid w:val="3FA90448"/>
    <w:rsid w:val="3FC75019"/>
    <w:rsid w:val="3FC9502E"/>
    <w:rsid w:val="3FCF098B"/>
    <w:rsid w:val="3FD52A8E"/>
    <w:rsid w:val="40104C12"/>
    <w:rsid w:val="40364F60"/>
    <w:rsid w:val="403D52DB"/>
    <w:rsid w:val="40552EEA"/>
    <w:rsid w:val="407F0314"/>
    <w:rsid w:val="408220D7"/>
    <w:rsid w:val="4085348C"/>
    <w:rsid w:val="409018AF"/>
    <w:rsid w:val="40983992"/>
    <w:rsid w:val="409A0980"/>
    <w:rsid w:val="40A11D0E"/>
    <w:rsid w:val="40A37834"/>
    <w:rsid w:val="40B206C8"/>
    <w:rsid w:val="40B732E0"/>
    <w:rsid w:val="40BC4452"/>
    <w:rsid w:val="40C014D7"/>
    <w:rsid w:val="40D67134"/>
    <w:rsid w:val="40E02836"/>
    <w:rsid w:val="40ED1358"/>
    <w:rsid w:val="411B386E"/>
    <w:rsid w:val="41472656"/>
    <w:rsid w:val="414C12B2"/>
    <w:rsid w:val="41650F8E"/>
    <w:rsid w:val="418A09F4"/>
    <w:rsid w:val="419A010E"/>
    <w:rsid w:val="41AC431F"/>
    <w:rsid w:val="41B03ED1"/>
    <w:rsid w:val="41B47E0D"/>
    <w:rsid w:val="41B63597"/>
    <w:rsid w:val="41E2613A"/>
    <w:rsid w:val="41FE4B63"/>
    <w:rsid w:val="420559F8"/>
    <w:rsid w:val="42383FB6"/>
    <w:rsid w:val="42500A1C"/>
    <w:rsid w:val="426D6123"/>
    <w:rsid w:val="427A695E"/>
    <w:rsid w:val="42A64FAA"/>
    <w:rsid w:val="42D028C4"/>
    <w:rsid w:val="42D068DB"/>
    <w:rsid w:val="42D251E4"/>
    <w:rsid w:val="42D52A11"/>
    <w:rsid w:val="42D6470C"/>
    <w:rsid w:val="42DE0D58"/>
    <w:rsid w:val="42FD0335"/>
    <w:rsid w:val="430242C3"/>
    <w:rsid w:val="4337061D"/>
    <w:rsid w:val="43454BD3"/>
    <w:rsid w:val="43480744"/>
    <w:rsid w:val="435C50A7"/>
    <w:rsid w:val="43690C76"/>
    <w:rsid w:val="438A17E2"/>
    <w:rsid w:val="439011C4"/>
    <w:rsid w:val="4392221B"/>
    <w:rsid w:val="43AC6A00"/>
    <w:rsid w:val="43B461CF"/>
    <w:rsid w:val="43C55D14"/>
    <w:rsid w:val="43CC2BFE"/>
    <w:rsid w:val="43D146B8"/>
    <w:rsid w:val="43DB4F4D"/>
    <w:rsid w:val="43E142FE"/>
    <w:rsid w:val="43F6411F"/>
    <w:rsid w:val="43FB163B"/>
    <w:rsid w:val="440B79EF"/>
    <w:rsid w:val="442A23A5"/>
    <w:rsid w:val="44316F05"/>
    <w:rsid w:val="44406040"/>
    <w:rsid w:val="44564BBE"/>
    <w:rsid w:val="44781E36"/>
    <w:rsid w:val="447C607A"/>
    <w:rsid w:val="44803105"/>
    <w:rsid w:val="44803BB8"/>
    <w:rsid w:val="448758D4"/>
    <w:rsid w:val="4492749C"/>
    <w:rsid w:val="449811DD"/>
    <w:rsid w:val="44AB315B"/>
    <w:rsid w:val="44B738AE"/>
    <w:rsid w:val="44BA36B0"/>
    <w:rsid w:val="44BC0EC5"/>
    <w:rsid w:val="44BC7116"/>
    <w:rsid w:val="44C06FEF"/>
    <w:rsid w:val="44C164DB"/>
    <w:rsid w:val="44D02BC2"/>
    <w:rsid w:val="44D51F86"/>
    <w:rsid w:val="44E26451"/>
    <w:rsid w:val="44EB3558"/>
    <w:rsid w:val="44EC5C7B"/>
    <w:rsid w:val="44F24093"/>
    <w:rsid w:val="4501200D"/>
    <w:rsid w:val="451505D5"/>
    <w:rsid w:val="453273D9"/>
    <w:rsid w:val="45336CAD"/>
    <w:rsid w:val="45413006"/>
    <w:rsid w:val="454602CD"/>
    <w:rsid w:val="45464C32"/>
    <w:rsid w:val="45617369"/>
    <w:rsid w:val="45687B0A"/>
    <w:rsid w:val="45725A27"/>
    <w:rsid w:val="4582210E"/>
    <w:rsid w:val="45905EAD"/>
    <w:rsid w:val="45921C25"/>
    <w:rsid w:val="4597548E"/>
    <w:rsid w:val="45A33E32"/>
    <w:rsid w:val="45AC0F39"/>
    <w:rsid w:val="45E05789"/>
    <w:rsid w:val="45E0774E"/>
    <w:rsid w:val="45E2032F"/>
    <w:rsid w:val="45E70DC4"/>
    <w:rsid w:val="46080139"/>
    <w:rsid w:val="46101E17"/>
    <w:rsid w:val="462A00B0"/>
    <w:rsid w:val="462E7BA0"/>
    <w:rsid w:val="466811B5"/>
    <w:rsid w:val="466D6214"/>
    <w:rsid w:val="46773B8D"/>
    <w:rsid w:val="46EB5A91"/>
    <w:rsid w:val="470C5538"/>
    <w:rsid w:val="47287BC0"/>
    <w:rsid w:val="47321912"/>
    <w:rsid w:val="47417260"/>
    <w:rsid w:val="47480ED2"/>
    <w:rsid w:val="47523ABF"/>
    <w:rsid w:val="4761678A"/>
    <w:rsid w:val="4781466F"/>
    <w:rsid w:val="47863A0C"/>
    <w:rsid w:val="47A117BB"/>
    <w:rsid w:val="47CB7671"/>
    <w:rsid w:val="481E3C44"/>
    <w:rsid w:val="483875A0"/>
    <w:rsid w:val="48547666"/>
    <w:rsid w:val="48703717"/>
    <w:rsid w:val="48972614"/>
    <w:rsid w:val="48AC6612"/>
    <w:rsid w:val="48AF2AEE"/>
    <w:rsid w:val="48B0193B"/>
    <w:rsid w:val="48BC2773"/>
    <w:rsid w:val="48BF0222"/>
    <w:rsid w:val="48C60564"/>
    <w:rsid w:val="48D37C96"/>
    <w:rsid w:val="48D73AF0"/>
    <w:rsid w:val="48EF1463"/>
    <w:rsid w:val="48F32FE7"/>
    <w:rsid w:val="48FD7CFE"/>
    <w:rsid w:val="490E151D"/>
    <w:rsid w:val="491F48FD"/>
    <w:rsid w:val="4928211D"/>
    <w:rsid w:val="492D2391"/>
    <w:rsid w:val="49435EA6"/>
    <w:rsid w:val="495426F7"/>
    <w:rsid w:val="495B1BC7"/>
    <w:rsid w:val="49703731"/>
    <w:rsid w:val="497E0E3E"/>
    <w:rsid w:val="49815FDD"/>
    <w:rsid w:val="499D4CC3"/>
    <w:rsid w:val="49AC37D7"/>
    <w:rsid w:val="49B87CE2"/>
    <w:rsid w:val="49C1176A"/>
    <w:rsid w:val="49C71365"/>
    <w:rsid w:val="49CE13C3"/>
    <w:rsid w:val="49DE7344"/>
    <w:rsid w:val="49E669E4"/>
    <w:rsid w:val="49E75CD0"/>
    <w:rsid w:val="49F64FE0"/>
    <w:rsid w:val="4A655B5A"/>
    <w:rsid w:val="4A7B35D0"/>
    <w:rsid w:val="4A8E0ECE"/>
    <w:rsid w:val="4AA30431"/>
    <w:rsid w:val="4AC40AD3"/>
    <w:rsid w:val="4AC46D25"/>
    <w:rsid w:val="4ACC5BD9"/>
    <w:rsid w:val="4AD625B4"/>
    <w:rsid w:val="4AF2226F"/>
    <w:rsid w:val="4B040982"/>
    <w:rsid w:val="4B1B0C0A"/>
    <w:rsid w:val="4B3551B7"/>
    <w:rsid w:val="4B3A7B4E"/>
    <w:rsid w:val="4B423779"/>
    <w:rsid w:val="4B646353"/>
    <w:rsid w:val="4B68369B"/>
    <w:rsid w:val="4B9009B5"/>
    <w:rsid w:val="4BAC42C6"/>
    <w:rsid w:val="4BAF4582"/>
    <w:rsid w:val="4BE96317"/>
    <w:rsid w:val="4C143394"/>
    <w:rsid w:val="4C1772C8"/>
    <w:rsid w:val="4C1A4723"/>
    <w:rsid w:val="4C297F74"/>
    <w:rsid w:val="4C3677AE"/>
    <w:rsid w:val="4C465518"/>
    <w:rsid w:val="4C9646F1"/>
    <w:rsid w:val="4C991AEB"/>
    <w:rsid w:val="4CBC3107"/>
    <w:rsid w:val="4CC90623"/>
    <w:rsid w:val="4CDB2104"/>
    <w:rsid w:val="4CDC3ABD"/>
    <w:rsid w:val="4D15313A"/>
    <w:rsid w:val="4D16630D"/>
    <w:rsid w:val="4D2832EB"/>
    <w:rsid w:val="4D283E92"/>
    <w:rsid w:val="4D3017F6"/>
    <w:rsid w:val="4D3A507C"/>
    <w:rsid w:val="4D4203D5"/>
    <w:rsid w:val="4D4E0B28"/>
    <w:rsid w:val="4D522188"/>
    <w:rsid w:val="4D7220BC"/>
    <w:rsid w:val="4D84279B"/>
    <w:rsid w:val="4D8602C2"/>
    <w:rsid w:val="4DB52955"/>
    <w:rsid w:val="4DD3727F"/>
    <w:rsid w:val="4DE07A33"/>
    <w:rsid w:val="4DE82D2A"/>
    <w:rsid w:val="4E061402"/>
    <w:rsid w:val="4E233B70"/>
    <w:rsid w:val="4E314A0C"/>
    <w:rsid w:val="4E516B22"/>
    <w:rsid w:val="4E6A7BE3"/>
    <w:rsid w:val="4E7567C2"/>
    <w:rsid w:val="4E762BFC"/>
    <w:rsid w:val="4E922C96"/>
    <w:rsid w:val="4E977924"/>
    <w:rsid w:val="4E9D1161"/>
    <w:rsid w:val="4E9E788D"/>
    <w:rsid w:val="4EB41FBA"/>
    <w:rsid w:val="4ECB0CEE"/>
    <w:rsid w:val="4ED30749"/>
    <w:rsid w:val="4ED84B4D"/>
    <w:rsid w:val="4F005E52"/>
    <w:rsid w:val="4F087D42"/>
    <w:rsid w:val="4F312B99"/>
    <w:rsid w:val="4F461E80"/>
    <w:rsid w:val="4F525119"/>
    <w:rsid w:val="4F6C2452"/>
    <w:rsid w:val="4F7D56F4"/>
    <w:rsid w:val="4F950B0E"/>
    <w:rsid w:val="4F9A2344"/>
    <w:rsid w:val="4FA26F09"/>
    <w:rsid w:val="4FB94CCB"/>
    <w:rsid w:val="4FC81BF6"/>
    <w:rsid w:val="4FE036BD"/>
    <w:rsid w:val="50146059"/>
    <w:rsid w:val="502F3874"/>
    <w:rsid w:val="50341731"/>
    <w:rsid w:val="5039786D"/>
    <w:rsid w:val="50487B81"/>
    <w:rsid w:val="506649CE"/>
    <w:rsid w:val="509B0528"/>
    <w:rsid w:val="50B125CE"/>
    <w:rsid w:val="50B45146"/>
    <w:rsid w:val="50C730CB"/>
    <w:rsid w:val="50CA2BBB"/>
    <w:rsid w:val="50CE28D9"/>
    <w:rsid w:val="50D13F4A"/>
    <w:rsid w:val="50D457E8"/>
    <w:rsid w:val="50D92763"/>
    <w:rsid w:val="510C4854"/>
    <w:rsid w:val="511300BE"/>
    <w:rsid w:val="51181B78"/>
    <w:rsid w:val="51220612"/>
    <w:rsid w:val="51334C60"/>
    <w:rsid w:val="513700D8"/>
    <w:rsid w:val="51383FC9"/>
    <w:rsid w:val="513E788B"/>
    <w:rsid w:val="51450494"/>
    <w:rsid w:val="51694182"/>
    <w:rsid w:val="516A5F60"/>
    <w:rsid w:val="517F5754"/>
    <w:rsid w:val="5180327A"/>
    <w:rsid w:val="51A90A23"/>
    <w:rsid w:val="51C50152"/>
    <w:rsid w:val="51CA17D7"/>
    <w:rsid w:val="51D21E7F"/>
    <w:rsid w:val="51DA1BA2"/>
    <w:rsid w:val="51E0459F"/>
    <w:rsid w:val="521466F1"/>
    <w:rsid w:val="522D175C"/>
    <w:rsid w:val="52786DD5"/>
    <w:rsid w:val="52860D64"/>
    <w:rsid w:val="5291359B"/>
    <w:rsid w:val="52A80EC4"/>
    <w:rsid w:val="52BE405A"/>
    <w:rsid w:val="52D91433"/>
    <w:rsid w:val="52E0544A"/>
    <w:rsid w:val="52E442D5"/>
    <w:rsid w:val="53146370"/>
    <w:rsid w:val="531B5950"/>
    <w:rsid w:val="531C6FD2"/>
    <w:rsid w:val="53220E17"/>
    <w:rsid w:val="532A6F99"/>
    <w:rsid w:val="533B1B4E"/>
    <w:rsid w:val="5347445F"/>
    <w:rsid w:val="534C1713"/>
    <w:rsid w:val="536524C3"/>
    <w:rsid w:val="53715570"/>
    <w:rsid w:val="53874D93"/>
    <w:rsid w:val="53937294"/>
    <w:rsid w:val="53AA2830"/>
    <w:rsid w:val="53B37937"/>
    <w:rsid w:val="53C9715A"/>
    <w:rsid w:val="53D578AD"/>
    <w:rsid w:val="53F36F74"/>
    <w:rsid w:val="53F71F19"/>
    <w:rsid w:val="53FD5056"/>
    <w:rsid w:val="5408144B"/>
    <w:rsid w:val="541E2DD9"/>
    <w:rsid w:val="542D593B"/>
    <w:rsid w:val="543D5452"/>
    <w:rsid w:val="54413194"/>
    <w:rsid w:val="544D1B39"/>
    <w:rsid w:val="544F3BE0"/>
    <w:rsid w:val="54501629"/>
    <w:rsid w:val="545509EE"/>
    <w:rsid w:val="546867E4"/>
    <w:rsid w:val="547318CF"/>
    <w:rsid w:val="547365D3"/>
    <w:rsid w:val="54743D5F"/>
    <w:rsid w:val="54992FD0"/>
    <w:rsid w:val="54CC424B"/>
    <w:rsid w:val="54D97871"/>
    <w:rsid w:val="54ED6E78"/>
    <w:rsid w:val="54FC6BE5"/>
    <w:rsid w:val="55127748"/>
    <w:rsid w:val="551C2924"/>
    <w:rsid w:val="55393E6B"/>
    <w:rsid w:val="556D17E3"/>
    <w:rsid w:val="557C0095"/>
    <w:rsid w:val="557C1FAA"/>
    <w:rsid w:val="557F21C6"/>
    <w:rsid w:val="558110E9"/>
    <w:rsid w:val="558A2919"/>
    <w:rsid w:val="55913CA7"/>
    <w:rsid w:val="559519EA"/>
    <w:rsid w:val="559612BE"/>
    <w:rsid w:val="55AD05A3"/>
    <w:rsid w:val="55AD5901"/>
    <w:rsid w:val="55AF412E"/>
    <w:rsid w:val="55C4407D"/>
    <w:rsid w:val="55CA7190"/>
    <w:rsid w:val="55E71B19"/>
    <w:rsid w:val="55EC0126"/>
    <w:rsid w:val="55FC2A88"/>
    <w:rsid w:val="56004989"/>
    <w:rsid w:val="5604091D"/>
    <w:rsid w:val="561A5A4B"/>
    <w:rsid w:val="562B7AC3"/>
    <w:rsid w:val="562B7C58"/>
    <w:rsid w:val="562E14F6"/>
    <w:rsid w:val="56302556"/>
    <w:rsid w:val="563C147E"/>
    <w:rsid w:val="563F54B2"/>
    <w:rsid w:val="56B22127"/>
    <w:rsid w:val="56B23ED5"/>
    <w:rsid w:val="56B7773E"/>
    <w:rsid w:val="56D73520"/>
    <w:rsid w:val="56D81F6E"/>
    <w:rsid w:val="56DA167E"/>
    <w:rsid w:val="56E754E2"/>
    <w:rsid w:val="56E878F7"/>
    <w:rsid w:val="570D1A54"/>
    <w:rsid w:val="570E45A3"/>
    <w:rsid w:val="57104F88"/>
    <w:rsid w:val="57137C33"/>
    <w:rsid w:val="57295295"/>
    <w:rsid w:val="575118D0"/>
    <w:rsid w:val="5753390A"/>
    <w:rsid w:val="576E2576"/>
    <w:rsid w:val="578C2978"/>
    <w:rsid w:val="57925AB5"/>
    <w:rsid w:val="5798756F"/>
    <w:rsid w:val="579D4B86"/>
    <w:rsid w:val="579E26AC"/>
    <w:rsid w:val="57A23F4A"/>
    <w:rsid w:val="57AF7172"/>
    <w:rsid w:val="57BD0C66"/>
    <w:rsid w:val="57C100EB"/>
    <w:rsid w:val="57D45775"/>
    <w:rsid w:val="57D97DE1"/>
    <w:rsid w:val="57DE6F4C"/>
    <w:rsid w:val="57EF4CB5"/>
    <w:rsid w:val="57F56770"/>
    <w:rsid w:val="57F8095F"/>
    <w:rsid w:val="57FB28B2"/>
    <w:rsid w:val="580011E2"/>
    <w:rsid w:val="580A1AEF"/>
    <w:rsid w:val="580C5867"/>
    <w:rsid w:val="581F48DC"/>
    <w:rsid w:val="584865CE"/>
    <w:rsid w:val="58920462"/>
    <w:rsid w:val="58922210"/>
    <w:rsid w:val="58B33F35"/>
    <w:rsid w:val="58B552F0"/>
    <w:rsid w:val="58BD534C"/>
    <w:rsid w:val="58DE14C6"/>
    <w:rsid w:val="58FD3402"/>
    <w:rsid w:val="59005C35"/>
    <w:rsid w:val="59060509"/>
    <w:rsid w:val="591744C4"/>
    <w:rsid w:val="591A64F6"/>
    <w:rsid w:val="59272216"/>
    <w:rsid w:val="59352755"/>
    <w:rsid w:val="59417793"/>
    <w:rsid w:val="59532654"/>
    <w:rsid w:val="595D7738"/>
    <w:rsid w:val="59671ADA"/>
    <w:rsid w:val="598F25C7"/>
    <w:rsid w:val="59941FB8"/>
    <w:rsid w:val="599C04BB"/>
    <w:rsid w:val="59B55565"/>
    <w:rsid w:val="59B57AB7"/>
    <w:rsid w:val="59B817D3"/>
    <w:rsid w:val="59C10A03"/>
    <w:rsid w:val="59C75EEA"/>
    <w:rsid w:val="59CB1420"/>
    <w:rsid w:val="59D10B16"/>
    <w:rsid w:val="59ED2925"/>
    <w:rsid w:val="59EE6EC9"/>
    <w:rsid w:val="59EF3692"/>
    <w:rsid w:val="59FA4157"/>
    <w:rsid w:val="59FA62BF"/>
    <w:rsid w:val="5A13112F"/>
    <w:rsid w:val="5A2F1CE1"/>
    <w:rsid w:val="5A2F5CBF"/>
    <w:rsid w:val="5A5A6D5E"/>
    <w:rsid w:val="5A7263B7"/>
    <w:rsid w:val="5A7F3CF8"/>
    <w:rsid w:val="5AB3646E"/>
    <w:rsid w:val="5ABD553F"/>
    <w:rsid w:val="5AC266B1"/>
    <w:rsid w:val="5AC91D35"/>
    <w:rsid w:val="5ADC3248"/>
    <w:rsid w:val="5ADE798F"/>
    <w:rsid w:val="5AEE231E"/>
    <w:rsid w:val="5AF95A53"/>
    <w:rsid w:val="5B022F52"/>
    <w:rsid w:val="5B041D86"/>
    <w:rsid w:val="5B063544"/>
    <w:rsid w:val="5B1A5DBB"/>
    <w:rsid w:val="5B1E32D4"/>
    <w:rsid w:val="5B2117C4"/>
    <w:rsid w:val="5B364DD5"/>
    <w:rsid w:val="5B395400"/>
    <w:rsid w:val="5B5B778F"/>
    <w:rsid w:val="5B5E287E"/>
    <w:rsid w:val="5B5E63DA"/>
    <w:rsid w:val="5B6C6420"/>
    <w:rsid w:val="5B702777"/>
    <w:rsid w:val="5B7C4AB2"/>
    <w:rsid w:val="5BAE36B3"/>
    <w:rsid w:val="5BB666A6"/>
    <w:rsid w:val="5BC16969"/>
    <w:rsid w:val="5BEA5FA6"/>
    <w:rsid w:val="5BFD7D84"/>
    <w:rsid w:val="5C10303C"/>
    <w:rsid w:val="5C223C7A"/>
    <w:rsid w:val="5C2906D5"/>
    <w:rsid w:val="5C444FAF"/>
    <w:rsid w:val="5C4F21C6"/>
    <w:rsid w:val="5C841E70"/>
    <w:rsid w:val="5C8B72C7"/>
    <w:rsid w:val="5CA64105"/>
    <w:rsid w:val="5CA800DD"/>
    <w:rsid w:val="5CB12E81"/>
    <w:rsid w:val="5CD96603"/>
    <w:rsid w:val="5CDA307C"/>
    <w:rsid w:val="5CE861E2"/>
    <w:rsid w:val="5CEA0D81"/>
    <w:rsid w:val="5CEC5C67"/>
    <w:rsid w:val="5CEE378D"/>
    <w:rsid w:val="5CF722E7"/>
    <w:rsid w:val="5CF807CC"/>
    <w:rsid w:val="5CFF1157"/>
    <w:rsid w:val="5D00095C"/>
    <w:rsid w:val="5D185EC3"/>
    <w:rsid w:val="5D23452B"/>
    <w:rsid w:val="5D2F36E0"/>
    <w:rsid w:val="5D3513BC"/>
    <w:rsid w:val="5D392AE2"/>
    <w:rsid w:val="5DAB3C67"/>
    <w:rsid w:val="5DB05CCC"/>
    <w:rsid w:val="5DC310BE"/>
    <w:rsid w:val="5DD10016"/>
    <w:rsid w:val="5DE8087E"/>
    <w:rsid w:val="5DF50B4C"/>
    <w:rsid w:val="5E0967FA"/>
    <w:rsid w:val="5E111E29"/>
    <w:rsid w:val="5E1B2CA8"/>
    <w:rsid w:val="5E314D0C"/>
    <w:rsid w:val="5E493BBB"/>
    <w:rsid w:val="5E4A0E97"/>
    <w:rsid w:val="5E4C10B3"/>
    <w:rsid w:val="5E4D7E5D"/>
    <w:rsid w:val="5E697B8E"/>
    <w:rsid w:val="5E824AD5"/>
    <w:rsid w:val="5E883BEB"/>
    <w:rsid w:val="5EAC56AE"/>
    <w:rsid w:val="5EBD6E4B"/>
    <w:rsid w:val="5EC16208"/>
    <w:rsid w:val="5EC424E3"/>
    <w:rsid w:val="5EE42ADC"/>
    <w:rsid w:val="5EFF1C82"/>
    <w:rsid w:val="5F0A25D8"/>
    <w:rsid w:val="5F155949"/>
    <w:rsid w:val="5F2B6F1B"/>
    <w:rsid w:val="5F3538F6"/>
    <w:rsid w:val="5F4C0C3F"/>
    <w:rsid w:val="5F5A521E"/>
    <w:rsid w:val="5F7E34EF"/>
    <w:rsid w:val="5FB22447"/>
    <w:rsid w:val="5FB76A00"/>
    <w:rsid w:val="5FB963E2"/>
    <w:rsid w:val="5FCD0166"/>
    <w:rsid w:val="5FD44EBD"/>
    <w:rsid w:val="600E3E9F"/>
    <w:rsid w:val="601813E9"/>
    <w:rsid w:val="60261490"/>
    <w:rsid w:val="605E6E7C"/>
    <w:rsid w:val="60746D32"/>
    <w:rsid w:val="608368E3"/>
    <w:rsid w:val="608763D3"/>
    <w:rsid w:val="60A14042"/>
    <w:rsid w:val="60A742EA"/>
    <w:rsid w:val="60BC7638"/>
    <w:rsid w:val="60D46EBD"/>
    <w:rsid w:val="60DE4622"/>
    <w:rsid w:val="60DF7FBD"/>
    <w:rsid w:val="60E43825"/>
    <w:rsid w:val="60E90645"/>
    <w:rsid w:val="60F4333C"/>
    <w:rsid w:val="60FE6800"/>
    <w:rsid w:val="610436E7"/>
    <w:rsid w:val="612754C0"/>
    <w:rsid w:val="613046AB"/>
    <w:rsid w:val="61323F23"/>
    <w:rsid w:val="61564476"/>
    <w:rsid w:val="615F10FE"/>
    <w:rsid w:val="617D0192"/>
    <w:rsid w:val="617D1584"/>
    <w:rsid w:val="618A0545"/>
    <w:rsid w:val="618D4EC7"/>
    <w:rsid w:val="619057DE"/>
    <w:rsid w:val="61A22D98"/>
    <w:rsid w:val="61AD3C17"/>
    <w:rsid w:val="61B054B5"/>
    <w:rsid w:val="61BA27D8"/>
    <w:rsid w:val="61BC3E5A"/>
    <w:rsid w:val="61D337AC"/>
    <w:rsid w:val="61FC694D"/>
    <w:rsid w:val="61FD1294"/>
    <w:rsid w:val="62061579"/>
    <w:rsid w:val="621E68C3"/>
    <w:rsid w:val="62233ED9"/>
    <w:rsid w:val="622F6D22"/>
    <w:rsid w:val="62353C0D"/>
    <w:rsid w:val="623C143F"/>
    <w:rsid w:val="623F0B7F"/>
    <w:rsid w:val="623F6D0A"/>
    <w:rsid w:val="624B3430"/>
    <w:rsid w:val="627806C9"/>
    <w:rsid w:val="62830B44"/>
    <w:rsid w:val="628A21AA"/>
    <w:rsid w:val="62A63DB0"/>
    <w:rsid w:val="62B2174B"/>
    <w:rsid w:val="62B40FD5"/>
    <w:rsid w:val="62B73743"/>
    <w:rsid w:val="62D1506A"/>
    <w:rsid w:val="62FB0777"/>
    <w:rsid w:val="63005B25"/>
    <w:rsid w:val="630465BE"/>
    <w:rsid w:val="632919C3"/>
    <w:rsid w:val="63554566"/>
    <w:rsid w:val="635B76A3"/>
    <w:rsid w:val="63612A8E"/>
    <w:rsid w:val="63660521"/>
    <w:rsid w:val="636A4F2C"/>
    <w:rsid w:val="636A7FBD"/>
    <w:rsid w:val="637F38AA"/>
    <w:rsid w:val="63807109"/>
    <w:rsid w:val="639C430D"/>
    <w:rsid w:val="63B10555"/>
    <w:rsid w:val="63BC6393"/>
    <w:rsid w:val="63C705E7"/>
    <w:rsid w:val="63E63E12"/>
    <w:rsid w:val="63EB0A27"/>
    <w:rsid w:val="63EF5D46"/>
    <w:rsid w:val="64116879"/>
    <w:rsid w:val="641206A9"/>
    <w:rsid w:val="64287EE0"/>
    <w:rsid w:val="64341C13"/>
    <w:rsid w:val="643423CE"/>
    <w:rsid w:val="643E5896"/>
    <w:rsid w:val="645D7C18"/>
    <w:rsid w:val="646031C3"/>
    <w:rsid w:val="64647D8B"/>
    <w:rsid w:val="64680C55"/>
    <w:rsid w:val="64942E6C"/>
    <w:rsid w:val="64AC465A"/>
    <w:rsid w:val="64EB57C1"/>
    <w:rsid w:val="650A312E"/>
    <w:rsid w:val="650C6EA7"/>
    <w:rsid w:val="6522491C"/>
    <w:rsid w:val="65247E0C"/>
    <w:rsid w:val="655645C6"/>
    <w:rsid w:val="655B2F90"/>
    <w:rsid w:val="655B7516"/>
    <w:rsid w:val="655F57DB"/>
    <w:rsid w:val="65660CAD"/>
    <w:rsid w:val="656C4713"/>
    <w:rsid w:val="656C5B97"/>
    <w:rsid w:val="65784C1F"/>
    <w:rsid w:val="65872767"/>
    <w:rsid w:val="65AE4402"/>
    <w:rsid w:val="65B37C6A"/>
    <w:rsid w:val="65D05B6C"/>
    <w:rsid w:val="65D21249"/>
    <w:rsid w:val="65E762A0"/>
    <w:rsid w:val="66016BDA"/>
    <w:rsid w:val="660D2ED6"/>
    <w:rsid w:val="661070A1"/>
    <w:rsid w:val="661C136B"/>
    <w:rsid w:val="66216D98"/>
    <w:rsid w:val="6642468F"/>
    <w:rsid w:val="66434E23"/>
    <w:rsid w:val="66787BBD"/>
    <w:rsid w:val="667C084F"/>
    <w:rsid w:val="66A00B1A"/>
    <w:rsid w:val="66AC15D9"/>
    <w:rsid w:val="66BD5354"/>
    <w:rsid w:val="66BD6B7E"/>
    <w:rsid w:val="66D439F4"/>
    <w:rsid w:val="66D53137"/>
    <w:rsid w:val="670B181E"/>
    <w:rsid w:val="67227736"/>
    <w:rsid w:val="6729172F"/>
    <w:rsid w:val="674E1733"/>
    <w:rsid w:val="677156E7"/>
    <w:rsid w:val="67862EBE"/>
    <w:rsid w:val="67982C74"/>
    <w:rsid w:val="67A860B4"/>
    <w:rsid w:val="67D12035"/>
    <w:rsid w:val="67D53EC8"/>
    <w:rsid w:val="67DC5E46"/>
    <w:rsid w:val="67E62382"/>
    <w:rsid w:val="67E656EE"/>
    <w:rsid w:val="67E832AB"/>
    <w:rsid w:val="67EA3883"/>
    <w:rsid w:val="67FB59CA"/>
    <w:rsid w:val="681C38A5"/>
    <w:rsid w:val="68274789"/>
    <w:rsid w:val="68295FC1"/>
    <w:rsid w:val="683B74A5"/>
    <w:rsid w:val="686B65DA"/>
    <w:rsid w:val="68782B70"/>
    <w:rsid w:val="68AB4C28"/>
    <w:rsid w:val="68C65B7A"/>
    <w:rsid w:val="68C90A1E"/>
    <w:rsid w:val="68D157BD"/>
    <w:rsid w:val="68E819D9"/>
    <w:rsid w:val="68FE11FC"/>
    <w:rsid w:val="69004F74"/>
    <w:rsid w:val="692777EE"/>
    <w:rsid w:val="6933534A"/>
    <w:rsid w:val="69456E2B"/>
    <w:rsid w:val="69623539"/>
    <w:rsid w:val="69625975"/>
    <w:rsid w:val="69794D27"/>
    <w:rsid w:val="69831701"/>
    <w:rsid w:val="69961435"/>
    <w:rsid w:val="699C7DEA"/>
    <w:rsid w:val="69B144C0"/>
    <w:rsid w:val="69D16911"/>
    <w:rsid w:val="69FF1774"/>
    <w:rsid w:val="6A152BF7"/>
    <w:rsid w:val="6A1D049F"/>
    <w:rsid w:val="6A5B6680"/>
    <w:rsid w:val="6A845731"/>
    <w:rsid w:val="6A880510"/>
    <w:rsid w:val="6A927E4E"/>
    <w:rsid w:val="6ACE7B92"/>
    <w:rsid w:val="6AD765F7"/>
    <w:rsid w:val="6AF64867"/>
    <w:rsid w:val="6B0C2A72"/>
    <w:rsid w:val="6B0F619D"/>
    <w:rsid w:val="6B2018FE"/>
    <w:rsid w:val="6B3A1E2C"/>
    <w:rsid w:val="6B3B04E6"/>
    <w:rsid w:val="6B546244"/>
    <w:rsid w:val="6B5C220A"/>
    <w:rsid w:val="6B746386"/>
    <w:rsid w:val="6B7D5FD3"/>
    <w:rsid w:val="6B8F6814"/>
    <w:rsid w:val="6B95350B"/>
    <w:rsid w:val="6B965F59"/>
    <w:rsid w:val="6BA442DD"/>
    <w:rsid w:val="6BFB5EC7"/>
    <w:rsid w:val="6C016845"/>
    <w:rsid w:val="6C046B2A"/>
    <w:rsid w:val="6C132E5F"/>
    <w:rsid w:val="6C482A24"/>
    <w:rsid w:val="6C5A3C71"/>
    <w:rsid w:val="6C612FA7"/>
    <w:rsid w:val="6C70567A"/>
    <w:rsid w:val="6C8136C6"/>
    <w:rsid w:val="6C857302"/>
    <w:rsid w:val="6CCE7AE4"/>
    <w:rsid w:val="6CD52274"/>
    <w:rsid w:val="6CDE5B45"/>
    <w:rsid w:val="6CF748E0"/>
    <w:rsid w:val="6D142D9C"/>
    <w:rsid w:val="6D2152F9"/>
    <w:rsid w:val="6D2867F4"/>
    <w:rsid w:val="6D367605"/>
    <w:rsid w:val="6D433682"/>
    <w:rsid w:val="6D485D76"/>
    <w:rsid w:val="6D486EEA"/>
    <w:rsid w:val="6D4C4C2C"/>
    <w:rsid w:val="6D625F4A"/>
    <w:rsid w:val="6D694DF1"/>
    <w:rsid w:val="6D777986"/>
    <w:rsid w:val="6D794F7D"/>
    <w:rsid w:val="6D7D331D"/>
    <w:rsid w:val="6D8532DC"/>
    <w:rsid w:val="6D855A48"/>
    <w:rsid w:val="6D8617C0"/>
    <w:rsid w:val="6D8F658E"/>
    <w:rsid w:val="6DA2484C"/>
    <w:rsid w:val="6DA4492E"/>
    <w:rsid w:val="6DB372FB"/>
    <w:rsid w:val="6DB93944"/>
    <w:rsid w:val="6DB95988"/>
    <w:rsid w:val="6DBA6806"/>
    <w:rsid w:val="6DC24EEE"/>
    <w:rsid w:val="6DCB2B6C"/>
    <w:rsid w:val="6DE309C1"/>
    <w:rsid w:val="6DFE6BFE"/>
    <w:rsid w:val="6E105C5A"/>
    <w:rsid w:val="6E3C4330"/>
    <w:rsid w:val="6E3F209B"/>
    <w:rsid w:val="6E4F1515"/>
    <w:rsid w:val="6E922B12"/>
    <w:rsid w:val="6EB45E71"/>
    <w:rsid w:val="6EBA42E1"/>
    <w:rsid w:val="6EBD7464"/>
    <w:rsid w:val="6EC30F1E"/>
    <w:rsid w:val="6EC631BF"/>
    <w:rsid w:val="6ECF35BC"/>
    <w:rsid w:val="6ED24740"/>
    <w:rsid w:val="6EE90F72"/>
    <w:rsid w:val="6EE964AB"/>
    <w:rsid w:val="6EFD04AE"/>
    <w:rsid w:val="6EFD1AEA"/>
    <w:rsid w:val="6EFF4FD1"/>
    <w:rsid w:val="6F052E4D"/>
    <w:rsid w:val="6F06705D"/>
    <w:rsid w:val="6F0F5F11"/>
    <w:rsid w:val="6F111D66"/>
    <w:rsid w:val="6F141779"/>
    <w:rsid w:val="6F173018"/>
    <w:rsid w:val="6F305AD5"/>
    <w:rsid w:val="6F3E040D"/>
    <w:rsid w:val="6F43617B"/>
    <w:rsid w:val="6F446BA0"/>
    <w:rsid w:val="6F467D74"/>
    <w:rsid w:val="6F70401F"/>
    <w:rsid w:val="6F8A5583"/>
    <w:rsid w:val="6F8C3A90"/>
    <w:rsid w:val="6F977CB5"/>
    <w:rsid w:val="6FB548C3"/>
    <w:rsid w:val="6FCD12F8"/>
    <w:rsid w:val="6FD30698"/>
    <w:rsid w:val="6FD35191"/>
    <w:rsid w:val="6FEF189F"/>
    <w:rsid w:val="6FF11ABB"/>
    <w:rsid w:val="6FF13869"/>
    <w:rsid w:val="70016948"/>
    <w:rsid w:val="700630E4"/>
    <w:rsid w:val="702552C0"/>
    <w:rsid w:val="70457711"/>
    <w:rsid w:val="70587444"/>
    <w:rsid w:val="705B5186"/>
    <w:rsid w:val="706A7177"/>
    <w:rsid w:val="707F4466"/>
    <w:rsid w:val="709014CD"/>
    <w:rsid w:val="709F0A11"/>
    <w:rsid w:val="70A22DB5"/>
    <w:rsid w:val="70A32120"/>
    <w:rsid w:val="70B717EC"/>
    <w:rsid w:val="70BA6A26"/>
    <w:rsid w:val="70C5552E"/>
    <w:rsid w:val="70D9175E"/>
    <w:rsid w:val="70DD3FC2"/>
    <w:rsid w:val="70E17439"/>
    <w:rsid w:val="70F536CF"/>
    <w:rsid w:val="710C3399"/>
    <w:rsid w:val="71141F49"/>
    <w:rsid w:val="71237A52"/>
    <w:rsid w:val="712505BB"/>
    <w:rsid w:val="71265794"/>
    <w:rsid w:val="712B4B58"/>
    <w:rsid w:val="713E0DC1"/>
    <w:rsid w:val="71453E6C"/>
    <w:rsid w:val="719372C5"/>
    <w:rsid w:val="71A67DBF"/>
    <w:rsid w:val="71AA57A9"/>
    <w:rsid w:val="71AE3447"/>
    <w:rsid w:val="71C03FE2"/>
    <w:rsid w:val="71C17780"/>
    <w:rsid w:val="71D054BF"/>
    <w:rsid w:val="71D7319F"/>
    <w:rsid w:val="71DB0960"/>
    <w:rsid w:val="71EC44BB"/>
    <w:rsid w:val="71ED1E0E"/>
    <w:rsid w:val="720535FB"/>
    <w:rsid w:val="720A29C0"/>
    <w:rsid w:val="720E0702"/>
    <w:rsid w:val="721423F4"/>
    <w:rsid w:val="721C54CE"/>
    <w:rsid w:val="72341D5D"/>
    <w:rsid w:val="7238577F"/>
    <w:rsid w:val="724A0215"/>
    <w:rsid w:val="724D20AE"/>
    <w:rsid w:val="725D3437"/>
    <w:rsid w:val="72605EE6"/>
    <w:rsid w:val="726E28BB"/>
    <w:rsid w:val="72944153"/>
    <w:rsid w:val="729B633B"/>
    <w:rsid w:val="72A50F7A"/>
    <w:rsid w:val="72A7041A"/>
    <w:rsid w:val="72B4247F"/>
    <w:rsid w:val="72B868C0"/>
    <w:rsid w:val="72BF1B9C"/>
    <w:rsid w:val="72C2329A"/>
    <w:rsid w:val="72DD3274"/>
    <w:rsid w:val="72E41463"/>
    <w:rsid w:val="72FD4B68"/>
    <w:rsid w:val="73224AB6"/>
    <w:rsid w:val="735013B2"/>
    <w:rsid w:val="7363508A"/>
    <w:rsid w:val="736F418A"/>
    <w:rsid w:val="7370719A"/>
    <w:rsid w:val="73797DFD"/>
    <w:rsid w:val="737F18E2"/>
    <w:rsid w:val="738B1E5F"/>
    <w:rsid w:val="739B4217"/>
    <w:rsid w:val="73A330CC"/>
    <w:rsid w:val="73DC038C"/>
    <w:rsid w:val="73E95A15"/>
    <w:rsid w:val="73F81D9D"/>
    <w:rsid w:val="73FB2F08"/>
    <w:rsid w:val="73FF21BF"/>
    <w:rsid w:val="740C2DE4"/>
    <w:rsid w:val="741953E8"/>
    <w:rsid w:val="744A0A36"/>
    <w:rsid w:val="744C1C4A"/>
    <w:rsid w:val="74536922"/>
    <w:rsid w:val="74661B7E"/>
    <w:rsid w:val="74830E88"/>
    <w:rsid w:val="74936C9D"/>
    <w:rsid w:val="74996DF5"/>
    <w:rsid w:val="749D4072"/>
    <w:rsid w:val="74A94EAA"/>
    <w:rsid w:val="74C701BB"/>
    <w:rsid w:val="74D15C35"/>
    <w:rsid w:val="74F93837"/>
    <w:rsid w:val="74FF4332"/>
    <w:rsid w:val="751101D6"/>
    <w:rsid w:val="75157F74"/>
    <w:rsid w:val="751A5305"/>
    <w:rsid w:val="75297601"/>
    <w:rsid w:val="752F0627"/>
    <w:rsid w:val="7537210A"/>
    <w:rsid w:val="75507C28"/>
    <w:rsid w:val="755212F7"/>
    <w:rsid w:val="755521A4"/>
    <w:rsid w:val="75555315"/>
    <w:rsid w:val="7561323F"/>
    <w:rsid w:val="75754009"/>
    <w:rsid w:val="75976C60"/>
    <w:rsid w:val="75B3511C"/>
    <w:rsid w:val="75BC2223"/>
    <w:rsid w:val="75F662E4"/>
    <w:rsid w:val="761107C1"/>
    <w:rsid w:val="76181E32"/>
    <w:rsid w:val="76371E5E"/>
    <w:rsid w:val="763936E1"/>
    <w:rsid w:val="763A0FDE"/>
    <w:rsid w:val="76504D7D"/>
    <w:rsid w:val="76530DD9"/>
    <w:rsid w:val="7655689B"/>
    <w:rsid w:val="766034F6"/>
    <w:rsid w:val="766F54E7"/>
    <w:rsid w:val="76835D84"/>
    <w:rsid w:val="76A258BD"/>
    <w:rsid w:val="76B11D0C"/>
    <w:rsid w:val="76E85E0B"/>
    <w:rsid w:val="770B5212"/>
    <w:rsid w:val="771421D2"/>
    <w:rsid w:val="77277D4B"/>
    <w:rsid w:val="772B10EA"/>
    <w:rsid w:val="77584CA8"/>
    <w:rsid w:val="777132CF"/>
    <w:rsid w:val="777F348A"/>
    <w:rsid w:val="779D7E32"/>
    <w:rsid w:val="77A06E95"/>
    <w:rsid w:val="77BF7AAA"/>
    <w:rsid w:val="77D575CC"/>
    <w:rsid w:val="77E616E5"/>
    <w:rsid w:val="780F6F82"/>
    <w:rsid w:val="78106856"/>
    <w:rsid w:val="783A38AC"/>
    <w:rsid w:val="784C58D6"/>
    <w:rsid w:val="78520C1D"/>
    <w:rsid w:val="78544995"/>
    <w:rsid w:val="78593E19"/>
    <w:rsid w:val="789E133D"/>
    <w:rsid w:val="78B15957"/>
    <w:rsid w:val="78CE2F07"/>
    <w:rsid w:val="78E73A5B"/>
    <w:rsid w:val="78FA5BA7"/>
    <w:rsid w:val="790939D1"/>
    <w:rsid w:val="79420C91"/>
    <w:rsid w:val="795F169C"/>
    <w:rsid w:val="79611BE6"/>
    <w:rsid w:val="797651D4"/>
    <w:rsid w:val="798A358F"/>
    <w:rsid w:val="799E680F"/>
    <w:rsid w:val="79AE6327"/>
    <w:rsid w:val="79C25500"/>
    <w:rsid w:val="79CC49FF"/>
    <w:rsid w:val="79DF588C"/>
    <w:rsid w:val="79E63D12"/>
    <w:rsid w:val="79FC61CB"/>
    <w:rsid w:val="7A0B2C16"/>
    <w:rsid w:val="7A100D8F"/>
    <w:rsid w:val="7A110B51"/>
    <w:rsid w:val="7A212F9C"/>
    <w:rsid w:val="7A2F56B9"/>
    <w:rsid w:val="7A3C3932"/>
    <w:rsid w:val="7A41774F"/>
    <w:rsid w:val="7A543574"/>
    <w:rsid w:val="7A623539"/>
    <w:rsid w:val="7A773C99"/>
    <w:rsid w:val="7A7D79D3"/>
    <w:rsid w:val="7A827B79"/>
    <w:rsid w:val="7A951295"/>
    <w:rsid w:val="7AA634A2"/>
    <w:rsid w:val="7AAC115B"/>
    <w:rsid w:val="7AD24D3F"/>
    <w:rsid w:val="7AF349D5"/>
    <w:rsid w:val="7B05641A"/>
    <w:rsid w:val="7B2A5E81"/>
    <w:rsid w:val="7B354F51"/>
    <w:rsid w:val="7B3A24AD"/>
    <w:rsid w:val="7B5B2F1A"/>
    <w:rsid w:val="7B5D3DB6"/>
    <w:rsid w:val="7B6065BB"/>
    <w:rsid w:val="7B827A6B"/>
    <w:rsid w:val="7B94617F"/>
    <w:rsid w:val="7BAB2D5D"/>
    <w:rsid w:val="7BB816DF"/>
    <w:rsid w:val="7BC24845"/>
    <w:rsid w:val="7BD007D6"/>
    <w:rsid w:val="7C016BE2"/>
    <w:rsid w:val="7C0B3F04"/>
    <w:rsid w:val="7C2613C4"/>
    <w:rsid w:val="7C26752C"/>
    <w:rsid w:val="7C280612"/>
    <w:rsid w:val="7C32323F"/>
    <w:rsid w:val="7C346191"/>
    <w:rsid w:val="7C4172D1"/>
    <w:rsid w:val="7C517942"/>
    <w:rsid w:val="7C523512"/>
    <w:rsid w:val="7C7B77E4"/>
    <w:rsid w:val="7C943EFA"/>
    <w:rsid w:val="7C9744AB"/>
    <w:rsid w:val="7C9C4B5C"/>
    <w:rsid w:val="7C9D7BF9"/>
    <w:rsid w:val="7CA0464C"/>
    <w:rsid w:val="7CA13F21"/>
    <w:rsid w:val="7CC04CEF"/>
    <w:rsid w:val="7CC3033B"/>
    <w:rsid w:val="7CD24DE6"/>
    <w:rsid w:val="7CD73DE6"/>
    <w:rsid w:val="7CDB7433"/>
    <w:rsid w:val="7CEF2EDE"/>
    <w:rsid w:val="7D0A263B"/>
    <w:rsid w:val="7D1110A6"/>
    <w:rsid w:val="7D3627EF"/>
    <w:rsid w:val="7D3D44B2"/>
    <w:rsid w:val="7D4506FA"/>
    <w:rsid w:val="7D474AC8"/>
    <w:rsid w:val="7D5A0B26"/>
    <w:rsid w:val="7D5B10E4"/>
    <w:rsid w:val="7D7635FF"/>
    <w:rsid w:val="7D8F021D"/>
    <w:rsid w:val="7D910439"/>
    <w:rsid w:val="7DA02D5B"/>
    <w:rsid w:val="7DBE01F2"/>
    <w:rsid w:val="7DBF2109"/>
    <w:rsid w:val="7DCF4ABD"/>
    <w:rsid w:val="7DD117E2"/>
    <w:rsid w:val="7DD82F61"/>
    <w:rsid w:val="7DDD261A"/>
    <w:rsid w:val="7DE10097"/>
    <w:rsid w:val="7E0B6CCA"/>
    <w:rsid w:val="7E2D63B4"/>
    <w:rsid w:val="7E5A082B"/>
    <w:rsid w:val="7E6A655A"/>
    <w:rsid w:val="7E7D4006"/>
    <w:rsid w:val="7E832F35"/>
    <w:rsid w:val="7E877FF0"/>
    <w:rsid w:val="7E8F19B6"/>
    <w:rsid w:val="7E903EE4"/>
    <w:rsid w:val="7E955D07"/>
    <w:rsid w:val="7E97382D"/>
    <w:rsid w:val="7EA321D2"/>
    <w:rsid w:val="7EA93AA2"/>
    <w:rsid w:val="7EAA2025"/>
    <w:rsid w:val="7EBE525E"/>
    <w:rsid w:val="7EBF244D"/>
    <w:rsid w:val="7EC32874"/>
    <w:rsid w:val="7ECB5DBF"/>
    <w:rsid w:val="7ECC2E68"/>
    <w:rsid w:val="7EDE320A"/>
    <w:rsid w:val="7EDF0482"/>
    <w:rsid w:val="7EE97D42"/>
    <w:rsid w:val="7F1C1F84"/>
    <w:rsid w:val="7F337740"/>
    <w:rsid w:val="7F390F10"/>
    <w:rsid w:val="7F4D213E"/>
    <w:rsid w:val="7F7D6EC7"/>
    <w:rsid w:val="7F8244DD"/>
    <w:rsid w:val="7F914720"/>
    <w:rsid w:val="7F923FCB"/>
    <w:rsid w:val="7F967F89"/>
    <w:rsid w:val="7FB34697"/>
    <w:rsid w:val="7FB86DFD"/>
    <w:rsid w:val="7FEC09EB"/>
    <w:rsid w:val="7FED72E8"/>
    <w:rsid w:val="7FF802F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1"/>
      <w:szCs w:val="24"/>
      <w:lang w:val="en-US" w:eastAsia="zh-CN" w:bidi="ar-SA"/>
    </w:rPr>
  </w:style>
  <w:style w:type="paragraph" w:styleId="4">
    <w:name w:val="heading 1"/>
    <w:basedOn w:val="1"/>
    <w:next w:val="1"/>
    <w:link w:val="47"/>
    <w:qFormat/>
    <w:uiPriority w:val="0"/>
    <w:pPr>
      <w:keepNext/>
      <w:keepLines/>
      <w:spacing w:line="480" w:lineRule="auto"/>
      <w:jc w:val="center"/>
      <w:outlineLvl w:val="0"/>
    </w:pPr>
    <w:rPr>
      <w:rFonts w:ascii="Times New Roman" w:hAnsi="Times New Roman" w:cs="Times New Roman"/>
      <w:b/>
      <w:kern w:val="44"/>
      <w:sz w:val="32"/>
      <w:szCs w:val="20"/>
    </w:rPr>
  </w:style>
  <w:style w:type="paragraph" w:styleId="5">
    <w:name w:val="heading 2"/>
    <w:basedOn w:val="1"/>
    <w:next w:val="1"/>
    <w:qFormat/>
    <w:uiPriority w:val="99"/>
    <w:pPr>
      <w:keepNext/>
      <w:keepLines/>
      <w:numPr>
        <w:ilvl w:val="1"/>
        <w:numId w:val="1"/>
      </w:numPr>
      <w:tabs>
        <w:tab w:val="left" w:pos="840"/>
      </w:tabs>
      <w:spacing w:before="500" w:after="500" w:line="480" w:lineRule="auto"/>
      <w:jc w:val="center"/>
      <w:outlineLvl w:val="1"/>
    </w:pPr>
    <w:rPr>
      <w:rFonts w:ascii="Arial" w:hAnsi="Arial" w:eastAsia="黑体" w:cs="Times New Roman"/>
      <w:b/>
      <w:sz w:val="32"/>
      <w:szCs w:val="20"/>
    </w:rPr>
  </w:style>
  <w:style w:type="paragraph" w:styleId="6">
    <w:name w:val="heading 3"/>
    <w:basedOn w:val="1"/>
    <w:next w:val="1"/>
    <w:qFormat/>
    <w:uiPriority w:val="99"/>
    <w:pPr>
      <w:keepNext/>
      <w:keepLines/>
      <w:spacing w:before="140" w:after="140"/>
      <w:jc w:val="left"/>
      <w:outlineLvl w:val="2"/>
    </w:pPr>
    <w:rPr>
      <w:rFonts w:cs="Times New Roman"/>
      <w:b/>
      <w:szCs w:val="21"/>
    </w:rPr>
  </w:style>
  <w:style w:type="paragraph" w:styleId="7">
    <w:name w:val="heading 4"/>
    <w:basedOn w:val="1"/>
    <w:next w:val="1"/>
    <w:qFormat/>
    <w:uiPriority w:val="99"/>
    <w:pPr>
      <w:keepNext/>
      <w:outlineLvl w:val="3"/>
    </w:pPr>
    <w:rPr>
      <w:rFonts w:ascii="Times New Roman" w:hAnsi="Times New Roman" w:cs="Times New Roman"/>
      <w:sz w:val="32"/>
      <w:szCs w:val="20"/>
    </w:rPr>
  </w:style>
  <w:style w:type="character" w:default="1" w:styleId="30">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0"/>
    <w:pPr>
      <w:ind w:firstLine="420"/>
    </w:pPr>
    <w:rPr>
      <w:rFonts w:eastAsia="楷体_GB2312"/>
      <w:sz w:val="32"/>
      <w:szCs w:val="20"/>
    </w:rPr>
  </w:style>
  <w:style w:type="paragraph" w:styleId="3">
    <w:name w:val="Body Text"/>
    <w:basedOn w:val="1"/>
    <w:next w:val="1"/>
    <w:qFormat/>
    <w:uiPriority w:val="0"/>
    <w:pPr>
      <w:spacing w:after="120"/>
    </w:pPr>
    <w:rPr>
      <w:rFonts w:ascii="Times New Roman" w:hAnsi="Times New Roman" w:cs="Times New Roman"/>
    </w:rPr>
  </w:style>
  <w:style w:type="paragraph" w:styleId="8">
    <w:name w:val="Normal Indent"/>
    <w:basedOn w:val="1"/>
    <w:qFormat/>
    <w:uiPriority w:val="0"/>
    <w:pPr>
      <w:ind w:firstLine="420"/>
    </w:pPr>
    <w:rPr>
      <w:szCs w:val="20"/>
    </w:rPr>
  </w:style>
  <w:style w:type="paragraph" w:styleId="9">
    <w:name w:val="caption"/>
    <w:basedOn w:val="1"/>
    <w:next w:val="1"/>
    <w:qFormat/>
    <w:uiPriority w:val="0"/>
    <w:rPr>
      <w:rFonts w:ascii="Cambria" w:hAnsi="Cambria" w:eastAsia="黑体"/>
      <w:sz w:val="20"/>
      <w:szCs w:val="20"/>
    </w:rPr>
  </w:style>
  <w:style w:type="paragraph" w:styleId="10">
    <w:name w:val="annotation text"/>
    <w:basedOn w:val="1"/>
    <w:link w:val="54"/>
    <w:semiHidden/>
    <w:qFormat/>
    <w:uiPriority w:val="99"/>
    <w:pPr>
      <w:jc w:val="left"/>
    </w:pPr>
    <w:rPr>
      <w:rFonts w:ascii="Times New Roman" w:hAnsi="Times New Roman" w:cs="Times New Roman"/>
    </w:rPr>
  </w:style>
  <w:style w:type="paragraph" w:styleId="11">
    <w:name w:val="Body Text 3"/>
    <w:basedOn w:val="1"/>
    <w:qFormat/>
    <w:uiPriority w:val="0"/>
    <w:pPr>
      <w:spacing w:after="120"/>
    </w:pPr>
    <w:rPr>
      <w:sz w:val="16"/>
      <w:szCs w:val="16"/>
    </w:rPr>
  </w:style>
  <w:style w:type="paragraph" w:styleId="12">
    <w:name w:val="Body Text Indent"/>
    <w:basedOn w:val="1"/>
    <w:qFormat/>
    <w:uiPriority w:val="0"/>
    <w:pPr>
      <w:spacing w:after="120"/>
      <w:ind w:left="420" w:leftChars="200"/>
    </w:pPr>
    <w:rPr>
      <w:rFonts w:ascii="Times New Roman" w:hAnsi="Times New Roman" w:cs="Times New Roman"/>
    </w:rPr>
  </w:style>
  <w:style w:type="paragraph" w:styleId="13">
    <w:name w:val="List 2"/>
    <w:basedOn w:val="1"/>
    <w:qFormat/>
    <w:uiPriority w:val="0"/>
    <w:pPr>
      <w:ind w:left="100" w:leftChars="200" w:hanging="200" w:hangingChars="200"/>
    </w:pPr>
  </w:style>
  <w:style w:type="paragraph" w:styleId="14">
    <w:name w:val="List Continue"/>
    <w:basedOn w:val="1"/>
    <w:qFormat/>
    <w:uiPriority w:val="0"/>
    <w:pPr>
      <w:spacing w:after="120"/>
      <w:ind w:left="420"/>
    </w:pPr>
    <w:rPr>
      <w:rFonts w:eastAsia="楷体_GB2312"/>
      <w:sz w:val="32"/>
      <w:szCs w:val="20"/>
    </w:rPr>
  </w:style>
  <w:style w:type="paragraph" w:styleId="15">
    <w:name w:val="toc 3"/>
    <w:basedOn w:val="1"/>
    <w:next w:val="1"/>
    <w:qFormat/>
    <w:uiPriority w:val="39"/>
    <w:pPr>
      <w:ind w:left="840" w:leftChars="400"/>
    </w:pPr>
  </w:style>
  <w:style w:type="paragraph" w:styleId="16">
    <w:name w:val="Plain Text"/>
    <w:basedOn w:val="1"/>
    <w:qFormat/>
    <w:uiPriority w:val="0"/>
    <w:rPr>
      <w:rFonts w:hAnsi="Courier New" w:cs="Courier New"/>
      <w:szCs w:val="21"/>
    </w:rPr>
  </w:style>
  <w:style w:type="paragraph" w:styleId="17">
    <w:name w:val="Date"/>
    <w:basedOn w:val="1"/>
    <w:next w:val="1"/>
    <w:qFormat/>
    <w:uiPriority w:val="0"/>
    <w:pPr>
      <w:adjustRightInd w:val="0"/>
      <w:spacing w:line="360" w:lineRule="atLeast"/>
      <w:textAlignment w:val="baseline"/>
    </w:pPr>
    <w:rPr>
      <w:rFonts w:ascii="Times New Roman" w:hAnsi="Times New Roman" w:cs="Times New Roman"/>
      <w:kern w:val="0"/>
      <w:sz w:val="28"/>
      <w:szCs w:val="20"/>
    </w:rPr>
  </w:style>
  <w:style w:type="paragraph" w:styleId="18">
    <w:name w:val="Balloon Text"/>
    <w:basedOn w:val="1"/>
    <w:link w:val="53"/>
    <w:qFormat/>
    <w:uiPriority w:val="0"/>
    <w:rPr>
      <w:sz w:val="18"/>
      <w:szCs w:val="18"/>
    </w:rPr>
  </w:style>
  <w:style w:type="paragraph" w:styleId="19">
    <w:name w:val="footer"/>
    <w:basedOn w:val="1"/>
    <w:qFormat/>
    <w:uiPriority w:val="99"/>
    <w:pPr>
      <w:tabs>
        <w:tab w:val="center" w:pos="4153"/>
        <w:tab w:val="right" w:pos="8306"/>
      </w:tabs>
      <w:snapToGrid w:val="0"/>
      <w:jc w:val="left"/>
    </w:pPr>
    <w:rPr>
      <w:rFonts w:ascii="Times New Roman" w:hAnsi="Times New Roman" w:cs="Times New Roman"/>
      <w:sz w:val="18"/>
      <w:szCs w:val="18"/>
    </w:rPr>
  </w:style>
  <w:style w:type="paragraph" w:styleId="20">
    <w:name w:val="header"/>
    <w:basedOn w:val="1"/>
    <w:qFormat/>
    <w:uiPriority w:val="99"/>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21">
    <w:name w:val="toc 1"/>
    <w:basedOn w:val="1"/>
    <w:next w:val="1"/>
    <w:qFormat/>
    <w:uiPriority w:val="39"/>
    <w:pPr>
      <w:tabs>
        <w:tab w:val="right" w:leader="dot" w:pos="8460"/>
      </w:tabs>
    </w:pPr>
  </w:style>
  <w:style w:type="paragraph" w:styleId="22">
    <w:name w:val="List 5"/>
    <w:basedOn w:val="1"/>
    <w:qFormat/>
    <w:uiPriority w:val="0"/>
    <w:pPr>
      <w:ind w:left="2100" w:hanging="420"/>
    </w:pPr>
    <w:rPr>
      <w:rFonts w:eastAsia="楷体_GB2312"/>
      <w:sz w:val="32"/>
      <w:szCs w:val="20"/>
    </w:rPr>
  </w:style>
  <w:style w:type="paragraph" w:styleId="23">
    <w:name w:val="table of figures"/>
    <w:basedOn w:val="1"/>
    <w:next w:val="1"/>
    <w:qFormat/>
    <w:uiPriority w:val="0"/>
    <w:pPr>
      <w:ind w:left="200" w:leftChars="200" w:hanging="200" w:hangingChars="200"/>
    </w:pPr>
  </w:style>
  <w:style w:type="paragraph" w:styleId="24">
    <w:name w:val="toc 2"/>
    <w:basedOn w:val="1"/>
    <w:next w:val="1"/>
    <w:qFormat/>
    <w:uiPriority w:val="39"/>
    <w:pPr>
      <w:ind w:left="420" w:leftChars="200"/>
    </w:pPr>
  </w:style>
  <w:style w:type="paragraph" w:styleId="25">
    <w:name w:val="Normal (Web)"/>
    <w:basedOn w:val="1"/>
    <w:qFormat/>
    <w:uiPriority w:val="0"/>
    <w:pPr>
      <w:spacing w:before="100" w:beforeAutospacing="1" w:after="100" w:afterAutospacing="1"/>
      <w:jc w:val="left"/>
    </w:pPr>
    <w:rPr>
      <w:rFonts w:cs="Times New Roman"/>
      <w:kern w:val="0"/>
      <w:sz w:val="24"/>
    </w:rPr>
  </w:style>
  <w:style w:type="paragraph" w:styleId="26">
    <w:name w:val="annotation subject"/>
    <w:basedOn w:val="10"/>
    <w:next w:val="10"/>
    <w:link w:val="55"/>
    <w:qFormat/>
    <w:uiPriority w:val="0"/>
    <w:rPr>
      <w:rFonts w:ascii="宋体" w:hAnsi="宋体" w:cs="宋体"/>
      <w:b/>
      <w:bCs/>
    </w:rPr>
  </w:style>
  <w:style w:type="paragraph" w:styleId="27">
    <w:name w:val="Body Text First Indent 2"/>
    <w:basedOn w:val="12"/>
    <w:next w:val="28"/>
    <w:qFormat/>
    <w:uiPriority w:val="0"/>
    <w:pPr>
      <w:ind w:firstLine="420" w:firstLineChars="200"/>
    </w:pPr>
  </w:style>
  <w:style w:type="paragraph" w:customStyle="1" w:styleId="28">
    <w:name w:val="样式 正文首行缩进 2 + Arial"/>
    <w:basedOn w:val="1"/>
    <w:next w:val="1"/>
    <w:qFormat/>
    <w:uiPriority w:val="0"/>
    <w:pPr>
      <w:spacing w:after="120" w:line="320" w:lineRule="atLeast"/>
      <w:ind w:firstLine="200" w:firstLineChars="200"/>
    </w:pPr>
    <w:rPr>
      <w:rFonts w:ascii="Arial" w:hAnsi="Arial"/>
      <w:kern w:val="0"/>
    </w:rPr>
  </w:style>
  <w:style w:type="character" w:styleId="31">
    <w:name w:val="Strong"/>
    <w:qFormat/>
    <w:uiPriority w:val="0"/>
    <w:rPr>
      <w:b/>
      <w:bCs/>
    </w:rPr>
  </w:style>
  <w:style w:type="character" w:styleId="32">
    <w:name w:val="page number"/>
    <w:qFormat/>
    <w:uiPriority w:val="0"/>
  </w:style>
  <w:style w:type="character" w:styleId="33">
    <w:name w:val="FollowedHyperlink"/>
    <w:basedOn w:val="30"/>
    <w:uiPriority w:val="0"/>
    <w:rPr>
      <w:color w:val="800080"/>
      <w:u w:val="none"/>
    </w:rPr>
  </w:style>
  <w:style w:type="character" w:styleId="34">
    <w:name w:val="Emphasis"/>
    <w:basedOn w:val="30"/>
    <w:qFormat/>
    <w:uiPriority w:val="0"/>
    <w:rPr>
      <w:b/>
      <w:bCs/>
      <w:bdr w:val="single" w:color="9A9A9A" w:sz="6" w:space="0"/>
      <w:shd w:val="clear" w:fill="DBDDE2"/>
    </w:rPr>
  </w:style>
  <w:style w:type="character" w:styleId="35">
    <w:name w:val="HTML Definition"/>
    <w:basedOn w:val="30"/>
    <w:uiPriority w:val="0"/>
  </w:style>
  <w:style w:type="character" w:styleId="36">
    <w:name w:val="HTML Typewriter"/>
    <w:basedOn w:val="30"/>
    <w:uiPriority w:val="0"/>
    <w:rPr>
      <w:rFonts w:hint="default" w:ascii="monospace" w:hAnsi="monospace" w:eastAsia="monospace" w:cs="monospace"/>
      <w:sz w:val="20"/>
      <w:bdr w:val="none" w:color="auto" w:sz="0" w:space="0"/>
    </w:rPr>
  </w:style>
  <w:style w:type="character" w:styleId="37">
    <w:name w:val="HTML Acronym"/>
    <w:basedOn w:val="30"/>
    <w:uiPriority w:val="0"/>
    <w:rPr>
      <w:bdr w:val="none" w:color="auto" w:sz="0" w:space="0"/>
    </w:rPr>
  </w:style>
  <w:style w:type="character" w:styleId="38">
    <w:name w:val="HTML Variable"/>
    <w:basedOn w:val="30"/>
    <w:uiPriority w:val="0"/>
  </w:style>
  <w:style w:type="character" w:styleId="39">
    <w:name w:val="Hyperlink"/>
    <w:qFormat/>
    <w:uiPriority w:val="99"/>
    <w:rPr>
      <w:rFonts w:hint="eastAsia" w:ascii="微软雅黑" w:hAnsi="微软雅黑" w:eastAsia="微软雅黑" w:cs="微软雅黑"/>
      <w:color w:val="02396F"/>
      <w:u w:val="single"/>
    </w:rPr>
  </w:style>
  <w:style w:type="character" w:styleId="40">
    <w:name w:val="HTML Code"/>
    <w:basedOn w:val="30"/>
    <w:uiPriority w:val="0"/>
    <w:rPr>
      <w:rFonts w:hint="default" w:ascii="monospace" w:hAnsi="monospace" w:eastAsia="monospace" w:cs="monospace"/>
      <w:sz w:val="20"/>
      <w:bdr w:val="none" w:color="auto" w:sz="0" w:space="0"/>
    </w:rPr>
  </w:style>
  <w:style w:type="character" w:styleId="41">
    <w:name w:val="annotation reference"/>
    <w:basedOn w:val="30"/>
    <w:qFormat/>
    <w:uiPriority w:val="0"/>
    <w:rPr>
      <w:sz w:val="21"/>
      <w:szCs w:val="21"/>
    </w:rPr>
  </w:style>
  <w:style w:type="character" w:styleId="42">
    <w:name w:val="HTML Cite"/>
    <w:basedOn w:val="30"/>
    <w:uiPriority w:val="0"/>
  </w:style>
  <w:style w:type="character" w:styleId="43">
    <w:name w:val="HTML Keyboard"/>
    <w:basedOn w:val="30"/>
    <w:uiPriority w:val="0"/>
    <w:rPr>
      <w:rFonts w:ascii="monospace" w:hAnsi="monospace" w:eastAsia="monospace" w:cs="monospace"/>
      <w:sz w:val="20"/>
    </w:rPr>
  </w:style>
  <w:style w:type="character" w:styleId="44">
    <w:name w:val="HTML Sample"/>
    <w:basedOn w:val="30"/>
    <w:uiPriority w:val="0"/>
    <w:rPr>
      <w:rFonts w:hint="default" w:ascii="monospace" w:hAnsi="monospace" w:eastAsia="monospace" w:cs="monospace"/>
    </w:rPr>
  </w:style>
  <w:style w:type="paragraph" w:customStyle="1" w:styleId="45">
    <w:name w:val="样式 样式 行距: 1.5 倍行距 + 首行缩进:  2 字符"/>
    <w:next w:val="3"/>
    <w:qFormat/>
    <w:uiPriority w:val="0"/>
    <w:pPr>
      <w:widowControl w:val="0"/>
      <w:spacing w:line="360" w:lineRule="auto"/>
      <w:ind w:firstLine="200" w:firstLineChars="200"/>
      <w:jc w:val="both"/>
    </w:pPr>
    <w:rPr>
      <w:rFonts w:ascii="Times New Roman" w:hAnsi="Times New Roman" w:eastAsia="宋体" w:cs="宋体"/>
      <w:kern w:val="2"/>
      <w:sz w:val="24"/>
      <w:szCs w:val="21"/>
      <w:lang w:val="en-US" w:eastAsia="zh-CN" w:bidi="ar-SA"/>
    </w:rPr>
  </w:style>
  <w:style w:type="paragraph" w:customStyle="1" w:styleId="46">
    <w:name w:val="无间隔1"/>
    <w:basedOn w:val="1"/>
    <w:next w:val="9"/>
    <w:qFormat/>
    <w:uiPriority w:val="1"/>
    <w:pPr>
      <w:spacing w:line="400" w:lineRule="exact"/>
    </w:pPr>
    <w:rPr>
      <w:sz w:val="24"/>
    </w:rPr>
  </w:style>
  <w:style w:type="character" w:customStyle="1" w:styleId="47">
    <w:name w:val="标题 1 Char"/>
    <w:link w:val="4"/>
    <w:qFormat/>
    <w:locked/>
    <w:uiPriority w:val="0"/>
    <w:rPr>
      <w:rFonts w:ascii="Times New Roman" w:hAnsi="Times New Roman" w:cs="Times New Roman"/>
      <w:b/>
      <w:kern w:val="44"/>
      <w:sz w:val="32"/>
      <w:szCs w:val="20"/>
    </w:rPr>
  </w:style>
  <w:style w:type="paragraph" w:customStyle="1" w:styleId="48">
    <w:name w:val="表格字体-靠左"/>
    <w:basedOn w:val="49"/>
    <w:next w:val="1"/>
    <w:qFormat/>
    <w:uiPriority w:val="0"/>
    <w:pPr>
      <w:ind w:firstLine="280" w:firstLineChars="100"/>
      <w:jc w:val="left"/>
    </w:pPr>
  </w:style>
  <w:style w:type="paragraph" w:customStyle="1" w:styleId="49">
    <w:name w:val="表格字体-居中"/>
    <w:basedOn w:val="1"/>
    <w:next w:val="1"/>
    <w:qFormat/>
    <w:uiPriority w:val="0"/>
    <w:pPr>
      <w:jc w:val="center"/>
    </w:pPr>
  </w:style>
  <w:style w:type="paragraph" w:customStyle="1" w:styleId="50">
    <w:name w:val="Table Paragraph"/>
    <w:basedOn w:val="1"/>
    <w:qFormat/>
    <w:uiPriority w:val="1"/>
  </w:style>
  <w:style w:type="paragraph" w:customStyle="1" w:styleId="51">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2">
    <w:name w:val="_Style 2"/>
    <w:basedOn w:val="1"/>
    <w:next w:val="1"/>
    <w:qFormat/>
    <w:uiPriority w:val="0"/>
    <w:pPr>
      <w:ind w:firstLine="420" w:firstLineChars="200"/>
    </w:pPr>
  </w:style>
  <w:style w:type="character" w:customStyle="1" w:styleId="53">
    <w:name w:val="批注框文本 Char"/>
    <w:basedOn w:val="30"/>
    <w:link w:val="18"/>
    <w:qFormat/>
    <w:uiPriority w:val="0"/>
    <w:rPr>
      <w:rFonts w:ascii="宋体" w:hAnsi="宋体" w:cs="宋体"/>
      <w:kern w:val="2"/>
      <w:sz w:val="18"/>
      <w:szCs w:val="18"/>
    </w:rPr>
  </w:style>
  <w:style w:type="character" w:customStyle="1" w:styleId="54">
    <w:name w:val="批注文字 Char"/>
    <w:basedOn w:val="30"/>
    <w:link w:val="10"/>
    <w:semiHidden/>
    <w:qFormat/>
    <w:uiPriority w:val="99"/>
    <w:rPr>
      <w:kern w:val="2"/>
      <w:sz w:val="21"/>
      <w:szCs w:val="24"/>
    </w:rPr>
  </w:style>
  <w:style w:type="character" w:customStyle="1" w:styleId="55">
    <w:name w:val="批注主题 Char"/>
    <w:basedOn w:val="54"/>
    <w:link w:val="26"/>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file:///C:\Program%25252525252525252525252525252525252525252525252525252525252520Files\Tencent\QQ\Users\763502907\Image\0254824F-E245-4015-824E-9E252A54E140.jpg" TargetMode="External"/><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E165E6-9B55-4E36-B3F9-A88A17581DCA}">
  <ds:schemaRefs/>
</ds:datastoreItem>
</file>

<file path=docProps/app.xml><?xml version="1.0" encoding="utf-8"?>
<Properties xmlns="http://schemas.openxmlformats.org/officeDocument/2006/extended-properties" xmlns:vt="http://schemas.openxmlformats.org/officeDocument/2006/docPropsVTypes">
  <Template>Normal</Template>
  <Pages>77</Pages>
  <Words>38442</Words>
  <Characters>40493</Characters>
  <Lines>296</Lines>
  <Paragraphs>83</Paragraphs>
  <TotalTime>20</TotalTime>
  <ScaleCrop>false</ScaleCrop>
  <LinksUpToDate>false</LinksUpToDate>
  <CharactersWithSpaces>42032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2023-04-27T07:49:00Z</dcterms:created>
  <dc:creator>刘袆</dc:creator>
  <cp:lastModifiedBy>刘袆</cp:lastModifiedBy>
  <cp:lastPrinted>2023-04-27T07:45:00Z</cp:lastPrinted>
  <dcterms:modified xsi:type="dcterms:W3CDTF">2023-05-20T03:36:27Z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2DE031B3B15A473B9D5F5D5E16699C8D_13</vt:lpwstr>
  </property>
</Properties>
</file>